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9B5596D">
      <w:pPr>
        <w:pageBreakBefore w:val="0"/>
        <w:kinsoku w:val="0"/>
        <w:wordWrap w:val="0"/>
        <w:overflowPunct/>
        <w:topLinePunct/>
        <w:autoSpaceDE/>
        <w:autoSpaceDN/>
        <w:bidi w:val="0"/>
        <w:spacing w:before="156" w:beforeLines="50" w:after="156" w:afterLines="50" w:line="720" w:lineRule="auto"/>
        <w:jc w:val="center"/>
        <w:rPr>
          <w:rFonts w:hint="default" w:ascii="Times New Roman" w:hAnsi="Times New Roman" w:eastAsia="宋体" w:cs="Times New Roman"/>
          <w:b/>
          <w:caps w:val="0"/>
          <w:smallCaps w:val="0"/>
          <w:color w:val="auto"/>
          <w:spacing w:val="0"/>
          <w:w w:val="100"/>
          <w:position w:val="0"/>
          <w:sz w:val="48"/>
          <w:szCs w:val="32"/>
          <w:u w:val="none" w:color="auto"/>
        </w:rPr>
      </w:pPr>
      <w:r>
        <w:drawing>
          <wp:anchor distT="0" distB="0" distL="114300" distR="114300" simplePos="0" relativeHeight="251675648" behindDoc="0" locked="0" layoutInCell="1" allowOverlap="1">
            <wp:simplePos x="0" y="0"/>
            <wp:positionH relativeFrom="column">
              <wp:posOffset>-1006475</wp:posOffset>
            </wp:positionH>
            <wp:positionV relativeFrom="paragraph">
              <wp:posOffset>161290</wp:posOffset>
            </wp:positionV>
            <wp:extent cx="7507605" cy="9787890"/>
            <wp:effectExtent l="0" t="0" r="0" b="0"/>
            <wp:wrapNone/>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25"/>
                    <a:srcRect t="2015"/>
                    <a:stretch>
                      <a:fillRect/>
                    </a:stretch>
                  </pic:blipFill>
                  <pic:spPr>
                    <a:xfrm>
                      <a:off x="0" y="0"/>
                      <a:ext cx="7507605" cy="9787890"/>
                    </a:xfrm>
                    <a:prstGeom prst="rect">
                      <a:avLst/>
                    </a:prstGeom>
                    <a:noFill/>
                    <a:ln>
                      <a:noFill/>
                    </a:ln>
                  </pic:spPr>
                </pic:pic>
              </a:graphicData>
            </a:graphic>
          </wp:anchor>
        </w:drawing>
      </w:r>
    </w:p>
    <w:p w14:paraId="32D30A1E">
      <w:pPr>
        <w:keepNext w:val="0"/>
        <w:keepLines w:val="0"/>
        <w:pageBreakBefore w:val="0"/>
        <w:widowControl w:val="0"/>
        <w:kinsoku w:val="0"/>
        <w:wordWrap w:val="0"/>
        <w:overflowPunct/>
        <w:topLinePunct/>
        <w:autoSpaceDE/>
        <w:autoSpaceDN/>
        <w:bidi w:val="0"/>
        <w:adjustRightInd/>
        <w:snapToGrid/>
        <w:spacing w:before="313" w:beforeLines="100" w:after="156" w:afterLines="50" w:line="720" w:lineRule="auto"/>
        <w:jc w:val="center"/>
        <w:textAlignment w:val="auto"/>
        <w:rPr>
          <w:rFonts w:hint="default" w:ascii="Times New Roman" w:hAnsi="Times New Roman" w:eastAsia="宋体" w:cs="Times New Roman"/>
          <w:b/>
          <w:caps w:val="0"/>
          <w:smallCaps w:val="0"/>
          <w:color w:val="auto"/>
          <w:spacing w:val="0"/>
          <w:w w:val="100"/>
          <w:position w:val="0"/>
          <w:sz w:val="48"/>
          <w:szCs w:val="32"/>
          <w:u w:val="none" w:color="auto"/>
        </w:rPr>
      </w:pPr>
      <w:r>
        <w:rPr>
          <w:rFonts w:hint="default" w:ascii="Times New Roman" w:hAnsi="Times New Roman" w:eastAsia="宋体" w:cs="Times New Roman"/>
          <w:b/>
          <w:caps w:val="0"/>
          <w:smallCaps w:val="0"/>
          <w:color w:val="auto"/>
          <w:spacing w:val="0"/>
          <w:w w:val="100"/>
          <w:position w:val="0"/>
          <w:sz w:val="52"/>
          <w:szCs w:val="52"/>
          <w:u w:val="none" w:color="auto"/>
          <w:lang w:eastAsia="zh-CN"/>
        </w:rPr>
        <w:t>华容县东山水库除险加固工程</w:t>
      </w:r>
    </w:p>
    <w:p w14:paraId="5FCDA41A">
      <w:pPr>
        <w:keepNext w:val="0"/>
        <w:keepLines w:val="0"/>
        <w:pageBreakBefore w:val="0"/>
        <w:widowControl w:val="0"/>
        <w:kinsoku w:val="0"/>
        <w:wordWrap w:val="0"/>
        <w:overflowPunct/>
        <w:topLinePunct/>
        <w:autoSpaceDE/>
        <w:autoSpaceDN/>
        <w:bidi w:val="0"/>
        <w:adjustRightInd/>
        <w:snapToGrid/>
        <w:spacing w:before="313" w:beforeLines="100" w:after="156" w:afterLines="50" w:line="720" w:lineRule="auto"/>
        <w:jc w:val="center"/>
        <w:textAlignment w:val="auto"/>
        <w:rPr>
          <w:rFonts w:hint="default" w:ascii="Times New Roman" w:hAnsi="Times New Roman" w:eastAsia="宋体" w:cs="Times New Roman"/>
          <w:b/>
          <w:caps w:val="0"/>
          <w:smallCaps w:val="0"/>
          <w:color w:val="auto"/>
          <w:spacing w:val="0"/>
          <w:w w:val="100"/>
          <w:position w:val="0"/>
          <w:sz w:val="72"/>
          <w:szCs w:val="72"/>
          <w:u w:val="none" w:color="auto"/>
        </w:rPr>
      </w:pPr>
      <w:r>
        <w:rPr>
          <w:rFonts w:hint="default" w:ascii="Times New Roman" w:hAnsi="Times New Roman" w:eastAsia="宋体" w:cs="Times New Roman"/>
          <w:b/>
          <w:caps w:val="0"/>
          <w:smallCaps w:val="0"/>
          <w:color w:val="auto"/>
          <w:spacing w:val="0"/>
          <w:w w:val="100"/>
          <w:position w:val="0"/>
          <w:sz w:val="72"/>
          <w:szCs w:val="72"/>
          <w:u w:val="none" w:color="auto"/>
        </w:rPr>
        <w:t>环境影响报告书</w:t>
      </w:r>
    </w:p>
    <w:p w14:paraId="0FDA065A">
      <w:pPr>
        <w:pageBreakBefore w:val="0"/>
        <w:kinsoku w:val="0"/>
        <w:wordWrap w:val="0"/>
        <w:overflowPunct/>
        <w:topLinePunct/>
        <w:autoSpaceDE/>
        <w:autoSpaceDN/>
        <w:bidi w:val="0"/>
        <w:spacing w:before="156" w:beforeLines="50" w:after="156" w:afterLines="50" w:line="720" w:lineRule="auto"/>
        <w:jc w:val="center"/>
        <w:rPr>
          <w:rFonts w:hint="default" w:ascii="Times New Roman" w:hAnsi="Times New Roman" w:eastAsia="宋体" w:cs="Times New Roman"/>
          <w:b/>
          <w:caps w:val="0"/>
          <w:smallCaps w:val="0"/>
          <w:color w:val="auto"/>
          <w:spacing w:val="0"/>
          <w:w w:val="100"/>
          <w:position w:val="0"/>
          <w:sz w:val="32"/>
          <w:szCs w:val="32"/>
          <w:u w:val="none" w:color="auto"/>
        </w:rPr>
      </w:pPr>
      <w:r>
        <w:rPr>
          <w:rFonts w:hint="default" w:ascii="Times New Roman" w:hAnsi="Times New Roman" w:eastAsia="宋体" w:cs="Times New Roman"/>
          <w:b/>
          <w:caps w:val="0"/>
          <w:smallCaps w:val="0"/>
          <w:color w:val="auto"/>
          <w:spacing w:val="0"/>
          <w:w w:val="100"/>
          <w:position w:val="0"/>
          <w:sz w:val="32"/>
          <w:szCs w:val="32"/>
          <w:u w:val="none" w:color="auto"/>
        </w:rPr>
        <w:t>（</w:t>
      </w:r>
      <w:r>
        <w:rPr>
          <w:rFonts w:hint="default" w:ascii="Times New Roman" w:hAnsi="Times New Roman" w:eastAsia="宋体" w:cs="Times New Roman"/>
          <w:b/>
          <w:caps w:val="0"/>
          <w:smallCaps w:val="0"/>
          <w:color w:val="auto"/>
          <w:spacing w:val="0"/>
          <w:w w:val="100"/>
          <w:position w:val="0"/>
          <w:sz w:val="32"/>
          <w:szCs w:val="32"/>
          <w:u w:val="none" w:color="auto"/>
          <w:lang w:eastAsia="zh-CN"/>
        </w:rPr>
        <w:t>送审</w:t>
      </w:r>
      <w:r>
        <w:rPr>
          <w:rFonts w:hint="default" w:ascii="Times New Roman" w:hAnsi="Times New Roman" w:eastAsia="宋体" w:cs="Times New Roman"/>
          <w:b/>
          <w:caps w:val="0"/>
          <w:smallCaps w:val="0"/>
          <w:color w:val="auto"/>
          <w:spacing w:val="0"/>
          <w:w w:val="100"/>
          <w:position w:val="0"/>
          <w:sz w:val="32"/>
          <w:szCs w:val="32"/>
          <w:u w:val="none" w:color="auto"/>
        </w:rPr>
        <w:t>稿）</w:t>
      </w:r>
    </w:p>
    <w:p w14:paraId="6748BB36">
      <w:pPr>
        <w:pageBreakBefore w:val="0"/>
        <w:kinsoku w:val="0"/>
        <w:wordWrap w:val="0"/>
        <w:overflowPunct/>
        <w:topLinePunct/>
        <w:autoSpaceDE/>
        <w:autoSpaceDN/>
        <w:bidi w:val="0"/>
        <w:spacing w:before="156" w:beforeLines="50" w:after="156" w:afterLines="50" w:line="720" w:lineRule="auto"/>
        <w:jc w:val="center"/>
        <w:rPr>
          <w:rFonts w:hint="default" w:ascii="Times New Roman" w:hAnsi="Times New Roman" w:eastAsia="宋体" w:cs="Times New Roman"/>
          <w:b/>
          <w:caps w:val="0"/>
          <w:smallCaps w:val="0"/>
          <w:color w:val="auto"/>
          <w:spacing w:val="0"/>
          <w:w w:val="100"/>
          <w:position w:val="0"/>
          <w:sz w:val="32"/>
          <w:szCs w:val="32"/>
          <w:u w:val="none" w:color="auto"/>
        </w:rPr>
      </w:pPr>
    </w:p>
    <w:p w14:paraId="71445F9C">
      <w:pPr>
        <w:pageBreakBefore w:val="0"/>
        <w:kinsoku w:val="0"/>
        <w:wordWrap w:val="0"/>
        <w:overflowPunct/>
        <w:topLinePunct/>
        <w:autoSpaceDE/>
        <w:autoSpaceDN/>
        <w:bidi w:val="0"/>
        <w:spacing w:before="156" w:beforeLines="50" w:after="156" w:afterLines="50" w:line="720" w:lineRule="auto"/>
        <w:jc w:val="center"/>
        <w:rPr>
          <w:rFonts w:hint="default" w:ascii="Times New Roman" w:hAnsi="Times New Roman" w:eastAsia="宋体" w:cs="Times New Roman"/>
          <w:b/>
          <w:caps w:val="0"/>
          <w:smallCaps w:val="0"/>
          <w:color w:val="auto"/>
          <w:spacing w:val="0"/>
          <w:w w:val="100"/>
          <w:position w:val="0"/>
          <w:sz w:val="32"/>
          <w:szCs w:val="32"/>
          <w:u w:val="none" w:color="auto"/>
        </w:rPr>
      </w:pPr>
    </w:p>
    <w:p w14:paraId="14ED617A">
      <w:pPr>
        <w:pageBreakBefore w:val="0"/>
        <w:kinsoku w:val="0"/>
        <w:wordWrap w:val="0"/>
        <w:overflowPunct/>
        <w:topLinePunct/>
        <w:autoSpaceDE/>
        <w:autoSpaceDN/>
        <w:bidi w:val="0"/>
        <w:spacing w:before="156" w:beforeLines="50" w:after="156" w:afterLines="50" w:line="720" w:lineRule="auto"/>
        <w:jc w:val="center"/>
        <w:rPr>
          <w:rFonts w:hint="default" w:ascii="Times New Roman" w:hAnsi="Times New Roman" w:eastAsia="宋体" w:cs="Times New Roman"/>
          <w:b/>
          <w:caps w:val="0"/>
          <w:smallCaps w:val="0"/>
          <w:color w:val="auto"/>
          <w:spacing w:val="0"/>
          <w:w w:val="100"/>
          <w:position w:val="0"/>
          <w:sz w:val="32"/>
          <w:szCs w:val="32"/>
          <w:u w:val="none" w:color="auto"/>
        </w:rPr>
      </w:pPr>
    </w:p>
    <w:p w14:paraId="36396786">
      <w:pPr>
        <w:pageBreakBefore w:val="0"/>
        <w:kinsoku w:val="0"/>
        <w:wordWrap w:val="0"/>
        <w:overflowPunct/>
        <w:topLinePunct/>
        <w:autoSpaceDE/>
        <w:autoSpaceDN/>
        <w:bidi w:val="0"/>
        <w:spacing w:before="156" w:beforeLines="50" w:after="156" w:afterLines="50" w:line="720" w:lineRule="auto"/>
        <w:jc w:val="center"/>
        <w:rPr>
          <w:rFonts w:hint="default" w:ascii="Times New Roman" w:hAnsi="Times New Roman" w:eastAsia="宋体" w:cs="Times New Roman"/>
          <w:b/>
          <w:caps w:val="0"/>
          <w:smallCaps w:val="0"/>
          <w:color w:val="auto"/>
          <w:spacing w:val="0"/>
          <w:w w:val="100"/>
          <w:position w:val="0"/>
          <w:sz w:val="32"/>
          <w:szCs w:val="32"/>
          <w:u w:val="none" w:color="auto"/>
        </w:rPr>
      </w:pPr>
    </w:p>
    <w:p w14:paraId="2C9B81D1">
      <w:pPr>
        <w:pageBreakBefore w:val="0"/>
        <w:kinsoku w:val="0"/>
        <w:wordWrap w:val="0"/>
        <w:overflowPunct/>
        <w:topLinePunct/>
        <w:autoSpaceDE/>
        <w:autoSpaceDN/>
        <w:bidi w:val="0"/>
        <w:spacing w:before="156" w:beforeLines="50" w:after="156" w:afterLines="50" w:line="720" w:lineRule="auto"/>
        <w:jc w:val="center"/>
        <w:rPr>
          <w:rFonts w:hint="default" w:ascii="Times New Roman" w:hAnsi="Times New Roman" w:eastAsia="宋体" w:cs="Times New Roman"/>
          <w:b/>
          <w:caps w:val="0"/>
          <w:smallCaps w:val="0"/>
          <w:color w:val="auto"/>
          <w:spacing w:val="0"/>
          <w:w w:val="100"/>
          <w:position w:val="0"/>
          <w:sz w:val="32"/>
          <w:szCs w:val="32"/>
          <w:u w:val="none" w:color="auto"/>
        </w:rPr>
      </w:pPr>
    </w:p>
    <w:p w14:paraId="32543093">
      <w:pPr>
        <w:pageBreakBefore w:val="0"/>
        <w:kinsoku w:val="0"/>
        <w:wordWrap w:val="0"/>
        <w:overflowPunct/>
        <w:topLinePunct/>
        <w:autoSpaceDE/>
        <w:autoSpaceDN/>
        <w:bidi w:val="0"/>
        <w:spacing w:before="156" w:beforeLines="50" w:after="156" w:afterLines="50" w:line="720" w:lineRule="auto"/>
        <w:jc w:val="center"/>
        <w:rPr>
          <w:rFonts w:hint="default" w:ascii="Times New Roman" w:hAnsi="Times New Roman" w:eastAsia="宋体" w:cs="Times New Roman"/>
          <w:b/>
          <w:caps w:val="0"/>
          <w:smallCaps w:val="0"/>
          <w:color w:val="auto"/>
          <w:spacing w:val="0"/>
          <w:w w:val="100"/>
          <w:position w:val="0"/>
          <w:sz w:val="32"/>
          <w:szCs w:val="32"/>
          <w:u w:val="none" w:color="auto"/>
        </w:rPr>
      </w:pPr>
    </w:p>
    <w:p w14:paraId="0C2AB5B6">
      <w:pPr>
        <w:keepNext w:val="0"/>
        <w:keepLines w:val="0"/>
        <w:pageBreakBefore w:val="0"/>
        <w:widowControl w:val="0"/>
        <w:kinsoku w:val="0"/>
        <w:wordWrap w:val="0"/>
        <w:overflowPunct/>
        <w:topLinePunct/>
        <w:autoSpaceDE/>
        <w:autoSpaceDN/>
        <w:bidi w:val="0"/>
        <w:adjustRightInd/>
        <w:snapToGrid/>
        <w:spacing w:line="480" w:lineRule="auto"/>
        <w:ind w:firstLine="0" w:firstLineChars="0"/>
        <w:jc w:val="center"/>
        <w:textAlignment w:val="auto"/>
        <w:rPr>
          <w:rFonts w:hint="default" w:ascii="Times New Roman" w:hAnsi="Times New Roman" w:eastAsia="宋体" w:cs="Times New Roman"/>
          <w:b/>
          <w:caps w:val="0"/>
          <w:smallCaps w:val="0"/>
          <w:color w:val="auto"/>
          <w:spacing w:val="0"/>
          <w:w w:val="100"/>
          <w:position w:val="0"/>
          <w:sz w:val="32"/>
          <w:szCs w:val="32"/>
          <w:u w:val="none" w:color="auto"/>
          <w:lang w:eastAsia="zh-CN"/>
        </w:rPr>
      </w:pPr>
      <w:r>
        <w:rPr>
          <w:rFonts w:hint="default" w:ascii="Times New Roman" w:hAnsi="Times New Roman" w:eastAsia="宋体" w:cs="Times New Roman"/>
          <w:b/>
          <w:caps w:val="0"/>
          <w:smallCaps w:val="0"/>
          <w:color w:val="auto"/>
          <w:spacing w:val="0"/>
          <w:w w:val="100"/>
          <w:position w:val="0"/>
          <w:sz w:val="32"/>
          <w:szCs w:val="32"/>
          <w:u w:val="none" w:color="auto"/>
        </w:rPr>
        <w:t>建设单位：</w:t>
      </w:r>
      <w:r>
        <w:rPr>
          <w:rFonts w:hint="default" w:ascii="Times New Roman" w:hAnsi="Times New Roman" w:eastAsia="宋体" w:cs="Times New Roman"/>
          <w:b/>
          <w:caps w:val="0"/>
          <w:smallCaps w:val="0"/>
          <w:color w:val="auto"/>
          <w:spacing w:val="0"/>
          <w:w w:val="100"/>
          <w:position w:val="0"/>
          <w:sz w:val="32"/>
          <w:szCs w:val="32"/>
          <w:u w:val="none" w:color="auto"/>
          <w:lang w:eastAsia="zh-CN"/>
        </w:rPr>
        <w:t>华容县东山水库管理所</w:t>
      </w:r>
    </w:p>
    <w:p w14:paraId="7C5620DE">
      <w:pPr>
        <w:keepNext w:val="0"/>
        <w:keepLines w:val="0"/>
        <w:pageBreakBefore w:val="0"/>
        <w:widowControl w:val="0"/>
        <w:kinsoku w:val="0"/>
        <w:wordWrap w:val="0"/>
        <w:overflowPunct/>
        <w:topLinePunct/>
        <w:autoSpaceDE/>
        <w:autoSpaceDN/>
        <w:bidi w:val="0"/>
        <w:adjustRightInd/>
        <w:snapToGrid/>
        <w:spacing w:line="480" w:lineRule="auto"/>
        <w:ind w:firstLine="0" w:firstLineChars="0"/>
        <w:jc w:val="center"/>
        <w:textAlignment w:val="auto"/>
        <w:rPr>
          <w:rFonts w:hint="default" w:ascii="Times New Roman" w:hAnsi="Times New Roman" w:eastAsia="宋体" w:cs="Times New Roman"/>
          <w:b/>
          <w:caps w:val="0"/>
          <w:smallCaps w:val="0"/>
          <w:color w:val="auto"/>
          <w:spacing w:val="0"/>
          <w:w w:val="100"/>
          <w:position w:val="0"/>
          <w:sz w:val="32"/>
          <w:szCs w:val="32"/>
          <w:u w:val="none" w:color="auto"/>
          <w:lang w:eastAsia="zh-CN"/>
        </w:rPr>
      </w:pPr>
      <w:r>
        <w:rPr>
          <w:rFonts w:hint="default" w:ascii="Times New Roman" w:hAnsi="Times New Roman" w:eastAsia="宋体" w:cs="Times New Roman"/>
          <w:b/>
          <w:caps w:val="0"/>
          <w:smallCaps w:val="0"/>
          <w:color w:val="auto"/>
          <w:spacing w:val="0"/>
          <w:w w:val="100"/>
          <w:position w:val="0"/>
          <w:sz w:val="32"/>
          <w:szCs w:val="32"/>
          <w:u w:val="none" w:color="auto"/>
        </w:rPr>
        <w:t>编制单位：</w:t>
      </w:r>
      <w:r>
        <w:rPr>
          <w:rFonts w:hint="default" w:ascii="Times New Roman" w:hAnsi="Times New Roman" w:eastAsia="宋体" w:cs="Times New Roman"/>
          <w:b/>
          <w:caps w:val="0"/>
          <w:smallCaps w:val="0"/>
          <w:color w:val="auto"/>
          <w:spacing w:val="0"/>
          <w:w w:val="100"/>
          <w:position w:val="0"/>
          <w:sz w:val="32"/>
          <w:szCs w:val="32"/>
          <w:u w:val="none" w:color="auto"/>
          <w:lang w:eastAsia="zh-CN"/>
        </w:rPr>
        <w:t>岳阳凯丰环保有限公司</w:t>
      </w:r>
    </w:p>
    <w:p w14:paraId="0F4A1431">
      <w:pPr>
        <w:keepNext w:val="0"/>
        <w:keepLines w:val="0"/>
        <w:pageBreakBefore w:val="0"/>
        <w:widowControl w:val="0"/>
        <w:kinsoku w:val="0"/>
        <w:wordWrap w:val="0"/>
        <w:overflowPunct/>
        <w:topLinePunct/>
        <w:autoSpaceDE/>
        <w:autoSpaceDN/>
        <w:bidi w:val="0"/>
        <w:adjustRightInd/>
        <w:snapToGrid/>
        <w:spacing w:line="480" w:lineRule="auto"/>
        <w:ind w:firstLine="0" w:firstLineChars="0"/>
        <w:jc w:val="center"/>
        <w:textAlignment w:val="auto"/>
        <w:rPr>
          <w:rFonts w:hint="default" w:ascii="Times New Roman" w:hAnsi="Times New Roman" w:eastAsia="宋体" w:cs="Times New Roman"/>
          <w:b/>
          <w:caps w:val="0"/>
          <w:smallCaps w:val="0"/>
          <w:color w:val="auto"/>
          <w:spacing w:val="0"/>
          <w:w w:val="100"/>
          <w:position w:val="0"/>
          <w:sz w:val="32"/>
          <w:szCs w:val="32"/>
          <w:u w:val="none" w:color="auto"/>
        </w:rPr>
      </w:pPr>
      <w:r>
        <w:rPr>
          <w:rFonts w:hint="eastAsia" w:ascii="Times New Roman" w:hAnsi="Times New Roman" w:eastAsia="宋体" w:cs="Times New Roman"/>
          <w:b/>
          <w:caps w:val="0"/>
          <w:smallCaps w:val="0"/>
          <w:color w:val="auto"/>
          <w:spacing w:val="0"/>
          <w:w w:val="100"/>
          <w:position w:val="0"/>
          <w:sz w:val="32"/>
          <w:szCs w:val="32"/>
          <w:u w:val="none" w:color="auto"/>
          <w:lang w:val="en-US" w:eastAsia="zh-CN"/>
        </w:rPr>
        <w:t xml:space="preserve"> </w:t>
      </w:r>
      <w:r>
        <w:rPr>
          <w:rFonts w:hint="default" w:ascii="Times New Roman" w:hAnsi="Times New Roman" w:eastAsia="宋体" w:cs="Times New Roman"/>
          <w:b/>
          <w:caps w:val="0"/>
          <w:smallCaps w:val="0"/>
          <w:color w:val="auto"/>
          <w:spacing w:val="0"/>
          <w:w w:val="100"/>
          <w:position w:val="0"/>
          <w:sz w:val="32"/>
          <w:szCs w:val="32"/>
          <w:u w:val="none" w:color="auto"/>
        </w:rPr>
        <w:t>二零二</w:t>
      </w:r>
      <w:r>
        <w:rPr>
          <w:rFonts w:hint="default" w:ascii="Times New Roman" w:hAnsi="Times New Roman" w:eastAsia="宋体" w:cs="Times New Roman"/>
          <w:b/>
          <w:caps w:val="0"/>
          <w:smallCaps w:val="0"/>
          <w:color w:val="auto"/>
          <w:spacing w:val="0"/>
          <w:w w:val="100"/>
          <w:position w:val="0"/>
          <w:sz w:val="32"/>
          <w:szCs w:val="32"/>
          <w:u w:val="none" w:color="auto"/>
          <w:lang w:eastAsia="zh-CN"/>
        </w:rPr>
        <w:t>四</w:t>
      </w:r>
      <w:r>
        <w:rPr>
          <w:rFonts w:hint="default" w:ascii="Times New Roman" w:hAnsi="Times New Roman" w:eastAsia="宋体" w:cs="Times New Roman"/>
          <w:b/>
          <w:caps w:val="0"/>
          <w:smallCaps w:val="0"/>
          <w:color w:val="auto"/>
          <w:spacing w:val="0"/>
          <w:w w:val="100"/>
          <w:position w:val="0"/>
          <w:sz w:val="32"/>
          <w:szCs w:val="32"/>
          <w:u w:val="none" w:color="auto"/>
        </w:rPr>
        <w:t>年</w:t>
      </w:r>
      <w:r>
        <w:rPr>
          <w:rFonts w:hint="eastAsia" w:ascii="Times New Roman" w:hAnsi="Times New Roman" w:eastAsia="宋体" w:cs="Times New Roman"/>
          <w:b/>
          <w:caps w:val="0"/>
          <w:smallCaps w:val="0"/>
          <w:color w:val="auto"/>
          <w:spacing w:val="0"/>
          <w:w w:val="100"/>
          <w:position w:val="0"/>
          <w:sz w:val="32"/>
          <w:szCs w:val="32"/>
          <w:u w:val="none" w:color="auto"/>
          <w:lang w:eastAsia="zh-CN"/>
        </w:rPr>
        <w:t>八</w:t>
      </w:r>
      <w:r>
        <w:rPr>
          <w:rFonts w:hint="default" w:ascii="Times New Roman" w:hAnsi="Times New Roman" w:eastAsia="宋体" w:cs="Times New Roman"/>
          <w:b/>
          <w:caps w:val="0"/>
          <w:smallCaps w:val="0"/>
          <w:color w:val="auto"/>
          <w:spacing w:val="0"/>
          <w:w w:val="100"/>
          <w:position w:val="0"/>
          <w:sz w:val="32"/>
          <w:szCs w:val="32"/>
          <w:u w:val="none" w:color="auto"/>
        </w:rPr>
        <w:t>月</w:t>
      </w:r>
    </w:p>
    <w:p w14:paraId="56F182D6">
      <w:pPr>
        <w:pageBreakBefore w:val="0"/>
        <w:kinsoku w:val="0"/>
        <w:wordWrap w:val="0"/>
        <w:overflowPunct/>
        <w:topLinePunct/>
        <w:autoSpaceDE/>
        <w:autoSpaceDN/>
        <w:bidi w:val="0"/>
        <w:spacing w:before="156" w:beforeLines="50" w:after="156" w:afterLines="50"/>
        <w:jc w:val="center"/>
        <w:outlineLvl w:val="0"/>
        <w:rPr>
          <w:rFonts w:hint="eastAsia" w:ascii="Times New Roman" w:hAnsi="Times New Roman" w:eastAsia="宋体" w:cs="Times New Roman"/>
          <w:b/>
          <w:caps w:val="0"/>
          <w:smallCaps w:val="0"/>
          <w:color w:val="auto"/>
          <w:spacing w:val="0"/>
          <w:w w:val="100"/>
          <w:position w:val="0"/>
          <w:sz w:val="32"/>
          <w:szCs w:val="32"/>
          <w:u w:val="none" w:color="auto"/>
          <w:lang w:eastAsia="zh-CN"/>
        </w:rPr>
        <w:sectPr>
          <w:footerReference r:id="rId4" w:type="first"/>
          <w:footerReference r:id="rId3" w:type="default"/>
          <w:pgSz w:w="11906" w:h="16838"/>
          <w:pgMar w:top="1440" w:right="1803" w:bottom="1440" w:left="1803" w:header="851" w:footer="992" w:gutter="0"/>
          <w:pgBorders>
            <w:top w:val="none" w:sz="0" w:space="0"/>
            <w:left w:val="none" w:sz="0" w:space="0"/>
            <w:bottom w:val="none" w:sz="0" w:space="0"/>
            <w:right w:val="none" w:sz="0" w:space="0"/>
          </w:pgBorders>
          <w:pgNumType w:fmt="decimal"/>
          <w:cols w:space="425" w:num="1"/>
          <w:titlePg/>
          <w:docGrid w:type="lines" w:linePitch="312" w:charSpace="0"/>
        </w:sectPr>
      </w:pPr>
    </w:p>
    <w:p w14:paraId="5E067849">
      <w:pPr>
        <w:bidi w:val="0"/>
        <w:jc w:val="center"/>
        <w:rPr>
          <w:rFonts w:hint="default" w:ascii="Times New Roman" w:hAnsi="Times New Roman" w:cs="Times New Roman"/>
          <w:spacing w:val="0"/>
          <w:w w:val="100"/>
          <w:position w:val="0"/>
          <w:sz w:val="24"/>
          <w:szCs w:val="24"/>
        </w:rPr>
      </w:pPr>
      <w:bookmarkStart w:id="0" w:name="_Toc19484"/>
      <w:r>
        <w:rPr>
          <w:rFonts w:hint="eastAsia" w:ascii="Times New Roman" w:hAnsi="Times New Roman" w:eastAsia="宋体" w:cs="Times New Roman"/>
          <w:b/>
          <w:caps w:val="0"/>
          <w:smallCaps w:val="0"/>
          <w:color w:val="auto"/>
          <w:spacing w:val="0"/>
          <w:w w:val="100"/>
          <w:position w:val="0"/>
          <w:sz w:val="32"/>
          <w:szCs w:val="32"/>
          <w:u w:val="none" w:color="auto"/>
          <w:lang w:eastAsia="zh-CN"/>
        </w:rPr>
        <w:drawing>
          <wp:anchor distT="0" distB="0" distL="114300" distR="114300" simplePos="0" relativeHeight="251674624" behindDoc="0" locked="0" layoutInCell="1" allowOverlap="1">
            <wp:simplePos x="0" y="0"/>
            <wp:positionH relativeFrom="column">
              <wp:posOffset>-755015</wp:posOffset>
            </wp:positionH>
            <wp:positionV relativeFrom="paragraph">
              <wp:posOffset>-556260</wp:posOffset>
            </wp:positionV>
            <wp:extent cx="7155180" cy="10206990"/>
            <wp:effectExtent l="0" t="0" r="7620" b="3810"/>
            <wp:wrapNone/>
            <wp:docPr id="4" name="图片 4" descr="东山水库资质页盖章_00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东山水库资质页盖章_000024"/>
                    <pic:cNvPicPr>
                      <a:picLocks noChangeAspect="1"/>
                    </pic:cNvPicPr>
                  </pic:nvPicPr>
                  <pic:blipFill>
                    <a:blip r:embed="rId26"/>
                    <a:stretch>
                      <a:fillRect/>
                    </a:stretch>
                  </pic:blipFill>
                  <pic:spPr>
                    <a:xfrm>
                      <a:off x="0" y="0"/>
                      <a:ext cx="7155180" cy="10206990"/>
                    </a:xfrm>
                    <a:prstGeom prst="rect">
                      <a:avLst/>
                    </a:prstGeom>
                  </pic:spPr>
                </pic:pic>
              </a:graphicData>
            </a:graphic>
          </wp:anchor>
        </w:drawing>
      </w:r>
      <w:r>
        <w:drawing>
          <wp:anchor distT="0" distB="0" distL="114300" distR="114300" simplePos="0" relativeHeight="251669504" behindDoc="0" locked="0" layoutInCell="1" allowOverlap="1">
            <wp:simplePos x="0" y="0"/>
            <wp:positionH relativeFrom="column">
              <wp:posOffset>-887730</wp:posOffset>
            </wp:positionH>
            <wp:positionV relativeFrom="paragraph">
              <wp:posOffset>-532765</wp:posOffset>
            </wp:positionV>
            <wp:extent cx="7153275" cy="10098405"/>
            <wp:effectExtent l="0" t="0" r="9525" b="5715"/>
            <wp:wrapNone/>
            <wp:docPr id="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pic:cNvPicPr>
                      <a:picLocks noChangeAspect="1"/>
                    </pic:cNvPicPr>
                  </pic:nvPicPr>
                  <pic:blipFill>
                    <a:blip r:embed="rId27">
                      <a:lum bright="-12000" contrast="24000"/>
                    </a:blip>
                    <a:srcRect b="738"/>
                    <a:stretch>
                      <a:fillRect/>
                    </a:stretch>
                  </pic:blipFill>
                  <pic:spPr>
                    <a:xfrm>
                      <a:off x="0" y="0"/>
                      <a:ext cx="7153275" cy="10098405"/>
                    </a:xfrm>
                    <a:prstGeom prst="rect">
                      <a:avLst/>
                    </a:prstGeom>
                    <a:noFill/>
                    <a:ln>
                      <a:noFill/>
                    </a:ln>
                  </pic:spPr>
                </pic:pic>
              </a:graphicData>
            </a:graphic>
          </wp:anchor>
        </w:drawing>
      </w:r>
      <w:r>
        <w:rPr>
          <w:rFonts w:hint="default" w:ascii="Times New Roman" w:hAnsi="Times New Roman" w:cs="Times New Roman"/>
          <w:spacing w:val="0"/>
          <w:w w:val="100"/>
          <w:position w:val="0"/>
          <w:sz w:val="24"/>
          <w:szCs w:val="24"/>
        </w:rPr>
        <w:t>编制单位和编制人员情况表</w:t>
      </w:r>
      <w:bookmarkEnd w:id="0"/>
    </w:p>
    <w:tbl>
      <w:tblPr>
        <w:tblStyle w:val="3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2829"/>
        <w:gridCol w:w="2117"/>
        <w:gridCol w:w="1982"/>
      </w:tblGrid>
      <w:tr w14:paraId="32FD20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92" w:type="pct"/>
            <w:gridSpan w:val="2"/>
            <w:noWrap w:val="0"/>
            <w:vAlign w:val="center"/>
          </w:tcPr>
          <w:p w14:paraId="3EA171B6">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项目编号</w:t>
            </w:r>
          </w:p>
        </w:tc>
        <w:tc>
          <w:tcPr>
            <w:tcW w:w="2407" w:type="pct"/>
            <w:gridSpan w:val="2"/>
            <w:noWrap w:val="0"/>
            <w:vAlign w:val="center"/>
          </w:tcPr>
          <w:p w14:paraId="7D4FD608">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w:t>
            </w:r>
          </w:p>
        </w:tc>
      </w:tr>
      <w:tr w14:paraId="3D648D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92" w:type="pct"/>
            <w:gridSpan w:val="2"/>
            <w:noWrap w:val="0"/>
            <w:vAlign w:val="center"/>
          </w:tcPr>
          <w:p w14:paraId="205942AB">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建设项目名称</w:t>
            </w:r>
          </w:p>
        </w:tc>
        <w:tc>
          <w:tcPr>
            <w:tcW w:w="2407" w:type="pct"/>
            <w:gridSpan w:val="2"/>
            <w:noWrap w:val="0"/>
            <w:vAlign w:val="center"/>
          </w:tcPr>
          <w:p w14:paraId="6363804B">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华容县东山水库除险加固工程</w:t>
            </w:r>
          </w:p>
        </w:tc>
      </w:tr>
      <w:tr w14:paraId="0B6290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92" w:type="pct"/>
            <w:gridSpan w:val="2"/>
            <w:noWrap w:val="0"/>
            <w:vAlign w:val="center"/>
          </w:tcPr>
          <w:p w14:paraId="3D69929A">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建设项目类别</w:t>
            </w:r>
          </w:p>
        </w:tc>
        <w:tc>
          <w:tcPr>
            <w:tcW w:w="2407" w:type="pct"/>
            <w:gridSpan w:val="2"/>
            <w:noWrap w:val="0"/>
            <w:vAlign w:val="center"/>
          </w:tcPr>
          <w:p w14:paraId="09099CA2">
            <w:pPr>
              <w:keepNext w:val="0"/>
              <w:keepLines w:val="0"/>
              <w:widowControl/>
              <w:suppressLineNumbers w:val="0"/>
              <w:jc w:val="left"/>
              <w:rPr>
                <w:rFonts w:hint="default" w:ascii="Times New Roman" w:hAnsi="Times New Roman" w:eastAsia="宋体" w:cs="Times New Roman"/>
                <w:color w:val="auto"/>
                <w:spacing w:val="0"/>
                <w:w w:val="100"/>
                <w:kern w:val="21"/>
                <w:position w:val="0"/>
                <w:sz w:val="21"/>
                <w:szCs w:val="21"/>
                <w:u w:val="none" w:color="auto"/>
                <w:lang w:val="en-US" w:eastAsia="zh-CN"/>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51-124水库</w:t>
            </w:r>
          </w:p>
        </w:tc>
      </w:tr>
      <w:tr w14:paraId="551E2E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92" w:type="pct"/>
            <w:gridSpan w:val="2"/>
            <w:noWrap w:val="0"/>
            <w:vAlign w:val="center"/>
          </w:tcPr>
          <w:p w14:paraId="5E9A82BA">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环境影响评价文件类型</w:t>
            </w:r>
          </w:p>
        </w:tc>
        <w:tc>
          <w:tcPr>
            <w:tcW w:w="2407" w:type="pct"/>
            <w:gridSpan w:val="2"/>
            <w:noWrap w:val="0"/>
            <w:vAlign w:val="center"/>
          </w:tcPr>
          <w:p w14:paraId="1B58055D">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报告书</w:t>
            </w:r>
          </w:p>
        </w:tc>
      </w:tr>
      <w:tr w14:paraId="782830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00" w:type="pct"/>
            <w:gridSpan w:val="4"/>
            <w:noWrap w:val="0"/>
            <w:vAlign w:val="center"/>
          </w:tcPr>
          <w:p w14:paraId="3C8D332F">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一、建设单位情况</w:t>
            </w:r>
          </w:p>
        </w:tc>
      </w:tr>
      <w:tr w14:paraId="30BE4E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92" w:type="pct"/>
            <w:gridSpan w:val="2"/>
            <w:noWrap w:val="0"/>
            <w:vAlign w:val="center"/>
          </w:tcPr>
          <w:p w14:paraId="6E046923">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单位名称（盖章）</w:t>
            </w:r>
          </w:p>
        </w:tc>
        <w:tc>
          <w:tcPr>
            <w:tcW w:w="2407" w:type="pct"/>
            <w:gridSpan w:val="2"/>
            <w:noWrap w:val="0"/>
            <w:vAlign w:val="center"/>
          </w:tcPr>
          <w:p w14:paraId="197ACF9F">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华容县东山水库管理所</w:t>
            </w:r>
          </w:p>
        </w:tc>
      </w:tr>
      <w:tr w14:paraId="08ABA5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92" w:type="pct"/>
            <w:gridSpan w:val="2"/>
            <w:noWrap w:val="0"/>
            <w:vAlign w:val="center"/>
          </w:tcPr>
          <w:p w14:paraId="742CF6FE">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统一社会信用代码</w:t>
            </w:r>
          </w:p>
        </w:tc>
        <w:tc>
          <w:tcPr>
            <w:tcW w:w="2407" w:type="pct"/>
            <w:gridSpan w:val="2"/>
            <w:noWrap w:val="0"/>
            <w:vAlign w:val="center"/>
          </w:tcPr>
          <w:p w14:paraId="1A937DED">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124306236755579582</w:t>
            </w:r>
          </w:p>
        </w:tc>
      </w:tr>
      <w:tr w14:paraId="425AB4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92" w:type="pct"/>
            <w:gridSpan w:val="2"/>
            <w:noWrap w:val="0"/>
            <w:vAlign w:val="center"/>
          </w:tcPr>
          <w:p w14:paraId="4FB5AB32">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法定代表人（签章）</w:t>
            </w:r>
          </w:p>
        </w:tc>
        <w:tc>
          <w:tcPr>
            <w:tcW w:w="2407" w:type="pct"/>
            <w:gridSpan w:val="2"/>
            <w:noWrap w:val="0"/>
            <w:vAlign w:val="center"/>
          </w:tcPr>
          <w:p w14:paraId="00CD6627">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尹少华</w:t>
            </w:r>
          </w:p>
        </w:tc>
      </w:tr>
      <w:tr w14:paraId="67CC8E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92" w:type="pct"/>
            <w:gridSpan w:val="2"/>
            <w:noWrap w:val="0"/>
            <w:vAlign w:val="center"/>
          </w:tcPr>
          <w:p w14:paraId="00CF682F">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主要负责人（签字）</w:t>
            </w:r>
          </w:p>
        </w:tc>
        <w:tc>
          <w:tcPr>
            <w:tcW w:w="2407" w:type="pct"/>
            <w:gridSpan w:val="2"/>
            <w:noWrap w:val="0"/>
            <w:vAlign w:val="center"/>
          </w:tcPr>
          <w:p w14:paraId="32177B1E">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周勇</w:t>
            </w:r>
          </w:p>
        </w:tc>
      </w:tr>
      <w:tr w14:paraId="326C26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92" w:type="pct"/>
            <w:gridSpan w:val="2"/>
            <w:noWrap w:val="0"/>
            <w:vAlign w:val="center"/>
          </w:tcPr>
          <w:p w14:paraId="2395F27C">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直接负责的主管人员（签字）</w:t>
            </w:r>
          </w:p>
        </w:tc>
        <w:tc>
          <w:tcPr>
            <w:tcW w:w="2407" w:type="pct"/>
            <w:gridSpan w:val="2"/>
            <w:noWrap w:val="0"/>
            <w:vAlign w:val="center"/>
          </w:tcPr>
          <w:p w14:paraId="1F143B61">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周勇</w:t>
            </w:r>
          </w:p>
        </w:tc>
      </w:tr>
      <w:tr w14:paraId="789380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00" w:type="pct"/>
            <w:gridSpan w:val="4"/>
            <w:noWrap w:val="0"/>
            <w:vAlign w:val="center"/>
          </w:tcPr>
          <w:p w14:paraId="4C4AE0F3">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b/>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二、编制单位情况</w:t>
            </w:r>
          </w:p>
        </w:tc>
      </w:tr>
      <w:tr w14:paraId="2369EF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92" w:type="pct"/>
            <w:gridSpan w:val="2"/>
            <w:noWrap w:val="0"/>
            <w:vAlign w:val="center"/>
          </w:tcPr>
          <w:p w14:paraId="481BD7C2">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单位名称（盖章）</w:t>
            </w:r>
          </w:p>
        </w:tc>
        <w:tc>
          <w:tcPr>
            <w:tcW w:w="2407" w:type="pct"/>
            <w:gridSpan w:val="2"/>
            <w:noWrap w:val="0"/>
            <w:vAlign w:val="center"/>
          </w:tcPr>
          <w:p w14:paraId="07288055">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岳阳凯丰环保有限公司</w:t>
            </w:r>
          </w:p>
        </w:tc>
      </w:tr>
      <w:tr w14:paraId="16E53C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92" w:type="pct"/>
            <w:gridSpan w:val="2"/>
            <w:noWrap w:val="0"/>
            <w:vAlign w:val="center"/>
          </w:tcPr>
          <w:p w14:paraId="6D8FD6BE">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统一社会信用代码</w:t>
            </w:r>
          </w:p>
        </w:tc>
        <w:tc>
          <w:tcPr>
            <w:tcW w:w="2407" w:type="pct"/>
            <w:gridSpan w:val="2"/>
            <w:noWrap w:val="0"/>
            <w:vAlign w:val="center"/>
          </w:tcPr>
          <w:p w14:paraId="4BAB9671">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91430602060138255N</w:t>
            </w:r>
          </w:p>
        </w:tc>
      </w:tr>
      <w:tr w14:paraId="257B57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00" w:type="pct"/>
            <w:gridSpan w:val="4"/>
            <w:noWrap w:val="0"/>
            <w:vAlign w:val="center"/>
          </w:tcPr>
          <w:p w14:paraId="04BD1CCA">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三、编制人员情况</w:t>
            </w:r>
          </w:p>
        </w:tc>
      </w:tr>
      <w:tr w14:paraId="4DF0D3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00" w:type="pct"/>
            <w:gridSpan w:val="4"/>
            <w:noWrap w:val="0"/>
            <w:vAlign w:val="center"/>
          </w:tcPr>
          <w:p w14:paraId="31358A50">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1.编制主持人</w:t>
            </w:r>
          </w:p>
        </w:tc>
      </w:tr>
      <w:tr w14:paraId="06E23C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32" w:type="pct"/>
            <w:noWrap w:val="0"/>
            <w:vAlign w:val="center"/>
          </w:tcPr>
          <w:p w14:paraId="43A46754">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姓名</w:t>
            </w:r>
          </w:p>
        </w:tc>
        <w:tc>
          <w:tcPr>
            <w:tcW w:w="1660" w:type="pct"/>
            <w:noWrap w:val="0"/>
            <w:vAlign w:val="center"/>
          </w:tcPr>
          <w:p w14:paraId="43A333A4">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职业资格证书管理号</w:t>
            </w:r>
          </w:p>
        </w:tc>
        <w:tc>
          <w:tcPr>
            <w:tcW w:w="1243" w:type="pct"/>
            <w:noWrap w:val="0"/>
            <w:vAlign w:val="center"/>
          </w:tcPr>
          <w:p w14:paraId="380B63F3">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信用编号</w:t>
            </w:r>
          </w:p>
        </w:tc>
        <w:tc>
          <w:tcPr>
            <w:tcW w:w="1163" w:type="pct"/>
            <w:noWrap w:val="0"/>
            <w:vAlign w:val="center"/>
          </w:tcPr>
          <w:p w14:paraId="32A7A9B5">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签字</w:t>
            </w:r>
          </w:p>
        </w:tc>
      </w:tr>
      <w:tr w14:paraId="531007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744" w:type="dxa"/>
            <w:noWrap w:val="0"/>
            <w:vAlign w:val="center"/>
          </w:tcPr>
          <w:p w14:paraId="797945F7">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jc w:val="center"/>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highlight w:val="none"/>
                <w:u w:val="none" w:color="auto"/>
                <w:lang w:val="en-US" w:eastAsia="zh-CN" w:bidi="ar-SA"/>
              </w:rPr>
              <w:t>闵志华</w:t>
            </w:r>
          </w:p>
        </w:tc>
        <w:tc>
          <w:tcPr>
            <w:tcW w:w="3108" w:type="dxa"/>
            <w:noWrap w:val="0"/>
            <w:vAlign w:val="center"/>
          </w:tcPr>
          <w:p w14:paraId="2C35F41C">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jc w:val="center"/>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highlight w:val="none"/>
                <w:u w:val="none" w:color="auto"/>
                <w:lang w:val="en-US" w:eastAsia="zh-CN" w:bidi="ar-SA"/>
              </w:rPr>
              <w:t>20230503543000000049</w:t>
            </w:r>
          </w:p>
        </w:tc>
        <w:tc>
          <w:tcPr>
            <w:tcW w:w="2326" w:type="dxa"/>
            <w:noWrap w:val="0"/>
            <w:vAlign w:val="center"/>
          </w:tcPr>
          <w:p w14:paraId="2B8D3F02">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jc w:val="center"/>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highlight w:val="none"/>
                <w:u w:val="none" w:color="auto"/>
                <w:lang w:val="en-US" w:eastAsia="zh-CN" w:bidi="ar-SA"/>
              </w:rPr>
              <w:t>BH027656</w:t>
            </w:r>
          </w:p>
        </w:tc>
        <w:tc>
          <w:tcPr>
            <w:tcW w:w="2178" w:type="dxa"/>
            <w:noWrap w:val="0"/>
            <w:vAlign w:val="center"/>
          </w:tcPr>
          <w:p w14:paraId="57B9FB3D">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jc w:val="center"/>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p>
        </w:tc>
      </w:tr>
      <w:tr w14:paraId="79E939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5000" w:type="pct"/>
            <w:gridSpan w:val="4"/>
            <w:noWrap w:val="0"/>
            <w:vAlign w:val="center"/>
          </w:tcPr>
          <w:p w14:paraId="27C9AFA5">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both"/>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2.主要编制人员</w:t>
            </w:r>
          </w:p>
        </w:tc>
      </w:tr>
      <w:tr w14:paraId="19A230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32" w:type="pct"/>
            <w:noWrap w:val="0"/>
            <w:vAlign w:val="center"/>
          </w:tcPr>
          <w:p w14:paraId="4E3CA4DA">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姓名</w:t>
            </w:r>
          </w:p>
        </w:tc>
        <w:tc>
          <w:tcPr>
            <w:tcW w:w="1660" w:type="pct"/>
            <w:noWrap w:val="0"/>
            <w:vAlign w:val="center"/>
          </w:tcPr>
          <w:p w14:paraId="6F0A6C54">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主要编写内容</w:t>
            </w:r>
          </w:p>
        </w:tc>
        <w:tc>
          <w:tcPr>
            <w:tcW w:w="1243" w:type="pct"/>
            <w:noWrap w:val="0"/>
            <w:vAlign w:val="center"/>
          </w:tcPr>
          <w:p w14:paraId="55FB6579">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信用编号</w:t>
            </w:r>
          </w:p>
        </w:tc>
        <w:tc>
          <w:tcPr>
            <w:tcW w:w="1163" w:type="pct"/>
            <w:noWrap w:val="0"/>
            <w:vAlign w:val="center"/>
          </w:tcPr>
          <w:p w14:paraId="09998E30">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bidi="ar-SA"/>
              </w:rPr>
              <w:t>签字</w:t>
            </w:r>
          </w:p>
        </w:tc>
      </w:tr>
      <w:tr w14:paraId="735B05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744" w:type="dxa"/>
            <w:noWrap w:val="0"/>
            <w:vAlign w:val="center"/>
          </w:tcPr>
          <w:p w14:paraId="4F48A4FD">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jc w:val="center"/>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highlight w:val="none"/>
                <w:u w:val="none" w:color="auto"/>
                <w:lang w:val="en-US" w:eastAsia="zh-CN" w:bidi="ar-SA"/>
              </w:rPr>
              <w:t>闵志华</w:t>
            </w:r>
          </w:p>
        </w:tc>
        <w:tc>
          <w:tcPr>
            <w:tcW w:w="3108" w:type="dxa"/>
            <w:noWrap w:val="0"/>
            <w:vAlign w:val="center"/>
          </w:tcPr>
          <w:p w14:paraId="6D30CFE1">
            <w:pPr>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u w:val="none" w:color="auto"/>
                <w:lang w:val="en-US" w:eastAsia="zh-CN"/>
              </w:rPr>
              <w:t>概述、总则、工程概况与工程分析、环境现状调查与评价、环境影响预测与评价、环境保护措施及其可行性分析、环境影响经济损益分析、环境管理与监测计划、环境影响评价结论</w:t>
            </w:r>
          </w:p>
        </w:tc>
        <w:tc>
          <w:tcPr>
            <w:tcW w:w="2326" w:type="dxa"/>
            <w:noWrap w:val="0"/>
            <w:vAlign w:val="center"/>
          </w:tcPr>
          <w:p w14:paraId="0159C377">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jc w:val="center"/>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r>
              <w:rPr>
                <w:rFonts w:hint="default" w:ascii="Times New Roman" w:hAnsi="Times New Roman" w:eastAsia="宋体" w:cs="Times New Roman"/>
                <w:color w:val="auto"/>
                <w:spacing w:val="0"/>
                <w:w w:val="100"/>
                <w:kern w:val="21"/>
                <w:position w:val="0"/>
                <w:sz w:val="21"/>
                <w:szCs w:val="21"/>
                <w:highlight w:val="none"/>
                <w:u w:val="none" w:color="auto"/>
                <w:lang w:val="en-US" w:eastAsia="zh-CN" w:bidi="ar-SA"/>
              </w:rPr>
              <w:t>BH027656</w:t>
            </w:r>
          </w:p>
        </w:tc>
        <w:tc>
          <w:tcPr>
            <w:tcW w:w="1163" w:type="pct"/>
            <w:noWrap w:val="0"/>
            <w:vAlign w:val="center"/>
          </w:tcPr>
          <w:p w14:paraId="6E1331EC">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color w:val="auto"/>
                <w:spacing w:val="0"/>
                <w:w w:val="100"/>
                <w:kern w:val="21"/>
                <w:position w:val="0"/>
                <w:sz w:val="21"/>
                <w:szCs w:val="21"/>
                <w:u w:val="none" w:color="auto"/>
                <w:lang w:val="en-US" w:eastAsia="zh-CN" w:bidi="ar-SA"/>
              </w:rPr>
            </w:pPr>
          </w:p>
        </w:tc>
      </w:tr>
    </w:tbl>
    <w:p w14:paraId="4E528C5A">
      <w:pPr>
        <w:adjustRightInd w:val="0"/>
        <w:spacing w:line="240" w:lineRule="auto"/>
        <w:ind w:firstLine="0"/>
        <w:jc w:val="center"/>
        <w:rPr>
          <w:rFonts w:hint="default" w:ascii="Times New Roman" w:hAnsi="Times New Roman" w:eastAsia="宋体" w:cs="Times New Roman"/>
          <w:b/>
          <w:color w:val="auto"/>
          <w:spacing w:val="0"/>
          <w:w w:val="100"/>
          <w:position w:val="0"/>
          <w:sz w:val="38"/>
          <w:szCs w:val="38"/>
          <w:u w:val="none" w:color="auto"/>
        </w:rPr>
        <w:sectPr>
          <w:footerReference r:id="rId5" w:type="default"/>
          <w:pgSz w:w="11906" w:h="16838"/>
          <w:pgMar w:top="1440" w:right="1803" w:bottom="1440" w:left="1803" w:header="851" w:footer="992" w:gutter="0"/>
          <w:pgBorders>
            <w:top w:val="none" w:sz="0" w:space="0"/>
            <w:left w:val="none" w:sz="0" w:space="0"/>
            <w:bottom w:val="none" w:sz="0" w:space="0"/>
            <w:right w:val="none" w:sz="0" w:space="0"/>
          </w:pgBorders>
          <w:pgNumType w:fmt="upperRoman"/>
          <w:cols w:space="425" w:num="1"/>
          <w:docGrid w:type="lines" w:linePitch="312" w:charSpace="0"/>
        </w:sectPr>
      </w:pPr>
    </w:p>
    <w:p w14:paraId="6B51F9F5">
      <w:pPr>
        <w:pageBreakBefore w:val="0"/>
        <w:kinsoku w:val="0"/>
        <w:wordWrap w:val="0"/>
        <w:overflowPunct/>
        <w:topLinePunct/>
        <w:autoSpaceDE/>
        <w:autoSpaceDN/>
        <w:bidi w:val="0"/>
        <w:adjustRightInd w:val="0"/>
        <w:spacing w:line="360" w:lineRule="auto"/>
        <w:ind w:left="-619" w:leftChars="-295" w:firstLine="0" w:firstLineChars="0"/>
        <w:jc w:val="center"/>
        <w:rPr>
          <w:rFonts w:hint="default" w:ascii="Times New Roman" w:hAnsi="Times New Roman" w:eastAsia="宋体" w:cs="Times New Roman"/>
          <w:b/>
          <w:caps w:val="0"/>
          <w:smallCaps w:val="0"/>
          <w:color w:val="auto"/>
          <w:spacing w:val="0"/>
          <w:w w:val="100"/>
          <w:kern w:val="0"/>
          <w:position w:val="0"/>
          <w:sz w:val="32"/>
          <w:szCs w:val="28"/>
          <w:u w:val="none" w:color="auto"/>
        </w:rPr>
      </w:pPr>
      <w:r>
        <w:rPr>
          <w:rFonts w:hint="default" w:ascii="Times New Roman" w:hAnsi="Times New Roman" w:eastAsia="宋体" w:cs="Times New Roman"/>
          <w:b/>
          <w:caps w:val="0"/>
          <w:smallCaps w:val="0"/>
          <w:color w:val="auto"/>
          <w:spacing w:val="0"/>
          <w:w w:val="100"/>
          <w:kern w:val="0"/>
          <w:position w:val="0"/>
          <w:sz w:val="32"/>
          <w:szCs w:val="28"/>
          <w:u w:val="none" w:color="auto"/>
        </w:rPr>
        <w:t>目 录</w:t>
      </w:r>
    </w:p>
    <w:p w14:paraId="4CD18934">
      <w:pPr>
        <w:pStyle w:val="29"/>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 w:val="24"/>
          <w:szCs w:val="24"/>
          <w:u w:val="none" w:color="auto"/>
        </w:rPr>
        <w:fldChar w:fldCharType="begin"/>
      </w:r>
      <w:r>
        <w:rPr>
          <w:rFonts w:hint="default" w:ascii="Times New Roman" w:hAnsi="Times New Roman" w:eastAsia="宋体" w:cs="Times New Roman"/>
          <w:caps w:val="0"/>
          <w:smallCaps w:val="0"/>
          <w:color w:val="auto"/>
          <w:spacing w:val="0"/>
          <w:w w:val="100"/>
          <w:kern w:val="0"/>
          <w:position w:val="0"/>
          <w:sz w:val="24"/>
          <w:szCs w:val="24"/>
          <w:u w:val="none" w:color="auto"/>
        </w:rPr>
        <w:instrText xml:space="preserve"> TOC \o "1-3" \h \z \u </w:instrText>
      </w:r>
      <w:r>
        <w:rPr>
          <w:rFonts w:hint="default" w:ascii="Times New Roman" w:hAnsi="Times New Roman" w:eastAsia="宋体" w:cs="Times New Roman"/>
          <w:caps w:val="0"/>
          <w:smallCaps w:val="0"/>
          <w:color w:val="auto"/>
          <w:spacing w:val="0"/>
          <w:w w:val="100"/>
          <w:kern w:val="0"/>
          <w:position w:val="0"/>
          <w:sz w:val="24"/>
          <w:szCs w:val="24"/>
          <w:u w:val="none" w:color="auto"/>
        </w:rPr>
        <w:fldChar w:fldCharType="separate"/>
      </w: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_Toc20064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eastAsia="zh-CN"/>
        </w:rPr>
        <w:t>概</w:t>
      </w:r>
      <w:r>
        <w:rPr>
          <w:rFonts w:hint="default" w:ascii="Times New Roman" w:hAnsi="Times New Roman" w:cs="Times New Roman"/>
          <w:lang w:val="en-US" w:eastAsia="zh-CN"/>
        </w:rPr>
        <w:t xml:space="preserve"> </w:t>
      </w:r>
      <w:r>
        <w:rPr>
          <w:rFonts w:hint="default" w:ascii="Times New Roman" w:hAnsi="Times New Roman" w:cs="Times New Roman"/>
          <w:lang w:eastAsia="zh-CN"/>
        </w:rPr>
        <w:t>述</w:t>
      </w:r>
      <w:r>
        <w:tab/>
      </w:r>
      <w:r>
        <w:fldChar w:fldCharType="begin"/>
      </w:r>
      <w:r>
        <w:instrText xml:space="preserve"> PAGEREF _Toc20064 \h </w:instrText>
      </w:r>
      <w:r>
        <w:fldChar w:fldCharType="separate"/>
      </w:r>
      <w:r>
        <w:t>1</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6E336087">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_Toc10271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1项目背景</w:t>
      </w:r>
      <w:r>
        <w:tab/>
      </w:r>
      <w:r>
        <w:fldChar w:fldCharType="begin"/>
      </w:r>
      <w:r>
        <w:instrText xml:space="preserve"> PAGEREF _Toc10271 \h </w:instrText>
      </w:r>
      <w:r>
        <w:fldChar w:fldCharType="separate"/>
      </w:r>
      <w:r>
        <w:t>1</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691F3A8">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_Toc31801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2项目特点</w:t>
      </w:r>
      <w:r>
        <w:tab/>
      </w:r>
      <w:r>
        <w:fldChar w:fldCharType="begin"/>
      </w:r>
      <w:r>
        <w:instrText xml:space="preserve"> PAGEREF _Toc31801 \h </w:instrText>
      </w:r>
      <w:r>
        <w:fldChar w:fldCharType="separate"/>
      </w:r>
      <w:r>
        <w:t>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FEADB1E">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_Toc18649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3环境影响评价工作过程</w:t>
      </w:r>
      <w:r>
        <w:tab/>
      </w:r>
      <w:r>
        <w:fldChar w:fldCharType="begin"/>
      </w:r>
      <w:r>
        <w:instrText xml:space="preserve"> PAGEREF _Toc18649 \h </w:instrText>
      </w:r>
      <w:r>
        <w:fldChar w:fldCharType="separate"/>
      </w:r>
      <w:r>
        <w:t>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063A104">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_Toc354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4分析判定相关情况</w:t>
      </w:r>
      <w:r>
        <w:tab/>
      </w:r>
      <w:r>
        <w:fldChar w:fldCharType="begin"/>
      </w:r>
      <w:r>
        <w:instrText xml:space="preserve"> PAGEREF _Toc354 \h </w:instrText>
      </w:r>
      <w:r>
        <w:fldChar w:fldCharType="separate"/>
      </w:r>
      <w:r>
        <w:t>5</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B2B7449">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_Toc20728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5关注的主要环境问题及环境影响</w:t>
      </w:r>
      <w:r>
        <w:tab/>
      </w:r>
      <w:r>
        <w:fldChar w:fldCharType="begin"/>
      </w:r>
      <w:r>
        <w:instrText xml:space="preserve"> PAGEREF _Toc20728 \h </w:instrText>
      </w:r>
      <w:r>
        <w:fldChar w:fldCharType="separate"/>
      </w:r>
      <w:r>
        <w:t>20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04DF84A">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_Toc14675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6环境影响报告书主要结论</w:t>
      </w:r>
      <w:r>
        <w:tab/>
      </w:r>
      <w:r>
        <w:fldChar w:fldCharType="begin"/>
      </w:r>
      <w:r>
        <w:instrText xml:space="preserve"> PAGEREF _Toc14675 \h </w:instrText>
      </w:r>
      <w:r>
        <w:fldChar w:fldCharType="separate"/>
      </w:r>
      <w:r>
        <w:t>20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2AC8D25">
      <w:pPr>
        <w:pStyle w:val="29"/>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_Toc29404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 1  总则</w:t>
      </w:r>
      <w:r>
        <w:tab/>
      </w:r>
      <w:r>
        <w:fldChar w:fldCharType="begin"/>
      </w:r>
      <w:r>
        <w:instrText xml:space="preserve"> PAGEREF _Toc29404 \h </w:instrText>
      </w:r>
      <w:r>
        <w:fldChar w:fldCharType="separate"/>
      </w:r>
      <w:r>
        <w:t>22</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00A2AEE">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_Toc18087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1.1. 编制依据</w:t>
      </w:r>
      <w:r>
        <w:tab/>
      </w:r>
      <w:r>
        <w:fldChar w:fldCharType="begin"/>
      </w:r>
      <w:r>
        <w:instrText xml:space="preserve"> PAGEREF _Toc18087 \h </w:instrText>
      </w:r>
      <w:r>
        <w:fldChar w:fldCharType="separate"/>
      </w:r>
      <w:r>
        <w:t>22</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6A915FD">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_Toc385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eastAsia="zh-CN"/>
        </w:rPr>
        <w:t xml:space="preserve">1.1.1. </w:t>
      </w:r>
      <w:r>
        <w:rPr>
          <w:rFonts w:hint="default" w:ascii="Times New Roman" w:hAnsi="Times New Roman" w:cs="Times New Roman"/>
        </w:rPr>
        <w:t>法律法规</w:t>
      </w:r>
      <w:r>
        <w:rPr>
          <w:rFonts w:hint="default" w:ascii="Times New Roman" w:hAnsi="Times New Roman" w:cs="Times New Roman"/>
          <w:lang w:eastAsia="zh-CN"/>
        </w:rPr>
        <w:t>、部门规章</w:t>
      </w:r>
      <w:r>
        <w:tab/>
      </w:r>
      <w:r>
        <w:fldChar w:fldCharType="begin"/>
      </w:r>
      <w:r>
        <w:instrText xml:space="preserve"> PAGEREF _Toc385 \h </w:instrText>
      </w:r>
      <w:r>
        <w:fldChar w:fldCharType="separate"/>
      </w:r>
      <w:r>
        <w:t>22</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CD86D6B">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_Toc18420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1.1.2. 地方法规规章</w:t>
      </w:r>
      <w:r>
        <w:tab/>
      </w:r>
      <w:r>
        <w:fldChar w:fldCharType="begin"/>
      </w:r>
      <w:r>
        <w:instrText xml:space="preserve"> PAGEREF _Toc18420 \h </w:instrText>
      </w:r>
      <w:r>
        <w:fldChar w:fldCharType="separate"/>
      </w:r>
      <w:r>
        <w:t>24</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B7B7D3B">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_Toc649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 xml:space="preserve">1.1.3. </w:t>
      </w:r>
      <w:r>
        <w:rPr>
          <w:rFonts w:hint="default" w:ascii="Times New Roman" w:hAnsi="Times New Roman" w:cs="Times New Roman"/>
          <w:lang w:eastAsia="zh-CN"/>
        </w:rPr>
        <w:t>规划区划</w:t>
      </w:r>
      <w:r>
        <w:tab/>
      </w:r>
      <w:r>
        <w:fldChar w:fldCharType="begin"/>
      </w:r>
      <w:r>
        <w:instrText xml:space="preserve"> PAGEREF _Toc649 \h </w:instrText>
      </w:r>
      <w:r>
        <w:fldChar w:fldCharType="separate"/>
      </w:r>
      <w:r>
        <w:t>25</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C9F479A">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_Toc4139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eastAsia="宋体" w:cs="Times New Roman"/>
          <w:caps w:val="0"/>
          <w:smallCaps w:val="0"/>
          <w:spacing w:val="0"/>
          <w:w w:val="100"/>
          <w:position w:val="0"/>
          <w:szCs w:val="28"/>
        </w:rPr>
        <w:t xml:space="preserve">1.1.4. </w:t>
      </w:r>
      <w:r>
        <w:rPr>
          <w:rFonts w:hint="default" w:ascii="Times New Roman" w:hAnsi="Times New Roman" w:eastAsia="宋体" w:cs="Times New Roman"/>
          <w:caps w:val="0"/>
          <w:smallCaps w:val="0"/>
          <w:spacing w:val="0"/>
          <w:w w:val="100"/>
          <w:position w:val="0"/>
          <w:szCs w:val="28"/>
          <w:lang w:val="zh-CN"/>
        </w:rPr>
        <w:t>技术规范及标准</w:t>
      </w:r>
      <w:r>
        <w:tab/>
      </w:r>
      <w:r>
        <w:fldChar w:fldCharType="begin"/>
      </w:r>
      <w:r>
        <w:instrText xml:space="preserve"> PAGEREF _Toc4139 \h </w:instrText>
      </w:r>
      <w:r>
        <w:fldChar w:fldCharType="separate"/>
      </w:r>
      <w:r>
        <w:t>25</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79E0BE2">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_Toc14742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1.1.5. 项目有关报告和文件</w:t>
      </w:r>
      <w:r>
        <w:tab/>
      </w:r>
      <w:r>
        <w:fldChar w:fldCharType="begin"/>
      </w:r>
      <w:r>
        <w:instrText xml:space="preserve"> PAGEREF _Toc14742 \h </w:instrText>
      </w:r>
      <w:r>
        <w:fldChar w:fldCharType="separate"/>
      </w:r>
      <w:r>
        <w:t>26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F841093">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_Toc26386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1.2. 评价目的及重点</w:t>
      </w:r>
      <w:r>
        <w:tab/>
      </w:r>
      <w:r>
        <w:fldChar w:fldCharType="begin"/>
      </w:r>
      <w:r>
        <w:instrText xml:space="preserve"> PAGEREF _Toc26386 \h </w:instrText>
      </w:r>
      <w:r>
        <w:fldChar w:fldCharType="separate"/>
      </w:r>
      <w:r>
        <w:t>27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EAA3F86">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_Toc16210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1.2.1. 评价目的</w:t>
      </w:r>
      <w:r>
        <w:tab/>
      </w:r>
      <w:r>
        <w:fldChar w:fldCharType="begin"/>
      </w:r>
      <w:r>
        <w:instrText xml:space="preserve"> PAGEREF _Toc16210 \h </w:instrText>
      </w:r>
      <w:r>
        <w:fldChar w:fldCharType="separate"/>
      </w:r>
      <w:r>
        <w:t>27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10DBEE8">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_Toc15016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1.2.2. 评价重点</w:t>
      </w:r>
      <w:r>
        <w:tab/>
      </w:r>
      <w:r>
        <w:fldChar w:fldCharType="begin"/>
      </w:r>
      <w:r>
        <w:instrText xml:space="preserve"> PAGEREF _Toc15016 \h </w:instrText>
      </w:r>
      <w:r>
        <w:fldChar w:fldCharType="separate"/>
      </w:r>
      <w:r>
        <w:t>27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01AC785">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_Toc2519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1.3. 环境影响识别与评价因子</w:t>
      </w:r>
      <w:r>
        <w:tab/>
      </w:r>
      <w:r>
        <w:fldChar w:fldCharType="begin"/>
      </w:r>
      <w:r>
        <w:instrText xml:space="preserve"> PAGEREF _Toc2519 \h </w:instrText>
      </w:r>
      <w:r>
        <w:fldChar w:fldCharType="separate"/>
      </w:r>
      <w:r>
        <w:t>28</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FA9C572">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_Toc12388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1.3.1. 环境影响因素识别</w:t>
      </w:r>
      <w:r>
        <w:tab/>
      </w:r>
      <w:r>
        <w:fldChar w:fldCharType="begin"/>
      </w:r>
      <w:r>
        <w:instrText xml:space="preserve"> PAGEREF _Toc12388 \h </w:instrText>
      </w:r>
      <w:r>
        <w:fldChar w:fldCharType="separate"/>
      </w:r>
      <w:r>
        <w:t>28</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6416FFF">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_Toc14689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1.3.2. 评价因子确定</w:t>
      </w:r>
      <w:r>
        <w:tab/>
      </w:r>
      <w:r>
        <w:fldChar w:fldCharType="begin"/>
      </w:r>
      <w:r>
        <w:instrText xml:space="preserve"> PAGEREF _Toc14689 \h </w:instrText>
      </w:r>
      <w:r>
        <w:fldChar w:fldCharType="separate"/>
      </w:r>
      <w:r>
        <w:t>29</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94A559A">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_Toc15791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1.4. 环境功能区划</w:t>
      </w:r>
      <w:r>
        <w:tab/>
      </w:r>
      <w:r>
        <w:fldChar w:fldCharType="begin"/>
      </w:r>
      <w:r>
        <w:instrText xml:space="preserve"> PAGEREF _Toc15791 \h </w:instrText>
      </w:r>
      <w:r>
        <w:fldChar w:fldCharType="separate"/>
      </w:r>
      <w:r>
        <w:t>29</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EBB6A96">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_Toc21348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1.4.1. 大气环境功能区划</w:t>
      </w:r>
      <w:r>
        <w:tab/>
      </w:r>
      <w:r>
        <w:fldChar w:fldCharType="begin"/>
      </w:r>
      <w:r>
        <w:instrText xml:space="preserve"> PAGEREF _Toc21348 \h </w:instrText>
      </w:r>
      <w:r>
        <w:fldChar w:fldCharType="separate"/>
      </w:r>
      <w:r>
        <w:t>29</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9B7FDC2">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_Toc26902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1.4.2. 水环境功能区划</w:t>
      </w:r>
      <w:r>
        <w:tab/>
      </w:r>
      <w:r>
        <w:fldChar w:fldCharType="begin"/>
      </w:r>
      <w:r>
        <w:instrText xml:space="preserve"> PAGEREF _Toc26902 \h </w:instrText>
      </w:r>
      <w:r>
        <w:fldChar w:fldCharType="separate"/>
      </w:r>
      <w:r>
        <w:t>30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61FC178D">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_Toc10110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1.4.3. 声环境功能区划</w:t>
      </w:r>
      <w:r>
        <w:tab/>
      </w:r>
      <w:r>
        <w:fldChar w:fldCharType="begin"/>
      </w:r>
      <w:r>
        <w:instrText xml:space="preserve"> PAGEREF _Toc10110 \h </w:instrText>
      </w:r>
      <w:r>
        <w:fldChar w:fldCharType="separate"/>
      </w:r>
      <w:r>
        <w:t>31</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629117A">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_Toc8696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1.4.4. 土壤环境功能区划</w:t>
      </w:r>
      <w:r>
        <w:tab/>
      </w:r>
      <w:r>
        <w:fldChar w:fldCharType="begin"/>
      </w:r>
      <w:r>
        <w:instrText xml:space="preserve"> PAGEREF _Toc8696 \h </w:instrText>
      </w:r>
      <w:r>
        <w:fldChar w:fldCharType="separate"/>
      </w:r>
      <w:r>
        <w:t>31</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BB90347">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_Toc13541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1.4.5. </w:t>
      </w:r>
      <w:r>
        <w:rPr>
          <w:rFonts w:hint="default" w:ascii="Times New Roman" w:hAnsi="Times New Roman" w:cs="Times New Roman"/>
          <w:lang w:val="en-US" w:eastAsia="zh-CN"/>
        </w:rPr>
        <w:t>生</w:t>
      </w:r>
      <w:r>
        <w:rPr>
          <w:rFonts w:hint="default" w:ascii="Times New Roman" w:hAnsi="Times New Roman" w:cs="Times New Roman"/>
        </w:rPr>
        <w:t>环境功能区划</w:t>
      </w:r>
      <w:r>
        <w:tab/>
      </w:r>
      <w:r>
        <w:fldChar w:fldCharType="begin"/>
      </w:r>
      <w:r>
        <w:instrText xml:space="preserve"> PAGEREF _Toc13541 \h </w:instrText>
      </w:r>
      <w:r>
        <w:fldChar w:fldCharType="separate"/>
      </w:r>
      <w:r>
        <w:t>31</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E73AA50">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_Toc19137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1.5. 评价标准</w:t>
      </w:r>
      <w:r>
        <w:tab/>
      </w:r>
      <w:r>
        <w:fldChar w:fldCharType="begin"/>
      </w:r>
      <w:r>
        <w:instrText xml:space="preserve"> PAGEREF _Toc19137 \h </w:instrText>
      </w:r>
      <w:r>
        <w:fldChar w:fldCharType="separate"/>
      </w:r>
      <w:r>
        <w:t>32</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F0BB4B4">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_Toc23604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1.5.1. 环境质量标准</w:t>
      </w:r>
      <w:r>
        <w:tab/>
      </w:r>
      <w:r>
        <w:fldChar w:fldCharType="begin"/>
      </w:r>
      <w:r>
        <w:instrText xml:space="preserve"> PAGEREF _Toc23604 \h </w:instrText>
      </w:r>
      <w:r>
        <w:fldChar w:fldCharType="separate"/>
      </w:r>
      <w:r>
        <w:t>32</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33809B7">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_Toc12791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1.5.2. 污染物排放标准</w:t>
      </w:r>
      <w:r>
        <w:tab/>
      </w:r>
      <w:r>
        <w:fldChar w:fldCharType="begin"/>
      </w:r>
      <w:r>
        <w:instrText xml:space="preserve"> PAGEREF _Toc12791 \h </w:instrText>
      </w:r>
      <w:r>
        <w:fldChar w:fldCharType="separate"/>
      </w:r>
      <w:r>
        <w:t>37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51AD1C9">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_Toc18638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1.6. 评价等级及评价范围</w:t>
      </w:r>
      <w:r>
        <w:tab/>
      </w:r>
      <w:r>
        <w:fldChar w:fldCharType="begin"/>
      </w:r>
      <w:r>
        <w:instrText xml:space="preserve"> PAGEREF _Toc18638 \h </w:instrText>
      </w:r>
      <w:r>
        <w:fldChar w:fldCharType="separate"/>
      </w:r>
      <w:r>
        <w:t>38</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09F1FEB">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_Toc22682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1.6.1. 评价等级</w:t>
      </w:r>
      <w:r>
        <w:tab/>
      </w:r>
      <w:r>
        <w:fldChar w:fldCharType="begin"/>
      </w:r>
      <w:r>
        <w:instrText xml:space="preserve"> PAGEREF _Toc22682 \h </w:instrText>
      </w:r>
      <w:r>
        <w:fldChar w:fldCharType="separate"/>
      </w:r>
      <w:r>
        <w:t>38</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AD37811">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_Toc5679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1.6.2. 评价范围</w:t>
      </w:r>
      <w:r>
        <w:tab/>
      </w:r>
      <w:r>
        <w:fldChar w:fldCharType="begin"/>
      </w:r>
      <w:r>
        <w:instrText xml:space="preserve"> PAGEREF _Toc5679 \h </w:instrText>
      </w:r>
      <w:r>
        <w:fldChar w:fldCharType="separate"/>
      </w:r>
      <w:r>
        <w:t>44</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6F75CEF">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_Toc6319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1.7. 评价时段</w:t>
      </w:r>
      <w:r>
        <w:tab/>
      </w:r>
      <w:r>
        <w:fldChar w:fldCharType="begin"/>
      </w:r>
      <w:r>
        <w:instrText xml:space="preserve"> PAGEREF _Toc6319 \h </w:instrText>
      </w:r>
      <w:r>
        <w:fldChar w:fldCharType="separate"/>
      </w:r>
      <w:r>
        <w:t>44</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6B4FDF10">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_Toc6369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1.8. 环境敏感区域和保护目标</w:t>
      </w:r>
      <w:r>
        <w:tab/>
      </w:r>
      <w:r>
        <w:fldChar w:fldCharType="begin"/>
      </w:r>
      <w:r>
        <w:instrText xml:space="preserve"> PAGEREF _Toc6369 \h </w:instrText>
      </w:r>
      <w:r>
        <w:fldChar w:fldCharType="separate"/>
      </w:r>
      <w:r>
        <w:t>44</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55A7614">
      <w:pPr>
        <w:pStyle w:val="29"/>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_Toc5354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2. 2  工程概况与工程分析</w:t>
      </w:r>
      <w:r>
        <w:tab/>
      </w:r>
      <w:r>
        <w:fldChar w:fldCharType="begin"/>
      </w:r>
      <w:r>
        <w:instrText xml:space="preserve"> PAGEREF _Toc5354 \h </w:instrText>
      </w:r>
      <w:r>
        <w:fldChar w:fldCharType="separate"/>
      </w:r>
      <w:r>
        <w:t>47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54A5EBB">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_Toc12265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2.1. </w:t>
      </w:r>
      <w:r>
        <w:rPr>
          <w:rFonts w:hint="default" w:ascii="Times New Roman" w:hAnsi="Times New Roman" w:cs="Times New Roman"/>
          <w:lang w:eastAsia="zh-CN"/>
        </w:rPr>
        <w:t>现有</w:t>
      </w:r>
      <w:r>
        <w:rPr>
          <w:rFonts w:hint="default" w:ascii="Times New Roman" w:hAnsi="Times New Roman" w:cs="Times New Roman"/>
        </w:rPr>
        <w:t>工程概况</w:t>
      </w:r>
      <w:r>
        <w:tab/>
      </w:r>
      <w:r>
        <w:fldChar w:fldCharType="begin"/>
      </w:r>
      <w:r>
        <w:instrText xml:space="preserve"> PAGEREF _Toc12265 \h </w:instrText>
      </w:r>
      <w:r>
        <w:fldChar w:fldCharType="separate"/>
      </w:r>
      <w:r>
        <w:t>47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A46FEDB">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_Toc25291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 xml:space="preserve">2.1.1. </w:t>
      </w:r>
      <w:r>
        <w:rPr>
          <w:rFonts w:hint="default" w:ascii="Times New Roman" w:hAnsi="Times New Roman" w:cs="Times New Roman"/>
          <w:lang w:eastAsia="zh-CN"/>
        </w:rPr>
        <w:t>东山水库总体情况</w:t>
      </w:r>
      <w:r>
        <w:tab/>
      </w:r>
      <w:r>
        <w:fldChar w:fldCharType="begin"/>
      </w:r>
      <w:r>
        <w:instrText xml:space="preserve"> PAGEREF _Toc25291 \h </w:instrText>
      </w:r>
      <w:r>
        <w:fldChar w:fldCharType="separate"/>
      </w:r>
      <w:r>
        <w:t>47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641E3B1">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_Toc27380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eastAsia="zh-CN"/>
        </w:rPr>
        <w:t>2.1.2. 东山水库</w:t>
      </w:r>
      <w:r>
        <w:rPr>
          <w:rFonts w:hint="default" w:ascii="Times New Roman" w:hAnsi="Times New Roman" w:cs="Times New Roman"/>
          <w:lang w:val="en-US" w:eastAsia="zh-CN"/>
        </w:rPr>
        <w:t>现状</w:t>
      </w:r>
      <w:r>
        <w:tab/>
      </w:r>
      <w:r>
        <w:fldChar w:fldCharType="begin"/>
      </w:r>
      <w:r>
        <w:instrText xml:space="preserve"> PAGEREF _Toc27380 \h </w:instrText>
      </w:r>
      <w:r>
        <w:fldChar w:fldCharType="separate"/>
      </w:r>
      <w:r>
        <w:t>48</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D75D385">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_Toc10942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eastAsia="zh-CN"/>
        </w:rPr>
        <w:t>2.1.3. 东山水库历年安全鉴定及除险加固情况</w:t>
      </w:r>
      <w:r>
        <w:tab/>
      </w:r>
      <w:r>
        <w:fldChar w:fldCharType="begin"/>
      </w:r>
      <w:r>
        <w:instrText xml:space="preserve"> PAGEREF _Toc10942 \h </w:instrText>
      </w:r>
      <w:r>
        <w:fldChar w:fldCharType="separate"/>
      </w:r>
      <w:r>
        <w:t>52</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6535F99A">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_Toc29318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2.2. </w:t>
      </w:r>
      <w:r>
        <w:rPr>
          <w:rFonts w:hint="default" w:ascii="Times New Roman" w:hAnsi="Times New Roman" w:cs="Times New Roman"/>
          <w:lang w:val="en-US" w:eastAsia="zh-CN"/>
        </w:rPr>
        <w:t>除险加固工程概况</w:t>
      </w:r>
      <w:r>
        <w:tab/>
      </w:r>
      <w:r>
        <w:fldChar w:fldCharType="begin"/>
      </w:r>
      <w:r>
        <w:instrText xml:space="preserve"> PAGEREF _Toc29318 \h </w:instrText>
      </w:r>
      <w:r>
        <w:fldChar w:fldCharType="separate"/>
      </w:r>
      <w:r>
        <w:t>63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F70C8FF">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_Toc5611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eastAsia="zh-CN"/>
        </w:rPr>
        <w:t>2.2.1. 除险加固的必要性</w:t>
      </w:r>
      <w:r>
        <w:tab/>
      </w:r>
      <w:r>
        <w:fldChar w:fldCharType="begin"/>
      </w:r>
      <w:r>
        <w:instrText xml:space="preserve"> PAGEREF _Toc5611 \h </w:instrText>
      </w:r>
      <w:r>
        <w:fldChar w:fldCharType="separate"/>
      </w:r>
      <w:r>
        <w:t>63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1796868">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_Toc19188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2.2.2. 工程概况</w:t>
      </w:r>
      <w:r>
        <w:tab/>
      </w:r>
      <w:r>
        <w:fldChar w:fldCharType="begin"/>
      </w:r>
      <w:r>
        <w:instrText xml:space="preserve"> PAGEREF _Toc19188 \h </w:instrText>
      </w:r>
      <w:r>
        <w:fldChar w:fldCharType="separate"/>
      </w:r>
      <w:r>
        <w:t>64</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CE3AECA">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_Toc24543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2.2.3. </w:t>
      </w:r>
      <w:r>
        <w:rPr>
          <w:rFonts w:hint="default" w:ascii="Times New Roman" w:hAnsi="Times New Roman" w:cs="Times New Roman"/>
          <w:lang w:eastAsia="zh-CN"/>
        </w:rPr>
        <w:t>除险加固工程设计</w:t>
      </w:r>
      <w:r>
        <w:tab/>
      </w:r>
      <w:r>
        <w:fldChar w:fldCharType="begin"/>
      </w:r>
      <w:r>
        <w:instrText xml:space="preserve"> PAGEREF _Toc24543 \h </w:instrText>
      </w:r>
      <w:r>
        <w:fldChar w:fldCharType="separate"/>
      </w:r>
      <w:r>
        <w:t>67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8D34CEE">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_Toc4092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2.2.4. 施工组织设计</w:t>
      </w:r>
      <w:r>
        <w:tab/>
      </w:r>
      <w:r>
        <w:fldChar w:fldCharType="begin"/>
      </w:r>
      <w:r>
        <w:instrText xml:space="preserve"> PAGEREF _Toc4092 \h </w:instrText>
      </w:r>
      <w:r>
        <w:fldChar w:fldCharType="separate"/>
      </w:r>
      <w:r>
        <w:t>70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1BAFF64">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_Toc21052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2.2.5. 施工总布置</w:t>
      </w:r>
      <w:r>
        <w:tab/>
      </w:r>
      <w:r>
        <w:fldChar w:fldCharType="begin"/>
      </w:r>
      <w:r>
        <w:instrText xml:space="preserve"> PAGEREF _Toc21052 \h </w:instrText>
      </w:r>
      <w:r>
        <w:fldChar w:fldCharType="separate"/>
      </w:r>
      <w:r>
        <w:t>73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5463F53">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_Toc30250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2.3. 施工总进度</w:t>
      </w:r>
      <w:r>
        <w:tab/>
      </w:r>
      <w:r>
        <w:fldChar w:fldCharType="begin"/>
      </w:r>
      <w:r>
        <w:instrText xml:space="preserve"> PAGEREF _Toc30250 \h </w:instrText>
      </w:r>
      <w:r>
        <w:fldChar w:fldCharType="separate"/>
      </w:r>
      <w:r>
        <w:t>75</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FEB3B97">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_Toc25348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2.4. 建设征地与移民安置</w:t>
      </w:r>
      <w:r>
        <w:tab/>
      </w:r>
      <w:r>
        <w:fldChar w:fldCharType="begin"/>
      </w:r>
      <w:r>
        <w:instrText xml:space="preserve"> PAGEREF _Toc25348 \h </w:instrText>
      </w:r>
      <w:r>
        <w:fldChar w:fldCharType="separate"/>
      </w:r>
      <w:r>
        <w:t>75</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6FC0451">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_Toc2166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2.4.1. 建设征地</w:t>
      </w:r>
      <w:r>
        <w:tab/>
      </w:r>
      <w:r>
        <w:fldChar w:fldCharType="begin"/>
      </w:r>
      <w:r>
        <w:instrText xml:space="preserve"> PAGEREF _Toc2166 \h </w:instrText>
      </w:r>
      <w:r>
        <w:fldChar w:fldCharType="separate"/>
      </w:r>
      <w:r>
        <w:t>75</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24C5FCC">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_Toc12875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2.4.2. 移民安置</w:t>
      </w:r>
      <w:r>
        <w:tab/>
      </w:r>
      <w:r>
        <w:fldChar w:fldCharType="begin"/>
      </w:r>
      <w:r>
        <w:instrText xml:space="preserve"> PAGEREF _Toc12875 \h </w:instrText>
      </w:r>
      <w:r>
        <w:fldChar w:fldCharType="separate"/>
      </w:r>
      <w:r>
        <w:t>76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4B0F981">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_Toc3005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2.5. 工程分析</w:t>
      </w:r>
      <w:r>
        <w:tab/>
      </w:r>
      <w:r>
        <w:fldChar w:fldCharType="begin"/>
      </w:r>
      <w:r>
        <w:instrText xml:space="preserve"> PAGEREF _Toc3005 \h </w:instrText>
      </w:r>
      <w:r>
        <w:fldChar w:fldCharType="separate"/>
      </w:r>
      <w:r>
        <w:t>76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2B06A90">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_Toc19015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2.5.1. 施工工艺</w:t>
      </w:r>
      <w:r>
        <w:tab/>
      </w:r>
      <w:r>
        <w:fldChar w:fldCharType="begin"/>
      </w:r>
      <w:r>
        <w:instrText xml:space="preserve"> PAGEREF _Toc19015 \h </w:instrText>
      </w:r>
      <w:r>
        <w:fldChar w:fldCharType="separate"/>
      </w:r>
      <w:r>
        <w:t>76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AB1E6BA">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_Toc32507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2.5.2. 施工期污染源分析</w:t>
      </w:r>
      <w:r>
        <w:tab/>
      </w:r>
      <w:r>
        <w:fldChar w:fldCharType="begin"/>
      </w:r>
      <w:r>
        <w:instrText xml:space="preserve"> PAGEREF _Toc32507 \h </w:instrText>
      </w:r>
      <w:r>
        <w:fldChar w:fldCharType="separate"/>
      </w:r>
      <w:r>
        <w:t>83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22B1EAF">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_Toc23835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2.5.3. 营运期污染源分析</w:t>
      </w:r>
      <w:r>
        <w:tab/>
      </w:r>
      <w:r>
        <w:fldChar w:fldCharType="begin"/>
      </w:r>
      <w:r>
        <w:instrText xml:space="preserve"> PAGEREF _Toc23835 \h </w:instrText>
      </w:r>
      <w:r>
        <w:fldChar w:fldCharType="separate"/>
      </w:r>
      <w:r>
        <w:t>88</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4D46EB2">
      <w:pPr>
        <w:pStyle w:val="29"/>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_Toc9848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3. 环境现状调查与评价</w:t>
      </w:r>
      <w:r>
        <w:tab/>
      </w:r>
      <w:r>
        <w:fldChar w:fldCharType="begin"/>
      </w:r>
      <w:r>
        <w:instrText xml:space="preserve"> PAGEREF _Toc9848 \h </w:instrText>
      </w:r>
      <w:r>
        <w:fldChar w:fldCharType="separate"/>
      </w:r>
      <w:r>
        <w:t>89</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2920D5C">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_Toc21974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3.1. 自然环境概况</w:t>
      </w:r>
      <w:r>
        <w:tab/>
      </w:r>
      <w:r>
        <w:fldChar w:fldCharType="begin"/>
      </w:r>
      <w:r>
        <w:instrText xml:space="preserve"> PAGEREF _Toc21974 \h </w:instrText>
      </w:r>
      <w:r>
        <w:fldChar w:fldCharType="separate"/>
      </w:r>
      <w:r>
        <w:t>89</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238AABF">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_Toc16714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eastAsia="zh-CN"/>
        </w:rPr>
        <w:t>3.1.1. 流域概况</w:t>
      </w:r>
      <w:r>
        <w:tab/>
      </w:r>
      <w:r>
        <w:fldChar w:fldCharType="begin"/>
      </w:r>
      <w:r>
        <w:instrText xml:space="preserve"> PAGEREF _Toc16714 \h </w:instrText>
      </w:r>
      <w:r>
        <w:fldChar w:fldCharType="separate"/>
      </w:r>
      <w:r>
        <w:t>89</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AE49AAC">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_Toc32373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eastAsia="zh-CN"/>
        </w:rPr>
        <w:t>3.1.2. 地理位置</w:t>
      </w:r>
      <w:r>
        <w:tab/>
      </w:r>
      <w:r>
        <w:fldChar w:fldCharType="begin"/>
      </w:r>
      <w:r>
        <w:instrText xml:space="preserve"> PAGEREF _Toc32373 \h </w:instrText>
      </w:r>
      <w:r>
        <w:fldChar w:fldCharType="separate"/>
      </w:r>
      <w:r>
        <w:t>90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A4139AB">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_Toc17358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3.1.3. 气象</w:t>
      </w:r>
      <w:r>
        <w:tab/>
      </w:r>
      <w:r>
        <w:fldChar w:fldCharType="begin"/>
      </w:r>
      <w:r>
        <w:instrText xml:space="preserve"> PAGEREF _Toc17358 \h </w:instrText>
      </w:r>
      <w:r>
        <w:fldChar w:fldCharType="separate"/>
      </w:r>
      <w:r>
        <w:t>90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2B95071">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_Toc19179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3.1.4. 泥沙</w:t>
      </w:r>
      <w:r>
        <w:tab/>
      </w:r>
      <w:r>
        <w:fldChar w:fldCharType="begin"/>
      </w:r>
      <w:r>
        <w:instrText xml:space="preserve"> PAGEREF _Toc19179 \h </w:instrText>
      </w:r>
      <w:r>
        <w:fldChar w:fldCharType="separate"/>
      </w:r>
      <w:r>
        <w:t>90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93F2849">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_Toc1801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eastAsia="宋体" w:cs="Times New Roman"/>
          <w:caps w:val="0"/>
          <w:smallCaps w:val="0"/>
          <w:spacing w:val="0"/>
          <w:w w:val="100"/>
          <w:position w:val="0"/>
          <w:szCs w:val="28"/>
        </w:rPr>
        <w:t xml:space="preserve">3.1.5. </w:t>
      </w:r>
      <w:r>
        <w:rPr>
          <w:rFonts w:hint="default" w:ascii="Times New Roman" w:hAnsi="Times New Roman" w:eastAsia="SimSun,Bold" w:cs="Times New Roman"/>
          <w:spacing w:val="0"/>
          <w:w w:val="100"/>
          <w:position w:val="0"/>
          <w:szCs w:val="24"/>
        </w:rPr>
        <w:t>区域地质概况</w:t>
      </w:r>
      <w:r>
        <w:tab/>
      </w:r>
      <w:r>
        <w:fldChar w:fldCharType="begin"/>
      </w:r>
      <w:r>
        <w:instrText xml:space="preserve"> PAGEREF _Toc1801 \h </w:instrText>
      </w:r>
      <w:r>
        <w:fldChar w:fldCharType="separate"/>
      </w:r>
      <w:r>
        <w:t>91</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CD5F977">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_Toc6527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3.1.6. 水库区工程地质</w:t>
      </w:r>
      <w:r>
        <w:tab/>
      </w:r>
      <w:r>
        <w:fldChar w:fldCharType="begin"/>
      </w:r>
      <w:r>
        <w:instrText xml:space="preserve"> PAGEREF _Toc6527 \h </w:instrText>
      </w:r>
      <w:r>
        <w:fldChar w:fldCharType="separate"/>
      </w:r>
      <w:r>
        <w:t>91</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0FA31C0">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_Toc7195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eastAsia="SimSun,Bold" w:cs="Times New Roman"/>
          <w:spacing w:val="0"/>
          <w:w w:val="100"/>
          <w:position w:val="0"/>
          <w:szCs w:val="24"/>
        </w:rPr>
        <w:t>3.1.7. 文地质条件</w:t>
      </w:r>
      <w:r>
        <w:tab/>
      </w:r>
      <w:r>
        <w:fldChar w:fldCharType="begin"/>
      </w:r>
      <w:r>
        <w:instrText xml:space="preserve"> PAGEREF _Toc7195 \h </w:instrText>
      </w:r>
      <w:r>
        <w:fldChar w:fldCharType="separate"/>
      </w:r>
      <w:r>
        <w:t>96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68E739D6">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_Toc31486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3.2. </w:t>
      </w:r>
      <w:r>
        <w:rPr>
          <w:rFonts w:hint="default" w:ascii="Times New Roman" w:hAnsi="Times New Roman" w:cs="Times New Roman"/>
          <w:lang w:val="en-US" w:eastAsia="zh-CN"/>
        </w:rPr>
        <w:t>环境质量</w:t>
      </w:r>
      <w:r>
        <w:rPr>
          <w:rFonts w:hint="default" w:ascii="Times New Roman" w:hAnsi="Times New Roman" w:cs="Times New Roman"/>
        </w:rPr>
        <w:t>现状调查与评价</w:t>
      </w:r>
      <w:r>
        <w:tab/>
      </w:r>
      <w:r>
        <w:fldChar w:fldCharType="begin"/>
      </w:r>
      <w:r>
        <w:instrText xml:space="preserve"> PAGEREF _Toc31486 \h </w:instrText>
      </w:r>
      <w:r>
        <w:fldChar w:fldCharType="separate"/>
      </w:r>
      <w:r>
        <w:t>97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7BA7145">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_Toc11295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3.2.1. 环境空气现状调查与评价</w:t>
      </w:r>
      <w:r>
        <w:tab/>
      </w:r>
      <w:r>
        <w:fldChar w:fldCharType="begin"/>
      </w:r>
      <w:r>
        <w:instrText xml:space="preserve"> PAGEREF _Toc11295 \h </w:instrText>
      </w:r>
      <w:r>
        <w:fldChar w:fldCharType="separate"/>
      </w:r>
      <w:r>
        <w:t>97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1241DFE">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_Toc27024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3.2.2. 地表水环境现状调查与评价</w:t>
      </w:r>
      <w:r>
        <w:tab/>
      </w:r>
      <w:r>
        <w:fldChar w:fldCharType="begin"/>
      </w:r>
      <w:r>
        <w:instrText xml:space="preserve"> PAGEREF _Toc27024 \h </w:instrText>
      </w:r>
      <w:r>
        <w:fldChar w:fldCharType="separate"/>
      </w:r>
      <w:r>
        <w:t>99</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2FA784A">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_Toc20525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3.2.3. 地下水环境现状调查与评价</w:t>
      </w:r>
      <w:r>
        <w:tab/>
      </w:r>
      <w:r>
        <w:fldChar w:fldCharType="begin"/>
      </w:r>
      <w:r>
        <w:instrText xml:space="preserve"> PAGEREF _Toc20525 \h </w:instrText>
      </w:r>
      <w:r>
        <w:fldChar w:fldCharType="separate"/>
      </w:r>
      <w:r>
        <w:t>107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535E272">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_Toc19257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3.2.4. 声环境现状调查与评价</w:t>
      </w:r>
      <w:r>
        <w:tab/>
      </w:r>
      <w:r>
        <w:fldChar w:fldCharType="begin"/>
      </w:r>
      <w:r>
        <w:instrText xml:space="preserve"> PAGEREF _Toc19257 \h </w:instrText>
      </w:r>
      <w:r>
        <w:fldChar w:fldCharType="separate"/>
      </w:r>
      <w:r>
        <w:t>112</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37D3FCD">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_Toc27231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3.2.5. 土壤环境现状调查与评价</w:t>
      </w:r>
      <w:r>
        <w:tab/>
      </w:r>
      <w:r>
        <w:fldChar w:fldCharType="begin"/>
      </w:r>
      <w:r>
        <w:instrText xml:space="preserve"> PAGEREF _Toc27231 \h </w:instrText>
      </w:r>
      <w:r>
        <w:fldChar w:fldCharType="separate"/>
      </w:r>
      <w:r>
        <w:t>113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7866F4E">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_Toc17731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3.3. 生态环境现状调查与评价</w:t>
      </w:r>
      <w:r>
        <w:tab/>
      </w:r>
      <w:r>
        <w:fldChar w:fldCharType="begin"/>
      </w:r>
      <w:r>
        <w:instrText xml:space="preserve"> PAGEREF _Toc17731 \h </w:instrText>
      </w:r>
      <w:r>
        <w:fldChar w:fldCharType="separate"/>
      </w:r>
      <w:r>
        <w:t>120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22D99C0">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_Toc4099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3.3.1. 主要调查内容和评价方法</w:t>
      </w:r>
      <w:r>
        <w:tab/>
      </w:r>
      <w:r>
        <w:fldChar w:fldCharType="begin"/>
      </w:r>
      <w:r>
        <w:instrText xml:space="preserve"> PAGEREF _Toc4099 \h </w:instrText>
      </w:r>
      <w:r>
        <w:fldChar w:fldCharType="separate"/>
      </w:r>
      <w:r>
        <w:t>120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68523F7C">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_Toc20524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3.3.2. 生态功能区划及主要生态问题</w:t>
      </w:r>
      <w:r>
        <w:tab/>
      </w:r>
      <w:r>
        <w:fldChar w:fldCharType="begin"/>
      </w:r>
      <w:r>
        <w:instrText xml:space="preserve"> PAGEREF _Toc20524 \h </w:instrText>
      </w:r>
      <w:r>
        <w:fldChar w:fldCharType="separate"/>
      </w:r>
      <w:r>
        <w:t>122</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C41E386">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_Toc22118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3.3.3. 非生物因子现状</w:t>
      </w:r>
      <w:r>
        <w:tab/>
      </w:r>
      <w:r>
        <w:fldChar w:fldCharType="begin"/>
      </w:r>
      <w:r>
        <w:instrText xml:space="preserve"> PAGEREF _Toc22118 \h </w:instrText>
      </w:r>
      <w:r>
        <w:fldChar w:fldCharType="separate"/>
      </w:r>
      <w:r>
        <w:t>123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2B39491">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_Toc14282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3.3.4. 土地利用现状</w:t>
      </w:r>
      <w:r>
        <w:tab/>
      </w:r>
      <w:r>
        <w:fldChar w:fldCharType="begin"/>
      </w:r>
      <w:r>
        <w:instrText xml:space="preserve"> PAGEREF _Toc14282 \h </w:instrText>
      </w:r>
      <w:r>
        <w:fldChar w:fldCharType="separate"/>
      </w:r>
      <w:r>
        <w:t>123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90A075F">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_Toc7892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3.3.5. 生态系统现状</w:t>
      </w:r>
      <w:r>
        <w:tab/>
      </w:r>
      <w:r>
        <w:fldChar w:fldCharType="begin"/>
      </w:r>
      <w:r>
        <w:instrText xml:space="preserve"> PAGEREF _Toc7892 \h </w:instrText>
      </w:r>
      <w:r>
        <w:fldChar w:fldCharType="separate"/>
      </w:r>
      <w:r>
        <w:t>124</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67FB4E0">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_Toc20930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3.3.6. 陆生植物现状</w:t>
      </w:r>
      <w:r>
        <w:tab/>
      </w:r>
      <w:r>
        <w:fldChar w:fldCharType="begin"/>
      </w:r>
      <w:r>
        <w:instrText xml:space="preserve"> PAGEREF _Toc20930 \h </w:instrText>
      </w:r>
      <w:r>
        <w:fldChar w:fldCharType="separate"/>
      </w:r>
      <w:r>
        <w:t>130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AACF035">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_Toc9158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3.3.7. 陆生动物现状</w:t>
      </w:r>
      <w:r>
        <w:tab/>
      </w:r>
      <w:r>
        <w:fldChar w:fldCharType="begin"/>
      </w:r>
      <w:r>
        <w:instrText xml:space="preserve"> PAGEREF _Toc9158 \h </w:instrText>
      </w:r>
      <w:r>
        <w:fldChar w:fldCharType="separate"/>
      </w:r>
      <w:r>
        <w:t>137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4326A00">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_Toc17541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3.3.8. 水生生态现状</w:t>
      </w:r>
      <w:r>
        <w:tab/>
      </w:r>
      <w:r>
        <w:fldChar w:fldCharType="begin"/>
      </w:r>
      <w:r>
        <w:instrText xml:space="preserve"> PAGEREF _Toc17541 \h </w:instrText>
      </w:r>
      <w:r>
        <w:fldChar w:fldCharType="separate"/>
      </w:r>
      <w:r>
        <w:t>150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926B41E">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_Toc22612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3.3.9. 生物多样性</w:t>
      </w:r>
      <w:r>
        <w:tab/>
      </w:r>
      <w:r>
        <w:fldChar w:fldCharType="begin"/>
      </w:r>
      <w:r>
        <w:instrText xml:space="preserve"> PAGEREF _Toc22612 \h </w:instrText>
      </w:r>
      <w:r>
        <w:fldChar w:fldCharType="separate"/>
      </w:r>
      <w:r>
        <w:t>153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7599DFE">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_Toc19315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3.3.10. 生态敏感区</w:t>
      </w:r>
      <w:r>
        <w:tab/>
      </w:r>
      <w:r>
        <w:fldChar w:fldCharType="begin"/>
      </w:r>
      <w:r>
        <w:instrText xml:space="preserve"> PAGEREF _Toc19315 \h </w:instrText>
      </w:r>
      <w:r>
        <w:fldChar w:fldCharType="separate"/>
      </w:r>
      <w:r>
        <w:t>154</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DE6FBCE">
      <w:pPr>
        <w:pStyle w:val="29"/>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_Toc29796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4. 环境影响预测与评价</w:t>
      </w:r>
      <w:r>
        <w:tab/>
      </w:r>
      <w:r>
        <w:fldChar w:fldCharType="begin"/>
      </w:r>
      <w:r>
        <w:instrText xml:space="preserve"> PAGEREF _Toc29796 \h </w:instrText>
      </w:r>
      <w:r>
        <w:fldChar w:fldCharType="separate"/>
      </w:r>
      <w:r>
        <w:t>160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6537943D">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_Toc2259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eastAsia="宋体" w:cs="Times New Roman"/>
          <w:caps w:val="0"/>
          <w:smallCaps w:val="0"/>
          <w:spacing w:val="0"/>
          <w:w w:val="100"/>
          <w:position w:val="0"/>
          <w:szCs w:val="28"/>
          <w:lang w:val="en-US" w:eastAsia="zh-CN"/>
        </w:rPr>
        <w:t xml:space="preserve">4.1. </w:t>
      </w:r>
      <w:r>
        <w:rPr>
          <w:rFonts w:hint="default" w:ascii="Times New Roman" w:hAnsi="Times New Roman" w:eastAsia="宋体" w:cs="Times New Roman"/>
          <w:caps w:val="0"/>
          <w:smallCaps w:val="0"/>
          <w:spacing w:val="0"/>
          <w:w w:val="100"/>
          <w:position w:val="0"/>
          <w:szCs w:val="30"/>
          <w:lang w:eastAsia="zh-CN"/>
        </w:rPr>
        <w:t>现有</w:t>
      </w:r>
      <w:r>
        <w:rPr>
          <w:rFonts w:hint="default" w:ascii="Times New Roman" w:hAnsi="Times New Roman" w:eastAsia="宋体" w:cs="Times New Roman"/>
          <w:caps w:val="0"/>
          <w:smallCaps w:val="0"/>
          <w:spacing w:val="0"/>
          <w:w w:val="100"/>
          <w:position w:val="0"/>
          <w:szCs w:val="28"/>
          <w:lang w:val="en-US" w:eastAsia="zh-CN"/>
        </w:rPr>
        <w:t>工程环境影响回顾性评价</w:t>
      </w:r>
      <w:r>
        <w:tab/>
      </w:r>
      <w:r>
        <w:fldChar w:fldCharType="begin"/>
      </w:r>
      <w:r>
        <w:instrText xml:space="preserve"> PAGEREF _Toc2259 \h </w:instrText>
      </w:r>
      <w:r>
        <w:fldChar w:fldCharType="separate"/>
      </w:r>
      <w:r>
        <w:t>160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FB3416B">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_Toc6962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4.1.1. </w:t>
      </w:r>
      <w:r>
        <w:rPr>
          <w:rFonts w:hint="default" w:ascii="Times New Roman" w:hAnsi="Times New Roman" w:cs="Times New Roman"/>
          <w:lang w:val="en-US" w:eastAsia="zh-CN"/>
        </w:rPr>
        <w:t>水环境影响回顾性分析</w:t>
      </w:r>
      <w:r>
        <w:tab/>
      </w:r>
      <w:r>
        <w:fldChar w:fldCharType="begin"/>
      </w:r>
      <w:r>
        <w:instrText xml:space="preserve"> PAGEREF _Toc6962 \h </w:instrText>
      </w:r>
      <w:r>
        <w:fldChar w:fldCharType="separate"/>
      </w:r>
      <w:r>
        <w:t>161</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295EE72">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_Toc15548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4.1.2. </w:t>
      </w:r>
      <w:r>
        <w:rPr>
          <w:rFonts w:hint="default" w:ascii="Times New Roman" w:hAnsi="Times New Roman" w:cs="Times New Roman"/>
          <w:lang w:val="en-US" w:eastAsia="zh-CN"/>
        </w:rPr>
        <w:t>大气环境影响回顾性分析</w:t>
      </w:r>
      <w:r>
        <w:tab/>
      </w:r>
      <w:r>
        <w:fldChar w:fldCharType="begin"/>
      </w:r>
      <w:r>
        <w:instrText xml:space="preserve"> PAGEREF _Toc15548 \h </w:instrText>
      </w:r>
      <w:r>
        <w:fldChar w:fldCharType="separate"/>
      </w:r>
      <w:r>
        <w:t>166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B73EBC9">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_Toc14110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4.1.3. 声环境影响回顾性分析</w:t>
      </w:r>
      <w:r>
        <w:tab/>
      </w:r>
      <w:r>
        <w:fldChar w:fldCharType="begin"/>
      </w:r>
      <w:r>
        <w:instrText xml:space="preserve"> PAGEREF _Toc14110 \h </w:instrText>
      </w:r>
      <w:r>
        <w:fldChar w:fldCharType="separate"/>
      </w:r>
      <w:r>
        <w:t>166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2534650">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_Toc12329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4.1.4. 固体废物影响回顾性分析</w:t>
      </w:r>
      <w:r>
        <w:tab/>
      </w:r>
      <w:r>
        <w:fldChar w:fldCharType="begin"/>
      </w:r>
      <w:r>
        <w:instrText xml:space="preserve"> PAGEREF _Toc12329 \h </w:instrText>
      </w:r>
      <w:r>
        <w:fldChar w:fldCharType="separate"/>
      </w:r>
      <w:r>
        <w:t>166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E05414D">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_Toc15589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4.1.5. 生态环境影响回顾性分析</w:t>
      </w:r>
      <w:r>
        <w:tab/>
      </w:r>
      <w:r>
        <w:fldChar w:fldCharType="begin"/>
      </w:r>
      <w:r>
        <w:instrText xml:space="preserve"> PAGEREF _Toc15589 \h </w:instrText>
      </w:r>
      <w:r>
        <w:fldChar w:fldCharType="separate"/>
      </w:r>
      <w:r>
        <w:t>167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FAF11B4">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_Toc24012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4.2. 施工期环境影响分析</w:t>
      </w:r>
      <w:r>
        <w:tab/>
      </w:r>
      <w:r>
        <w:fldChar w:fldCharType="begin"/>
      </w:r>
      <w:r>
        <w:instrText xml:space="preserve"> PAGEREF _Toc24012 \h </w:instrText>
      </w:r>
      <w:r>
        <w:fldChar w:fldCharType="separate"/>
      </w:r>
      <w:r>
        <w:t>168</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6C1A631D">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_Toc22961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eastAsia="zh-CN"/>
        </w:rPr>
        <w:t>4.2.1. 施工期大气环境影响分析</w:t>
      </w:r>
      <w:r>
        <w:tab/>
      </w:r>
      <w:r>
        <w:fldChar w:fldCharType="begin"/>
      </w:r>
      <w:r>
        <w:instrText xml:space="preserve"> PAGEREF _Toc22961 \h </w:instrText>
      </w:r>
      <w:r>
        <w:fldChar w:fldCharType="separate"/>
      </w:r>
      <w:r>
        <w:t>168</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1755499">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_Toc28257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4.2.2. </w:t>
      </w:r>
      <w:r>
        <w:rPr>
          <w:rFonts w:hint="default" w:ascii="Times New Roman" w:hAnsi="Times New Roman" w:cs="Times New Roman"/>
          <w:lang w:val="en-US" w:eastAsia="zh-CN"/>
        </w:rPr>
        <w:t>施工期</w:t>
      </w:r>
      <w:r>
        <w:rPr>
          <w:rFonts w:hint="default" w:ascii="Times New Roman" w:hAnsi="Times New Roman" w:cs="Times New Roman"/>
        </w:rPr>
        <w:t>地表水环境影响分析</w:t>
      </w:r>
      <w:r>
        <w:tab/>
      </w:r>
      <w:r>
        <w:fldChar w:fldCharType="begin"/>
      </w:r>
      <w:r>
        <w:instrText xml:space="preserve"> PAGEREF _Toc28257 \h </w:instrText>
      </w:r>
      <w:r>
        <w:fldChar w:fldCharType="separate"/>
      </w:r>
      <w:r>
        <w:t>171</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51C80BD">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_Toc27304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4.2.3. </w:t>
      </w:r>
      <w:r>
        <w:rPr>
          <w:rFonts w:hint="default" w:ascii="Times New Roman" w:hAnsi="Times New Roman" w:cs="Times New Roman"/>
          <w:lang w:val="en-US" w:eastAsia="zh-CN"/>
        </w:rPr>
        <w:t>施工期</w:t>
      </w:r>
      <w:r>
        <w:rPr>
          <w:rFonts w:hint="default" w:ascii="Times New Roman" w:hAnsi="Times New Roman" w:cs="Times New Roman"/>
        </w:rPr>
        <w:t>地下水环境影响分析</w:t>
      </w:r>
      <w:r>
        <w:tab/>
      </w:r>
      <w:r>
        <w:fldChar w:fldCharType="begin"/>
      </w:r>
      <w:r>
        <w:instrText xml:space="preserve"> PAGEREF _Toc27304 \h </w:instrText>
      </w:r>
      <w:r>
        <w:fldChar w:fldCharType="separate"/>
      </w:r>
      <w:r>
        <w:t>174</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E2A73CB">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_Toc3201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4.2.4. </w:t>
      </w:r>
      <w:r>
        <w:rPr>
          <w:rFonts w:hint="default" w:ascii="Times New Roman" w:hAnsi="Times New Roman" w:cs="Times New Roman"/>
          <w:lang w:val="en-US" w:eastAsia="zh-CN"/>
        </w:rPr>
        <w:t>施工期</w:t>
      </w:r>
      <w:r>
        <w:rPr>
          <w:rFonts w:hint="default" w:ascii="Times New Roman" w:hAnsi="Times New Roman" w:cs="Times New Roman"/>
        </w:rPr>
        <w:t>声环境影响分析</w:t>
      </w:r>
      <w:r>
        <w:tab/>
      </w:r>
      <w:r>
        <w:fldChar w:fldCharType="begin"/>
      </w:r>
      <w:r>
        <w:instrText xml:space="preserve"> PAGEREF _Toc3201 \h </w:instrText>
      </w:r>
      <w:r>
        <w:fldChar w:fldCharType="separate"/>
      </w:r>
      <w:r>
        <w:t>175</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182E094">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_Toc20954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4.2.5. </w:t>
      </w:r>
      <w:r>
        <w:rPr>
          <w:rFonts w:hint="default" w:ascii="Times New Roman" w:hAnsi="Times New Roman" w:cs="Times New Roman"/>
          <w:lang w:val="en-US" w:eastAsia="zh-CN"/>
        </w:rPr>
        <w:t>施工期</w:t>
      </w:r>
      <w:r>
        <w:rPr>
          <w:rFonts w:hint="default" w:ascii="Times New Roman" w:hAnsi="Times New Roman" w:cs="Times New Roman"/>
        </w:rPr>
        <w:t>固体废物影响分析</w:t>
      </w:r>
      <w:r>
        <w:tab/>
      </w:r>
      <w:r>
        <w:fldChar w:fldCharType="begin"/>
      </w:r>
      <w:r>
        <w:instrText xml:space="preserve"> PAGEREF _Toc20954 \h </w:instrText>
      </w:r>
      <w:r>
        <w:fldChar w:fldCharType="separate"/>
      </w:r>
      <w:r>
        <w:t>179</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A5CD282">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_Toc29780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4.2.6. 生态环境影响分析</w:t>
      </w:r>
      <w:r>
        <w:tab/>
      </w:r>
      <w:r>
        <w:fldChar w:fldCharType="begin"/>
      </w:r>
      <w:r>
        <w:instrText xml:space="preserve"> PAGEREF _Toc29780 \h </w:instrText>
      </w:r>
      <w:r>
        <w:fldChar w:fldCharType="separate"/>
      </w:r>
      <w:r>
        <w:t>181</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420E7A6">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_Toc7107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4.3. 营运期环境影响分析</w:t>
      </w:r>
      <w:r>
        <w:tab/>
      </w:r>
      <w:r>
        <w:fldChar w:fldCharType="begin"/>
      </w:r>
      <w:r>
        <w:instrText xml:space="preserve"> PAGEREF _Toc7107 \h </w:instrText>
      </w:r>
      <w:r>
        <w:fldChar w:fldCharType="separate"/>
      </w:r>
      <w:r>
        <w:t>194</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05758A2">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_Toc1426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4.3.1. </w:t>
      </w:r>
      <w:r>
        <w:rPr>
          <w:rFonts w:hint="default" w:ascii="Times New Roman" w:hAnsi="Times New Roman" w:cs="Times New Roman"/>
          <w:lang w:val="en-US" w:eastAsia="zh-CN"/>
        </w:rPr>
        <w:t>营运期</w:t>
      </w:r>
      <w:r>
        <w:rPr>
          <w:rFonts w:hint="default" w:ascii="Times New Roman" w:hAnsi="Times New Roman" w:cs="Times New Roman"/>
        </w:rPr>
        <w:t>环境空气影响分析</w:t>
      </w:r>
      <w:r>
        <w:tab/>
      </w:r>
      <w:r>
        <w:fldChar w:fldCharType="begin"/>
      </w:r>
      <w:r>
        <w:instrText xml:space="preserve"> PAGEREF _Toc1426 \h </w:instrText>
      </w:r>
      <w:r>
        <w:fldChar w:fldCharType="separate"/>
      </w:r>
      <w:r>
        <w:t>194</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101C051">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_Toc16828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4.3.2. </w:t>
      </w:r>
      <w:r>
        <w:rPr>
          <w:rFonts w:hint="default" w:ascii="Times New Roman" w:hAnsi="Times New Roman" w:cs="Times New Roman"/>
          <w:lang w:val="en-US" w:eastAsia="zh-CN"/>
        </w:rPr>
        <w:t>营运期</w:t>
      </w:r>
      <w:r>
        <w:rPr>
          <w:rFonts w:hint="default" w:ascii="Times New Roman" w:hAnsi="Times New Roman" w:cs="Times New Roman"/>
        </w:rPr>
        <w:t>地表水环境影响分析</w:t>
      </w:r>
      <w:r>
        <w:tab/>
      </w:r>
      <w:r>
        <w:fldChar w:fldCharType="begin"/>
      </w:r>
      <w:r>
        <w:instrText xml:space="preserve"> PAGEREF _Toc16828 \h </w:instrText>
      </w:r>
      <w:r>
        <w:fldChar w:fldCharType="separate"/>
      </w:r>
      <w:r>
        <w:t>194</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99D7220">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_Toc4778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4.3.3. </w:t>
      </w:r>
      <w:r>
        <w:rPr>
          <w:rFonts w:hint="default" w:ascii="Times New Roman" w:hAnsi="Times New Roman" w:cs="Times New Roman"/>
          <w:lang w:val="en-US" w:eastAsia="zh-CN"/>
        </w:rPr>
        <w:t>营运期</w:t>
      </w:r>
      <w:r>
        <w:rPr>
          <w:rFonts w:hint="default" w:ascii="Times New Roman" w:hAnsi="Times New Roman" w:cs="Times New Roman"/>
        </w:rPr>
        <w:t>地下水环境影响评价</w:t>
      </w:r>
      <w:r>
        <w:tab/>
      </w:r>
      <w:r>
        <w:fldChar w:fldCharType="begin"/>
      </w:r>
      <w:r>
        <w:instrText xml:space="preserve"> PAGEREF _Toc4778 \h </w:instrText>
      </w:r>
      <w:r>
        <w:fldChar w:fldCharType="separate"/>
      </w:r>
      <w:r>
        <w:t>195</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61826B99">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_Toc30989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4.3.4. </w:t>
      </w:r>
      <w:r>
        <w:rPr>
          <w:rFonts w:hint="default" w:ascii="Times New Roman" w:hAnsi="Times New Roman" w:cs="Times New Roman"/>
          <w:lang w:val="en-US" w:eastAsia="zh-CN"/>
        </w:rPr>
        <w:t>营运期</w:t>
      </w:r>
      <w:r>
        <w:rPr>
          <w:rFonts w:hint="default" w:ascii="Times New Roman" w:hAnsi="Times New Roman" w:cs="Times New Roman"/>
        </w:rPr>
        <w:t>声环境影响分析</w:t>
      </w:r>
      <w:r>
        <w:tab/>
      </w:r>
      <w:r>
        <w:fldChar w:fldCharType="begin"/>
      </w:r>
      <w:r>
        <w:instrText xml:space="preserve"> PAGEREF _Toc30989 \h </w:instrText>
      </w:r>
      <w:r>
        <w:fldChar w:fldCharType="separate"/>
      </w:r>
      <w:r>
        <w:t>196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0CEF18E">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_Toc15886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4.3.5. </w:t>
      </w:r>
      <w:r>
        <w:rPr>
          <w:rFonts w:hint="default" w:ascii="Times New Roman" w:hAnsi="Times New Roman" w:cs="Times New Roman"/>
          <w:lang w:val="en-US" w:eastAsia="zh-CN"/>
        </w:rPr>
        <w:t>营运期</w:t>
      </w:r>
      <w:r>
        <w:rPr>
          <w:rFonts w:hint="default" w:ascii="Times New Roman" w:hAnsi="Times New Roman" w:cs="Times New Roman"/>
        </w:rPr>
        <w:t>固体废物影响分析</w:t>
      </w:r>
      <w:r>
        <w:tab/>
      </w:r>
      <w:r>
        <w:fldChar w:fldCharType="begin"/>
      </w:r>
      <w:r>
        <w:instrText xml:space="preserve"> PAGEREF _Toc15886 \h </w:instrText>
      </w:r>
      <w:r>
        <w:fldChar w:fldCharType="separate"/>
      </w:r>
      <w:r>
        <w:t>196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A758787">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_Toc15234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4.3.6. </w:t>
      </w:r>
      <w:r>
        <w:rPr>
          <w:rFonts w:hint="default" w:ascii="Times New Roman" w:hAnsi="Times New Roman" w:cs="Times New Roman"/>
          <w:lang w:val="en-US" w:eastAsia="zh-CN"/>
        </w:rPr>
        <w:t>营运期</w:t>
      </w:r>
      <w:r>
        <w:rPr>
          <w:rFonts w:hint="default" w:ascii="Times New Roman" w:hAnsi="Times New Roman" w:cs="Times New Roman"/>
        </w:rPr>
        <w:t>土壤环境影响分析</w:t>
      </w:r>
      <w:r>
        <w:tab/>
      </w:r>
      <w:r>
        <w:fldChar w:fldCharType="begin"/>
      </w:r>
      <w:r>
        <w:instrText xml:space="preserve"> PAGEREF _Toc15234 \h </w:instrText>
      </w:r>
      <w:r>
        <w:fldChar w:fldCharType="separate"/>
      </w:r>
      <w:r>
        <w:t>196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29030AE">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_Toc32497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eastAsia="宋体" w:cs="Times New Roman"/>
          <w:caps w:val="0"/>
          <w:smallCaps w:val="0"/>
          <w:spacing w:val="0"/>
          <w:w w:val="100"/>
          <w:position w:val="0"/>
          <w:szCs w:val="28"/>
        </w:rPr>
        <w:t xml:space="preserve">4.3.7. </w:t>
      </w:r>
      <w:r>
        <w:rPr>
          <w:rFonts w:hint="default" w:ascii="Times New Roman" w:hAnsi="Times New Roman" w:eastAsia="宋体" w:cs="Times New Roman"/>
          <w:caps w:val="0"/>
          <w:smallCaps w:val="0"/>
          <w:spacing w:val="0"/>
          <w:w w:val="100"/>
          <w:position w:val="0"/>
          <w:szCs w:val="28"/>
          <w:lang w:val="en-US" w:eastAsia="zh-CN"/>
        </w:rPr>
        <w:t>营运期</w:t>
      </w:r>
      <w:r>
        <w:rPr>
          <w:rFonts w:hint="default" w:ascii="Times New Roman" w:hAnsi="Times New Roman" w:cs="Times New Roman"/>
          <w:bCs/>
        </w:rPr>
        <w:t>生</w:t>
      </w:r>
      <w:r>
        <w:rPr>
          <w:rFonts w:hint="default" w:ascii="Times New Roman" w:hAnsi="Times New Roman" w:eastAsia="宋体" w:cs="Times New Roman"/>
          <w:caps w:val="0"/>
          <w:smallCaps w:val="0"/>
          <w:spacing w:val="0"/>
          <w:w w:val="100"/>
          <w:position w:val="0"/>
          <w:szCs w:val="28"/>
        </w:rPr>
        <w:t>态环境影响评价</w:t>
      </w:r>
      <w:r>
        <w:tab/>
      </w:r>
      <w:r>
        <w:fldChar w:fldCharType="begin"/>
      </w:r>
      <w:r>
        <w:instrText xml:space="preserve"> PAGEREF _Toc32497 \h </w:instrText>
      </w:r>
      <w:r>
        <w:fldChar w:fldCharType="separate"/>
      </w:r>
      <w:r>
        <w:t>197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A13C4FA">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_Toc23983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4.4. 环境风险分析</w:t>
      </w:r>
      <w:r>
        <w:tab/>
      </w:r>
      <w:r>
        <w:fldChar w:fldCharType="begin"/>
      </w:r>
      <w:r>
        <w:instrText xml:space="preserve"> PAGEREF _Toc23983 \h </w:instrText>
      </w:r>
      <w:r>
        <w:fldChar w:fldCharType="separate"/>
      </w:r>
      <w:r>
        <w:t>197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7161D5E">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_Toc28933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4.4.1. </w:t>
      </w:r>
      <w:r>
        <w:rPr>
          <w:rFonts w:hint="eastAsia" w:ascii="Times New Roman" w:hAnsi="Times New Roman" w:cs="Times New Roman"/>
          <w:lang w:eastAsia="zh-CN"/>
        </w:rPr>
        <w:t>风险调查</w:t>
      </w:r>
      <w:r>
        <w:tab/>
      </w:r>
      <w:r>
        <w:fldChar w:fldCharType="begin"/>
      </w:r>
      <w:r>
        <w:instrText xml:space="preserve"> PAGEREF _Toc28933 \h </w:instrText>
      </w:r>
      <w:r>
        <w:fldChar w:fldCharType="separate"/>
      </w:r>
      <w:r>
        <w:t>197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7E51706">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_Toc26693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4.4.2. </w:t>
      </w:r>
      <w:r>
        <w:rPr>
          <w:rFonts w:hint="eastAsia" w:ascii="Times New Roman" w:hAnsi="Times New Roman" w:cs="Times New Roman"/>
          <w:lang w:eastAsia="zh-CN"/>
        </w:rPr>
        <w:t>环境风险潜势初判</w:t>
      </w:r>
      <w:r>
        <w:tab/>
      </w:r>
      <w:r>
        <w:fldChar w:fldCharType="begin"/>
      </w:r>
      <w:r>
        <w:instrText xml:space="preserve"> PAGEREF _Toc26693 \h </w:instrText>
      </w:r>
      <w:r>
        <w:fldChar w:fldCharType="separate"/>
      </w:r>
      <w:r>
        <w:t>198</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AB5C917">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_Toc28397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4.4.3. </w:t>
      </w:r>
      <w:r>
        <w:rPr>
          <w:rFonts w:hint="eastAsia" w:ascii="Times New Roman" w:hAnsi="Times New Roman" w:cs="Times New Roman"/>
          <w:lang w:eastAsia="zh-CN"/>
        </w:rPr>
        <w:t>评价等级</w:t>
      </w:r>
      <w:r>
        <w:tab/>
      </w:r>
      <w:r>
        <w:fldChar w:fldCharType="begin"/>
      </w:r>
      <w:r>
        <w:instrText xml:space="preserve"> PAGEREF _Toc28397 \h </w:instrText>
      </w:r>
      <w:r>
        <w:fldChar w:fldCharType="separate"/>
      </w:r>
      <w:r>
        <w:t>199</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BF8D446">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_Toc21802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4.4.4. 环境风险识别</w:t>
      </w:r>
      <w:r>
        <w:tab/>
      </w:r>
      <w:r>
        <w:fldChar w:fldCharType="begin"/>
      </w:r>
      <w:r>
        <w:instrText xml:space="preserve"> PAGEREF _Toc21802 \h </w:instrText>
      </w:r>
      <w:r>
        <w:fldChar w:fldCharType="separate"/>
      </w:r>
      <w:r>
        <w:t>199</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BCBFBC1">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_Toc13700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4.4.5. 环境风险分析</w:t>
      </w:r>
      <w:r>
        <w:tab/>
      </w:r>
      <w:r>
        <w:fldChar w:fldCharType="begin"/>
      </w:r>
      <w:r>
        <w:instrText xml:space="preserve"> PAGEREF _Toc13700 \h </w:instrText>
      </w:r>
      <w:r>
        <w:fldChar w:fldCharType="separate"/>
      </w:r>
      <w:r>
        <w:t>200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17E7A77">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_Toc5680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4.4.6. 风险防范措施</w:t>
      </w:r>
      <w:r>
        <w:tab/>
      </w:r>
      <w:r>
        <w:fldChar w:fldCharType="begin"/>
      </w:r>
      <w:r>
        <w:instrText xml:space="preserve"> PAGEREF _Toc5680 \h </w:instrText>
      </w:r>
      <w:r>
        <w:fldChar w:fldCharType="separate"/>
      </w:r>
      <w:r>
        <w:t>202</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C2A0F4E">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_Toc32303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4.4.7. 环境风险应急预案</w:t>
      </w:r>
      <w:r>
        <w:tab/>
      </w:r>
      <w:r>
        <w:fldChar w:fldCharType="begin"/>
      </w:r>
      <w:r>
        <w:instrText xml:space="preserve"> PAGEREF _Toc32303 \h </w:instrText>
      </w:r>
      <w:r>
        <w:fldChar w:fldCharType="separate"/>
      </w:r>
      <w:r>
        <w:t>203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F4BEDC7">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_Toc15004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4.4.8. 小结</w:t>
      </w:r>
      <w:r>
        <w:tab/>
      </w:r>
      <w:r>
        <w:fldChar w:fldCharType="begin"/>
      </w:r>
      <w:r>
        <w:instrText xml:space="preserve"> PAGEREF _Toc15004 \h </w:instrText>
      </w:r>
      <w:r>
        <w:fldChar w:fldCharType="separate"/>
      </w:r>
      <w:r>
        <w:t>205</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65C55121">
      <w:pPr>
        <w:pStyle w:val="29"/>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_Toc12487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5. 环境保护措施及其可行性论证</w:t>
      </w:r>
      <w:r>
        <w:tab/>
      </w:r>
      <w:r>
        <w:fldChar w:fldCharType="begin"/>
      </w:r>
      <w:r>
        <w:instrText xml:space="preserve"> PAGEREF _Toc12487 \h </w:instrText>
      </w:r>
      <w:r>
        <w:fldChar w:fldCharType="separate"/>
      </w:r>
      <w:r>
        <w:t>206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1BA5CCC">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_Toc29154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5.1. 施工期环境保护措施</w:t>
      </w:r>
      <w:r>
        <w:tab/>
      </w:r>
      <w:r>
        <w:fldChar w:fldCharType="begin"/>
      </w:r>
      <w:r>
        <w:instrText xml:space="preserve"> PAGEREF _Toc29154 \h </w:instrText>
      </w:r>
      <w:r>
        <w:fldChar w:fldCharType="separate"/>
      </w:r>
      <w:r>
        <w:t>206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602725B">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_Toc4585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5.1.1. 施工期大气环境保护措施</w:t>
      </w:r>
      <w:r>
        <w:tab/>
      </w:r>
      <w:r>
        <w:fldChar w:fldCharType="begin"/>
      </w:r>
      <w:r>
        <w:instrText xml:space="preserve"> PAGEREF _Toc4585 \h </w:instrText>
      </w:r>
      <w:r>
        <w:fldChar w:fldCharType="separate"/>
      </w:r>
      <w:r>
        <w:t>206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567FCAD">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_Toc23871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5.1.2. 施工期地表水环境保护措施</w:t>
      </w:r>
      <w:r>
        <w:tab/>
      </w:r>
      <w:r>
        <w:fldChar w:fldCharType="begin"/>
      </w:r>
      <w:r>
        <w:instrText xml:space="preserve"> PAGEREF _Toc23871 \h </w:instrText>
      </w:r>
      <w:r>
        <w:fldChar w:fldCharType="separate"/>
      </w:r>
      <w:r>
        <w:t>207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E25D958">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_Toc14507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eastAsia="宋体" w:cs="Times New Roman"/>
          <w:caps w:val="0"/>
          <w:smallCaps w:val="0"/>
          <w:spacing w:val="0"/>
          <w:w w:val="100"/>
          <w:position w:val="0"/>
          <w:szCs w:val="24"/>
        </w:rPr>
        <w:t xml:space="preserve">5.1.3. </w:t>
      </w:r>
      <w:r>
        <w:rPr>
          <w:rFonts w:hint="default" w:ascii="Times New Roman" w:hAnsi="Times New Roman" w:eastAsia="宋体" w:cs="Times New Roman"/>
          <w:caps w:val="0"/>
          <w:smallCaps w:val="0"/>
          <w:spacing w:val="0"/>
          <w:w w:val="100"/>
          <w:position w:val="0"/>
          <w:szCs w:val="24"/>
          <w:lang w:val="en-US" w:eastAsia="zh-CN"/>
        </w:rPr>
        <w:t>施工期</w:t>
      </w:r>
      <w:r>
        <w:rPr>
          <w:rFonts w:hint="default" w:ascii="Times New Roman" w:hAnsi="Times New Roman" w:eastAsia="宋体" w:cs="Times New Roman"/>
          <w:caps w:val="0"/>
          <w:smallCaps w:val="0"/>
          <w:spacing w:val="0"/>
          <w:w w:val="100"/>
          <w:position w:val="0"/>
          <w:szCs w:val="24"/>
        </w:rPr>
        <w:t>地下水环境保护措施</w:t>
      </w:r>
      <w:r>
        <w:tab/>
      </w:r>
      <w:r>
        <w:fldChar w:fldCharType="begin"/>
      </w:r>
      <w:r>
        <w:instrText xml:space="preserve"> PAGEREF _Toc14507 \h </w:instrText>
      </w:r>
      <w:r>
        <w:fldChar w:fldCharType="separate"/>
      </w:r>
      <w:r>
        <w:t>210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CE04D22">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_Toc28435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5.1.4. </w:t>
      </w:r>
      <w:r>
        <w:rPr>
          <w:rFonts w:hint="default" w:ascii="Times New Roman" w:hAnsi="Times New Roman" w:cs="Times New Roman"/>
          <w:lang w:eastAsia="zh-CN"/>
        </w:rPr>
        <w:t>施工期</w:t>
      </w:r>
      <w:r>
        <w:rPr>
          <w:rFonts w:hint="default" w:ascii="Times New Roman" w:hAnsi="Times New Roman" w:cs="Times New Roman"/>
        </w:rPr>
        <w:t>声环境保护措施</w:t>
      </w:r>
      <w:r>
        <w:tab/>
      </w:r>
      <w:r>
        <w:fldChar w:fldCharType="begin"/>
      </w:r>
      <w:r>
        <w:instrText xml:space="preserve"> PAGEREF _Toc28435 \h </w:instrText>
      </w:r>
      <w:r>
        <w:fldChar w:fldCharType="separate"/>
      </w:r>
      <w:r>
        <w:t>211</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B0B3CB1">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_Toc12033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5.1.5. 固体废物保护措施</w:t>
      </w:r>
      <w:r>
        <w:tab/>
      </w:r>
      <w:r>
        <w:fldChar w:fldCharType="begin"/>
      </w:r>
      <w:r>
        <w:instrText xml:space="preserve"> PAGEREF _Toc12033 \h </w:instrText>
      </w:r>
      <w:r>
        <w:fldChar w:fldCharType="separate"/>
      </w:r>
      <w:r>
        <w:t>212</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8D44D23">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_Toc20018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5.1.6. </w:t>
      </w:r>
      <w:r>
        <w:rPr>
          <w:rFonts w:hint="default" w:ascii="Times New Roman" w:hAnsi="Times New Roman" w:cs="Times New Roman"/>
          <w:lang w:val="en-US" w:eastAsia="zh-CN"/>
        </w:rPr>
        <w:t>生</w:t>
      </w:r>
      <w:r>
        <w:rPr>
          <w:rFonts w:hint="default" w:ascii="Times New Roman" w:hAnsi="Times New Roman" w:cs="Times New Roman"/>
        </w:rPr>
        <w:t>态保护措施</w:t>
      </w:r>
      <w:r>
        <w:tab/>
      </w:r>
      <w:r>
        <w:fldChar w:fldCharType="begin"/>
      </w:r>
      <w:r>
        <w:instrText xml:space="preserve"> PAGEREF _Toc20018 \h </w:instrText>
      </w:r>
      <w:r>
        <w:fldChar w:fldCharType="separate"/>
      </w:r>
      <w:r>
        <w:t>213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CFF2D80">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_Toc31330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5.2. 营运期环境保护措施</w:t>
      </w:r>
      <w:r>
        <w:tab/>
      </w:r>
      <w:r>
        <w:fldChar w:fldCharType="begin"/>
      </w:r>
      <w:r>
        <w:instrText xml:space="preserve"> PAGEREF _Toc31330 \h </w:instrText>
      </w:r>
      <w:r>
        <w:fldChar w:fldCharType="separate"/>
      </w:r>
      <w:r>
        <w:t>219</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17DD006">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_Toc9339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5.2.1. 环境空气保护措施</w:t>
      </w:r>
      <w:r>
        <w:tab/>
      </w:r>
      <w:r>
        <w:fldChar w:fldCharType="begin"/>
      </w:r>
      <w:r>
        <w:instrText xml:space="preserve"> PAGEREF _Toc9339 \h </w:instrText>
      </w:r>
      <w:r>
        <w:fldChar w:fldCharType="separate"/>
      </w:r>
      <w:r>
        <w:t>219</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4D9BED4">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_Toc30308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5.2.2. 地表水环境保护措施</w:t>
      </w:r>
      <w:r>
        <w:tab/>
      </w:r>
      <w:r>
        <w:fldChar w:fldCharType="begin"/>
      </w:r>
      <w:r>
        <w:instrText xml:space="preserve"> PAGEREF _Toc30308 \h </w:instrText>
      </w:r>
      <w:r>
        <w:fldChar w:fldCharType="separate"/>
      </w:r>
      <w:r>
        <w:t>220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812B5BB">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_Toc15228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5.2.3. 声环境保护措施</w:t>
      </w:r>
      <w:r>
        <w:tab/>
      </w:r>
      <w:r>
        <w:fldChar w:fldCharType="begin"/>
      </w:r>
      <w:r>
        <w:instrText xml:space="preserve"> PAGEREF _Toc15228 \h </w:instrText>
      </w:r>
      <w:r>
        <w:fldChar w:fldCharType="separate"/>
      </w:r>
      <w:r>
        <w:t>221</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DAE1B11">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_Toc31082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5.2.4. 固体废物环境保护措施</w:t>
      </w:r>
      <w:r>
        <w:tab/>
      </w:r>
      <w:r>
        <w:fldChar w:fldCharType="begin"/>
      </w:r>
      <w:r>
        <w:instrText xml:space="preserve"> PAGEREF _Toc31082 \h </w:instrText>
      </w:r>
      <w:r>
        <w:fldChar w:fldCharType="separate"/>
      </w:r>
      <w:r>
        <w:t>221</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A6846A1">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_Toc7919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5.2.5. 地下水、土壤环境保护措施</w:t>
      </w:r>
      <w:r>
        <w:tab/>
      </w:r>
      <w:r>
        <w:fldChar w:fldCharType="begin"/>
      </w:r>
      <w:r>
        <w:instrText xml:space="preserve"> PAGEREF _Toc7919 \h </w:instrText>
      </w:r>
      <w:r>
        <w:fldChar w:fldCharType="separate"/>
      </w:r>
      <w:r>
        <w:t>221</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1C7061A">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_Toc15261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5.2.6. 生态环境保护措施</w:t>
      </w:r>
      <w:r>
        <w:tab/>
      </w:r>
      <w:r>
        <w:fldChar w:fldCharType="begin"/>
      </w:r>
      <w:r>
        <w:instrText xml:space="preserve"> PAGEREF _Toc15261 \h </w:instrText>
      </w:r>
      <w:r>
        <w:fldChar w:fldCharType="separate"/>
      </w:r>
      <w:r>
        <w:t>221</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C77F934">
      <w:pPr>
        <w:pStyle w:val="29"/>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_Toc31822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6. 环境</w:t>
      </w:r>
      <w:r>
        <w:rPr>
          <w:rFonts w:hint="default" w:ascii="Times New Roman" w:hAnsi="Times New Roman" w:cs="Times New Roman"/>
          <w:lang w:val="en-US" w:eastAsia="zh-CN"/>
        </w:rPr>
        <w:t>影响</w:t>
      </w:r>
      <w:r>
        <w:rPr>
          <w:rFonts w:hint="default" w:ascii="Times New Roman" w:hAnsi="Times New Roman" w:cs="Times New Roman"/>
        </w:rPr>
        <w:t>经济损益分析</w:t>
      </w:r>
      <w:r>
        <w:tab/>
      </w:r>
      <w:r>
        <w:fldChar w:fldCharType="begin"/>
      </w:r>
      <w:r>
        <w:instrText xml:space="preserve"> PAGEREF _Toc31822 \h </w:instrText>
      </w:r>
      <w:r>
        <w:fldChar w:fldCharType="separate"/>
      </w:r>
      <w:r>
        <w:t>223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640D1B9">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_Toc31424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6.1. 环境保护投资估算</w:t>
      </w:r>
      <w:r>
        <w:tab/>
      </w:r>
      <w:r>
        <w:fldChar w:fldCharType="begin"/>
      </w:r>
      <w:r>
        <w:instrText xml:space="preserve"> PAGEREF _Toc31424 \h </w:instrText>
      </w:r>
      <w:r>
        <w:fldChar w:fldCharType="separate"/>
      </w:r>
      <w:r>
        <w:t>223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B2ABB11">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_Toc28622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6.1.1. </w:t>
      </w:r>
      <w:r>
        <w:rPr>
          <w:rFonts w:hint="default" w:ascii="Times New Roman" w:hAnsi="Times New Roman" w:cs="Times New Roman"/>
          <w:lang w:eastAsia="zh-CN"/>
        </w:rPr>
        <w:t>估算</w:t>
      </w:r>
      <w:r>
        <w:rPr>
          <w:rFonts w:hint="default" w:ascii="Times New Roman" w:hAnsi="Times New Roman" w:cs="Times New Roman"/>
        </w:rPr>
        <w:t>原则</w:t>
      </w:r>
      <w:r>
        <w:tab/>
      </w:r>
      <w:r>
        <w:fldChar w:fldCharType="begin"/>
      </w:r>
      <w:r>
        <w:instrText xml:space="preserve"> PAGEREF _Toc28622 \h </w:instrText>
      </w:r>
      <w:r>
        <w:fldChar w:fldCharType="separate"/>
      </w:r>
      <w:r>
        <w:t>223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0F70F0A">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_Toc27046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6.1.2. 估算依据</w:t>
      </w:r>
      <w:r>
        <w:tab/>
      </w:r>
      <w:r>
        <w:fldChar w:fldCharType="begin"/>
      </w:r>
      <w:r>
        <w:instrText xml:space="preserve"> PAGEREF _Toc27046 \h </w:instrText>
      </w:r>
      <w:r>
        <w:fldChar w:fldCharType="separate"/>
      </w:r>
      <w:r>
        <w:t>223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6504E06D">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_Toc12936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6.1.3. 费用构成</w:t>
      </w:r>
      <w:r>
        <w:tab/>
      </w:r>
      <w:r>
        <w:fldChar w:fldCharType="begin"/>
      </w:r>
      <w:r>
        <w:instrText xml:space="preserve"> PAGEREF _Toc12936 \h </w:instrText>
      </w:r>
      <w:r>
        <w:fldChar w:fldCharType="separate"/>
      </w:r>
      <w:r>
        <w:t>224</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9DC59C5">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_Toc12369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6.1.4. 环境保护投资主要指标</w:t>
      </w:r>
      <w:r>
        <w:tab/>
      </w:r>
      <w:r>
        <w:fldChar w:fldCharType="begin"/>
      </w:r>
      <w:r>
        <w:instrText xml:space="preserve"> PAGEREF _Toc12369 \h </w:instrText>
      </w:r>
      <w:r>
        <w:fldChar w:fldCharType="separate"/>
      </w:r>
      <w:r>
        <w:t>224</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6B8867F">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_Toc31387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 xml:space="preserve">6.2. </w:t>
      </w:r>
      <w:r>
        <w:rPr>
          <w:rFonts w:hint="default" w:ascii="Times New Roman" w:hAnsi="Times New Roman" w:cs="Times New Roman"/>
          <w:lang w:val="en-US" w:eastAsia="zh-CN"/>
        </w:rPr>
        <w:t>环境影响经济效益</w:t>
      </w:r>
      <w:r>
        <w:tab/>
      </w:r>
      <w:r>
        <w:fldChar w:fldCharType="begin"/>
      </w:r>
      <w:r>
        <w:instrText xml:space="preserve"> PAGEREF _Toc31387 \h </w:instrText>
      </w:r>
      <w:r>
        <w:fldChar w:fldCharType="separate"/>
      </w:r>
      <w:r>
        <w:t>225</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4318F4A">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_Toc10750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6.2.1. 经济效益分析</w:t>
      </w:r>
      <w:r>
        <w:tab/>
      </w:r>
      <w:r>
        <w:fldChar w:fldCharType="begin"/>
      </w:r>
      <w:r>
        <w:instrText xml:space="preserve"> PAGEREF _Toc10750 \h </w:instrText>
      </w:r>
      <w:r>
        <w:fldChar w:fldCharType="separate"/>
      </w:r>
      <w:r>
        <w:t>225</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32EFA88">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_Toc9599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6.2.2. 社会效益分析</w:t>
      </w:r>
      <w:r>
        <w:tab/>
      </w:r>
      <w:r>
        <w:fldChar w:fldCharType="begin"/>
      </w:r>
      <w:r>
        <w:instrText xml:space="preserve"> PAGEREF _Toc9599 \h </w:instrText>
      </w:r>
      <w:r>
        <w:fldChar w:fldCharType="separate"/>
      </w:r>
      <w:r>
        <w:t>226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8273622">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_Toc14513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val="en-US" w:eastAsia="zh-CN"/>
        </w:rPr>
        <w:t>6.2.3. 生态环境效益</w:t>
      </w:r>
      <w:r>
        <w:tab/>
      </w:r>
      <w:r>
        <w:fldChar w:fldCharType="begin"/>
      </w:r>
      <w:r>
        <w:instrText xml:space="preserve"> PAGEREF _Toc14513 \h </w:instrText>
      </w:r>
      <w:r>
        <w:fldChar w:fldCharType="separate"/>
      </w:r>
      <w:r>
        <w:t>227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52EECFF">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_Toc17899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6.3. 环境</w:t>
      </w:r>
      <w:r>
        <w:rPr>
          <w:rFonts w:hint="eastAsia" w:ascii="Times New Roman" w:hAnsi="Times New Roman" w:cs="Times New Roman"/>
          <w:lang w:eastAsia="zh-CN"/>
        </w:rPr>
        <w:t>损失</w:t>
      </w:r>
      <w:r>
        <w:rPr>
          <w:rFonts w:hint="default" w:ascii="Times New Roman" w:hAnsi="Times New Roman" w:cs="Times New Roman"/>
        </w:rPr>
        <w:t>分析</w:t>
      </w:r>
      <w:r>
        <w:tab/>
      </w:r>
      <w:r>
        <w:fldChar w:fldCharType="begin"/>
      </w:r>
      <w:r>
        <w:instrText xml:space="preserve"> PAGEREF _Toc17899 \h </w:instrText>
      </w:r>
      <w:r>
        <w:fldChar w:fldCharType="separate"/>
      </w:r>
      <w:r>
        <w:t>227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0D2C14B">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_Toc507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lang w:eastAsia="zh-CN"/>
        </w:rPr>
        <w:t xml:space="preserve">6.4. </w:t>
      </w:r>
      <w:r>
        <w:rPr>
          <w:rFonts w:hint="default"/>
        </w:rPr>
        <w:t>环境</w:t>
      </w:r>
      <w:r>
        <w:rPr>
          <w:rFonts w:hint="default"/>
          <w:lang w:val="en-US" w:eastAsia="zh-CN"/>
        </w:rPr>
        <w:t>损</w:t>
      </w:r>
      <w:r>
        <w:rPr>
          <w:rFonts w:hint="eastAsia"/>
          <w:lang w:val="en-US" w:eastAsia="zh-CN"/>
        </w:rPr>
        <w:t>益分析结论</w:t>
      </w:r>
      <w:r>
        <w:tab/>
      </w:r>
      <w:r>
        <w:fldChar w:fldCharType="begin"/>
      </w:r>
      <w:r>
        <w:instrText xml:space="preserve"> PAGEREF _Toc507 \h </w:instrText>
      </w:r>
      <w:r>
        <w:fldChar w:fldCharType="separate"/>
      </w:r>
      <w:r>
        <w:t>227</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5250BEAF">
      <w:pPr>
        <w:pStyle w:val="29"/>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_Toc14845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rPr>
        <w:t>7. 环境管理与监测计划</w:t>
      </w:r>
      <w:r>
        <w:tab/>
      </w:r>
      <w:r>
        <w:fldChar w:fldCharType="begin"/>
      </w:r>
      <w:r>
        <w:instrText xml:space="preserve"> PAGEREF _Toc14845 \h </w:instrText>
      </w:r>
      <w:r>
        <w:fldChar w:fldCharType="separate"/>
      </w:r>
      <w:r>
        <w:t>228</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686A7F7">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_Toc18191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7.1. 环境管理</w:t>
      </w:r>
      <w:r>
        <w:tab/>
      </w:r>
      <w:r>
        <w:fldChar w:fldCharType="begin"/>
      </w:r>
      <w:r>
        <w:instrText xml:space="preserve"> PAGEREF _Toc18191 \h </w:instrText>
      </w:r>
      <w:r>
        <w:fldChar w:fldCharType="separate"/>
      </w:r>
      <w:r>
        <w:t>228</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6A3C45A7">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_Toc21378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eastAsia="zh-CN"/>
        </w:rPr>
        <w:t xml:space="preserve">7.1.1. </w:t>
      </w:r>
      <w:r>
        <w:rPr>
          <w:rFonts w:hint="eastAsia" w:ascii="Times New Roman" w:hAnsi="Times New Roman" w:cs="Times New Roman"/>
          <w:lang w:val="en-US" w:eastAsia="zh-CN"/>
        </w:rPr>
        <w:t>环境管理体系</w:t>
      </w:r>
      <w:r>
        <w:tab/>
      </w:r>
      <w:r>
        <w:fldChar w:fldCharType="begin"/>
      </w:r>
      <w:r>
        <w:instrText xml:space="preserve"> PAGEREF _Toc21378 \h </w:instrText>
      </w:r>
      <w:r>
        <w:fldChar w:fldCharType="separate"/>
      </w:r>
      <w:r>
        <w:t>228</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677CAAB3">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_Toc23138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rPr>
        <w:t xml:space="preserve">7.1.2. </w:t>
      </w:r>
      <w:r>
        <w:rPr>
          <w:rFonts w:hint="eastAsia" w:ascii="Times New Roman" w:hAnsi="Times New Roman" w:cs="Times New Roman"/>
          <w:lang w:val="en-US" w:eastAsia="zh-CN"/>
        </w:rPr>
        <w:t>环境</w:t>
      </w:r>
      <w:r>
        <w:rPr>
          <w:lang w:val="en-US" w:eastAsia="zh-CN"/>
        </w:rPr>
        <w:t>管理职责</w:t>
      </w:r>
      <w:r>
        <w:tab/>
      </w:r>
      <w:r>
        <w:fldChar w:fldCharType="begin"/>
      </w:r>
      <w:r>
        <w:instrText xml:space="preserve"> PAGEREF _Toc23138 \h </w:instrText>
      </w:r>
      <w:r>
        <w:fldChar w:fldCharType="separate"/>
      </w:r>
      <w:r>
        <w:t>228</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CC84DBB">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_Toc11146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7.2. 环境监测</w:t>
      </w:r>
      <w:r>
        <w:tab/>
      </w:r>
      <w:r>
        <w:fldChar w:fldCharType="begin"/>
      </w:r>
      <w:r>
        <w:instrText xml:space="preserve"> PAGEREF _Toc11146 \h </w:instrText>
      </w:r>
      <w:r>
        <w:fldChar w:fldCharType="separate"/>
      </w:r>
      <w:r>
        <w:t>230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50B6D42">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_Toc1897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7.2.1. 监测目的</w:t>
      </w:r>
      <w:r>
        <w:tab/>
      </w:r>
      <w:r>
        <w:fldChar w:fldCharType="begin"/>
      </w:r>
      <w:r>
        <w:instrText xml:space="preserve"> PAGEREF _Toc1897 \h </w:instrText>
      </w:r>
      <w:r>
        <w:fldChar w:fldCharType="separate"/>
      </w:r>
      <w:r>
        <w:t>230</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B7626B9">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_Toc17337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7.2.2. 施工期环境监测</w:t>
      </w:r>
      <w:r>
        <w:tab/>
      </w:r>
      <w:r>
        <w:fldChar w:fldCharType="begin"/>
      </w:r>
      <w:r>
        <w:instrText xml:space="preserve"> PAGEREF _Toc17337 \h </w:instrText>
      </w:r>
      <w:r>
        <w:fldChar w:fldCharType="separate"/>
      </w:r>
      <w:r>
        <w:t>231</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4665255">
      <w:pPr>
        <w:pStyle w:val="23"/>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_Toc9525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7.2.3. 营运期环境监测</w:t>
      </w:r>
      <w:r>
        <w:tab/>
      </w:r>
      <w:r>
        <w:fldChar w:fldCharType="begin"/>
      </w:r>
      <w:r>
        <w:instrText xml:space="preserve"> PAGEREF _Toc9525 \h </w:instrText>
      </w:r>
      <w:r>
        <w:fldChar w:fldCharType="separate"/>
      </w:r>
      <w:r>
        <w:t>233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6D652D75">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_Toc27370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rPr>
        <w:t>7.3. 环境保护竣工验收</w:t>
      </w:r>
      <w:r>
        <w:tab/>
      </w:r>
      <w:r>
        <w:fldChar w:fldCharType="begin"/>
      </w:r>
      <w:r>
        <w:instrText xml:space="preserve"> PAGEREF _Toc27370 \h </w:instrText>
      </w:r>
      <w:r>
        <w:fldChar w:fldCharType="separate"/>
      </w:r>
      <w:r>
        <w:t>233</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70EE0D2">
      <w:pPr>
        <w:pStyle w:val="29"/>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_Toc4860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8. 环境影响评价结论</w:t>
      </w:r>
      <w:r>
        <w:tab/>
      </w:r>
      <w:r>
        <w:fldChar w:fldCharType="begin"/>
      </w:r>
      <w:r>
        <w:instrText xml:space="preserve"> PAGEREF _Toc4860 \h </w:instrText>
      </w:r>
      <w:r>
        <w:fldChar w:fldCharType="separate"/>
      </w:r>
      <w:r>
        <w:t>236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879555B">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_Toc18467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rPr>
        <w:t>8.1. 项目概况</w:t>
      </w:r>
      <w:r>
        <w:tab/>
      </w:r>
      <w:r>
        <w:fldChar w:fldCharType="begin"/>
      </w:r>
      <w:r>
        <w:instrText xml:space="preserve"> PAGEREF _Toc18467 \h </w:instrText>
      </w:r>
      <w:r>
        <w:fldChar w:fldCharType="separate"/>
      </w:r>
      <w:r>
        <w:t>236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4002D116">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_Toc5580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ascii="Times New Roman" w:hAnsi="Times New Roman" w:cs="Times New Roman"/>
          <w:lang w:eastAsia="zh-CN"/>
        </w:rPr>
        <w:t xml:space="preserve">8.2. </w:t>
      </w:r>
      <w:r>
        <w:rPr>
          <w:rFonts w:hint="eastAsia" w:ascii="Times New Roman" w:hAnsi="Times New Roman" w:cs="Times New Roman"/>
          <w:lang w:eastAsia="zh-CN"/>
        </w:rPr>
        <w:t>建设项目环境</w:t>
      </w:r>
      <w:r>
        <w:rPr>
          <w:rFonts w:hint="default" w:ascii="Times New Roman" w:hAnsi="Times New Roman" w:cs="Times New Roman"/>
          <w:lang w:eastAsia="zh-CN"/>
        </w:rPr>
        <w:t>合</w:t>
      </w:r>
      <w:r>
        <w:rPr>
          <w:rFonts w:hint="eastAsia" w:ascii="Times New Roman" w:hAnsi="Times New Roman" w:cs="Times New Roman"/>
          <w:lang w:eastAsia="zh-CN"/>
        </w:rPr>
        <w:t>理</w:t>
      </w:r>
      <w:r>
        <w:rPr>
          <w:rFonts w:hint="default" w:ascii="Times New Roman" w:hAnsi="Times New Roman" w:cs="Times New Roman"/>
          <w:lang w:eastAsia="zh-CN"/>
        </w:rPr>
        <w:t>性分析</w:t>
      </w:r>
      <w:r>
        <w:tab/>
      </w:r>
      <w:r>
        <w:fldChar w:fldCharType="begin"/>
      </w:r>
      <w:r>
        <w:instrText xml:space="preserve"> PAGEREF _Toc5580 \h </w:instrText>
      </w:r>
      <w:r>
        <w:fldChar w:fldCharType="separate"/>
      </w:r>
      <w:r>
        <w:t>236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6B6A7494">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_Toc17895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lang w:val="en-US" w:eastAsia="zh-CN"/>
        </w:rPr>
        <w:t>8.3. 选址合理性分析</w:t>
      </w:r>
      <w:r>
        <w:tab/>
      </w:r>
      <w:r>
        <w:fldChar w:fldCharType="begin"/>
      </w:r>
      <w:r>
        <w:instrText xml:space="preserve"> PAGEREF _Toc17895 \h </w:instrText>
      </w:r>
      <w:r>
        <w:fldChar w:fldCharType="separate"/>
      </w:r>
      <w:r>
        <w:t>238</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0E916C3F">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_Toc2303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lang w:val="en-US" w:eastAsia="zh-CN"/>
        </w:rPr>
        <w:t>8.4. 环境质量现状</w:t>
      </w:r>
      <w:r>
        <w:tab/>
      </w:r>
      <w:r>
        <w:fldChar w:fldCharType="begin"/>
      </w:r>
      <w:r>
        <w:instrText xml:space="preserve"> PAGEREF _Toc2303 \h </w:instrText>
      </w:r>
      <w:r>
        <w:fldChar w:fldCharType="separate"/>
      </w:r>
      <w:r>
        <w:t>238</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CBF95F5">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_Toc10607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lang w:val="en-US" w:eastAsia="zh-CN"/>
        </w:rPr>
        <w:t>8.5. 环境影响及保护措施</w:t>
      </w:r>
      <w:r>
        <w:tab/>
      </w:r>
      <w:r>
        <w:fldChar w:fldCharType="begin"/>
      </w:r>
      <w:r>
        <w:instrText xml:space="preserve"> PAGEREF _Toc10607 \h </w:instrText>
      </w:r>
      <w:r>
        <w:fldChar w:fldCharType="separate"/>
      </w:r>
      <w:r>
        <w:t>239</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3F74A2BE">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_Toc7975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lang w:val="en-US" w:eastAsia="zh-CN"/>
        </w:rPr>
        <w:t>8.6. 环境影响经济损益</w:t>
      </w:r>
      <w:r>
        <w:tab/>
      </w:r>
      <w:r>
        <w:fldChar w:fldCharType="begin"/>
      </w:r>
      <w:r>
        <w:instrText xml:space="preserve"> PAGEREF _Toc7975 \h </w:instrText>
      </w:r>
      <w:r>
        <w:fldChar w:fldCharType="separate"/>
      </w:r>
      <w:r>
        <w:t>245</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1F36F757">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_Toc15441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lang w:val="en-US" w:eastAsia="zh-CN"/>
        </w:rPr>
        <w:t>8.7. 环境管理与监测</w:t>
      </w:r>
      <w:r>
        <w:tab/>
      </w:r>
      <w:r>
        <w:fldChar w:fldCharType="begin"/>
      </w:r>
      <w:r>
        <w:instrText xml:space="preserve"> PAGEREF _Toc15441 \h </w:instrText>
      </w:r>
      <w:r>
        <w:fldChar w:fldCharType="separate"/>
      </w:r>
      <w:r>
        <w:t>245</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E65DEDF">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_Toc8080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lang w:val="en-US" w:eastAsia="zh-CN"/>
        </w:rPr>
        <w:t xml:space="preserve">8.8. </w:t>
      </w:r>
      <w:r>
        <w:rPr>
          <w:lang w:val="en-US" w:eastAsia="zh-CN"/>
        </w:rPr>
        <w:t>公众参与</w:t>
      </w:r>
      <w:r>
        <w:tab/>
      </w:r>
      <w:r>
        <w:fldChar w:fldCharType="begin"/>
      </w:r>
      <w:r>
        <w:instrText xml:space="preserve"> PAGEREF _Toc8080 \h </w:instrText>
      </w:r>
      <w:r>
        <w:fldChar w:fldCharType="separate"/>
      </w:r>
      <w:r>
        <w:t>245</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69AD45E">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_Toc25744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lang w:val="en-US" w:eastAsia="zh-CN"/>
        </w:rPr>
        <w:t xml:space="preserve">8.9. </w:t>
      </w:r>
      <w:r>
        <w:rPr>
          <w:rFonts w:hint="default"/>
          <w:lang w:val="zh-CN" w:eastAsia="zh-CN"/>
        </w:rPr>
        <w:t>综合评价结论</w:t>
      </w:r>
      <w:r>
        <w:tab/>
      </w:r>
      <w:r>
        <w:fldChar w:fldCharType="begin"/>
      </w:r>
      <w:r>
        <w:instrText xml:space="preserve"> PAGEREF _Toc25744 \h </w:instrText>
      </w:r>
      <w:r>
        <w:fldChar w:fldCharType="separate"/>
      </w:r>
      <w:r>
        <w:t>246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24BCBBB9">
      <w:pPr>
        <w:pStyle w:val="34"/>
        <w:tabs>
          <w:tab w:val="right" w:leader="dot" w:pos="8300"/>
        </w:tabs>
        <w:spacing w:line="240" w:lineRule="auto"/>
      </w:pPr>
      <w:r>
        <w:rPr>
          <w:rFonts w:hint="default" w:ascii="Times New Roman" w:hAnsi="Times New Roman" w:eastAsia="宋体" w:cs="Times New Roman"/>
          <w:caps w:val="0"/>
          <w:smallCaps w:val="0"/>
          <w:color w:val="auto"/>
          <w:spacing w:val="0"/>
          <w:w w:val="100"/>
          <w:kern w:val="0"/>
          <w:position w:val="0"/>
          <w:szCs w:val="24"/>
          <w:u w:val="none" w:color="auto"/>
        </w:rPr>
        <w:fldChar w:fldCharType="begin"/>
      </w:r>
      <w:r>
        <w:rPr>
          <w:rFonts w:hint="default" w:ascii="Times New Roman" w:hAnsi="Times New Roman" w:eastAsia="宋体" w:cs="Times New Roman"/>
          <w:caps w:val="0"/>
          <w:smallCaps w:val="0"/>
          <w:spacing w:val="0"/>
          <w:w w:val="100"/>
          <w:kern w:val="0"/>
          <w:position w:val="0"/>
          <w:szCs w:val="24"/>
        </w:rPr>
        <w:instrText xml:space="preserve"> HYPERLINK \l _Toc11395 </w:instrText>
      </w:r>
      <w:r>
        <w:rPr>
          <w:rFonts w:hint="default" w:ascii="Times New Roman" w:hAnsi="Times New Roman" w:eastAsia="宋体" w:cs="Times New Roman"/>
          <w:caps w:val="0"/>
          <w:smallCaps w:val="0"/>
          <w:spacing w:val="0"/>
          <w:w w:val="100"/>
          <w:kern w:val="0"/>
          <w:position w:val="0"/>
          <w:szCs w:val="24"/>
        </w:rPr>
        <w:fldChar w:fldCharType="separate"/>
      </w:r>
      <w:r>
        <w:rPr>
          <w:rFonts w:hint="default"/>
          <w:lang w:val="en-US" w:eastAsia="zh-CN"/>
        </w:rPr>
        <w:t xml:space="preserve">8.10. </w:t>
      </w:r>
      <w:r>
        <w:rPr>
          <w:rFonts w:hint="default"/>
          <w:lang w:val="zh-CN" w:eastAsia="zh-CN"/>
        </w:rPr>
        <w:t>建议</w:t>
      </w:r>
      <w:r>
        <w:tab/>
      </w:r>
      <w:r>
        <w:fldChar w:fldCharType="begin"/>
      </w:r>
      <w:r>
        <w:instrText xml:space="preserve"> PAGEREF _Toc11395 \h </w:instrText>
      </w:r>
      <w:r>
        <w:fldChar w:fldCharType="separate"/>
      </w:r>
      <w:r>
        <w:t>246</w:t>
      </w:r>
      <w:r>
        <w:fldChar w:fldCharType="end"/>
      </w:r>
      <w:r>
        <w:rPr>
          <w:rFonts w:hint="default" w:ascii="Times New Roman" w:hAnsi="Times New Roman" w:eastAsia="宋体" w:cs="Times New Roman"/>
          <w:caps w:val="0"/>
          <w:smallCaps w:val="0"/>
          <w:color w:val="auto"/>
          <w:spacing w:val="0"/>
          <w:w w:val="100"/>
          <w:kern w:val="0"/>
          <w:position w:val="0"/>
          <w:szCs w:val="24"/>
          <w:u w:val="none" w:color="auto"/>
        </w:rPr>
        <w:fldChar w:fldCharType="end"/>
      </w:r>
    </w:p>
    <w:p w14:paraId="7E9B1E9D">
      <w:pPr>
        <w:pageBreakBefore w:val="0"/>
        <w:kinsoku w:val="0"/>
        <w:wordWrap w:val="0"/>
        <w:overflowPunct/>
        <w:topLinePunct/>
        <w:autoSpaceDE/>
        <w:autoSpaceDN/>
        <w:bidi w:val="0"/>
        <w:adjustRightInd w:val="0"/>
        <w:spacing w:line="240" w:lineRule="auto"/>
        <w:rPr>
          <w:rFonts w:hint="default" w:ascii="Times New Roman" w:hAnsi="Times New Roman" w:eastAsia="宋体" w:cs="Times New Roman"/>
          <w:caps w:val="0"/>
          <w:smallCaps w:val="0"/>
          <w:color w:val="auto"/>
          <w:spacing w:val="0"/>
          <w:w w:val="100"/>
          <w:kern w:val="0"/>
          <w:position w:val="0"/>
          <w:szCs w:val="24"/>
          <w:u w:val="none" w:color="auto"/>
        </w:rPr>
      </w:pPr>
      <w:r>
        <w:rPr>
          <w:rFonts w:hint="default" w:ascii="Times New Roman" w:hAnsi="Times New Roman" w:eastAsia="宋体" w:cs="Times New Roman"/>
          <w:caps w:val="0"/>
          <w:smallCaps w:val="0"/>
          <w:color w:val="auto"/>
          <w:spacing w:val="0"/>
          <w:w w:val="100"/>
          <w:kern w:val="0"/>
          <w:position w:val="0"/>
          <w:szCs w:val="24"/>
          <w:u w:val="none" w:color="auto"/>
        </w:rPr>
        <w:fldChar w:fldCharType="end"/>
      </w:r>
      <w:bookmarkStart w:id="1" w:name="bookmark25"/>
      <w:bookmarkStart w:id="2" w:name="bookmark24"/>
    </w:p>
    <w:p w14:paraId="6A6CF993">
      <w:pPr>
        <w:pageBreakBefore w:val="0"/>
        <w:kinsoku w:val="0"/>
        <w:wordWrap w:val="0"/>
        <w:overflowPunct/>
        <w:topLinePunct/>
        <w:autoSpaceDE/>
        <w:autoSpaceDN/>
        <w:bidi w:val="0"/>
        <w:adjustRightInd w:val="0"/>
        <w:spacing w:line="500" w:lineRule="exact"/>
        <w:rPr>
          <w:rFonts w:hint="default" w:ascii="Times New Roman" w:hAnsi="Times New Roman" w:eastAsia="宋体" w:cs="Times New Roman"/>
          <w:b/>
          <w:caps w:val="0"/>
          <w:smallCaps w:val="0"/>
          <w:color w:val="auto"/>
          <w:spacing w:val="0"/>
          <w:w w:val="100"/>
          <w:kern w:val="0"/>
          <w:position w:val="0"/>
          <w:sz w:val="24"/>
          <w:szCs w:val="24"/>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附件</w:t>
      </w:r>
    </w:p>
    <w:p w14:paraId="0CED4CB1">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附件1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环评委托书</w:t>
      </w:r>
    </w:p>
    <w:p w14:paraId="0ECAC334">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附件2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建设单位法人证书</w:t>
      </w:r>
    </w:p>
    <w:p w14:paraId="2D55C6DE">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附件</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3  东山水库大坝安全鉴定成果</w:t>
      </w:r>
    </w:p>
    <w:p w14:paraId="37EE3BD6">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附件</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4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可行性研究报告批复</w:t>
      </w:r>
    </w:p>
    <w:p w14:paraId="68E039F3">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附件5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初步设计批复</w:t>
      </w:r>
    </w:p>
    <w:p w14:paraId="404FCF0C">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附件</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6</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岳阳市生态环境局华容分局关于本项目执行标准回函</w:t>
      </w:r>
    </w:p>
    <w:p w14:paraId="15BECAA5">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b w:val="0"/>
          <w:bCs w:val="0"/>
          <w:color w:val="auto"/>
          <w:spacing w:val="0"/>
          <w:w w:val="10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附件</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7  </w:t>
      </w:r>
      <w:r>
        <w:rPr>
          <w:rFonts w:hint="default" w:ascii="Times New Roman" w:hAnsi="Times New Roman" w:eastAsia="宋体" w:cs="Times New Roman"/>
          <w:b w:val="0"/>
          <w:bCs w:val="0"/>
          <w:color w:val="auto"/>
          <w:spacing w:val="0"/>
          <w:w w:val="100"/>
          <w:position w:val="0"/>
          <w:sz w:val="24"/>
          <w:szCs w:val="24"/>
          <w:u w:val="none" w:color="auto"/>
          <w:lang w:val="en-US" w:eastAsia="zh-CN"/>
        </w:rPr>
        <w:t>华容县林业局关于项目实施的意见</w:t>
      </w:r>
    </w:p>
    <w:p w14:paraId="1E70D472">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b w:val="0"/>
          <w:bCs w:val="0"/>
          <w:color w:val="auto"/>
          <w:spacing w:val="0"/>
          <w:w w:val="100"/>
          <w:position w:val="0"/>
          <w:sz w:val="24"/>
          <w:szCs w:val="24"/>
          <w:u w:val="none" w:color="auto"/>
          <w:lang w:val="en-US" w:eastAsia="zh-CN"/>
        </w:rPr>
      </w:pPr>
      <w:r>
        <w:rPr>
          <w:rFonts w:hint="default" w:ascii="Times New Roman" w:hAnsi="Times New Roman" w:eastAsia="宋体" w:cs="Times New Roman"/>
          <w:b w:val="0"/>
          <w:bCs w:val="0"/>
          <w:color w:val="auto"/>
          <w:spacing w:val="0"/>
          <w:w w:val="100"/>
          <w:position w:val="0"/>
          <w:sz w:val="24"/>
          <w:szCs w:val="24"/>
          <w:u w:val="none" w:color="auto"/>
          <w:lang w:val="en-US" w:eastAsia="zh-CN"/>
        </w:rPr>
        <w:t>附件</w:t>
      </w:r>
      <w:r>
        <w:rPr>
          <w:rFonts w:hint="eastAsia" w:ascii="Times New Roman" w:hAnsi="Times New Roman" w:eastAsia="宋体" w:cs="Times New Roman"/>
          <w:b w:val="0"/>
          <w:bCs w:val="0"/>
          <w:color w:val="auto"/>
          <w:spacing w:val="0"/>
          <w:w w:val="100"/>
          <w:position w:val="0"/>
          <w:sz w:val="24"/>
          <w:szCs w:val="24"/>
          <w:u w:val="none" w:color="auto"/>
          <w:lang w:val="en-US" w:eastAsia="zh-CN"/>
        </w:rPr>
        <w:t>8</w:t>
      </w:r>
      <w:r>
        <w:rPr>
          <w:rFonts w:hint="default" w:ascii="Times New Roman" w:hAnsi="Times New Roman" w:eastAsia="宋体" w:cs="Times New Roman"/>
          <w:b w:val="0"/>
          <w:bCs w:val="0"/>
          <w:color w:val="auto"/>
          <w:spacing w:val="0"/>
          <w:w w:val="100"/>
          <w:position w:val="0"/>
          <w:sz w:val="24"/>
          <w:szCs w:val="24"/>
          <w:u w:val="none" w:color="auto"/>
          <w:lang w:val="en-US" w:eastAsia="zh-CN"/>
        </w:rPr>
        <w:t xml:space="preserve">  湖南华容桃花山省级森林公园管理处关于项目施工的意见</w:t>
      </w:r>
    </w:p>
    <w:p w14:paraId="4C047037">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b w:val="0"/>
          <w:bCs w:val="0"/>
          <w:color w:val="auto"/>
          <w:spacing w:val="0"/>
          <w:w w:val="100"/>
          <w:position w:val="0"/>
          <w:sz w:val="24"/>
          <w:szCs w:val="24"/>
          <w:u w:val="none" w:color="auto"/>
          <w:lang w:val="en-US" w:eastAsia="zh-CN"/>
        </w:rPr>
      </w:pPr>
      <w:r>
        <w:rPr>
          <w:rFonts w:hint="default" w:ascii="Times New Roman" w:hAnsi="Times New Roman" w:eastAsia="宋体" w:cs="Times New Roman"/>
          <w:b w:val="0"/>
          <w:bCs w:val="0"/>
          <w:color w:val="auto"/>
          <w:spacing w:val="0"/>
          <w:w w:val="100"/>
          <w:position w:val="0"/>
          <w:sz w:val="24"/>
          <w:szCs w:val="24"/>
          <w:u w:val="none" w:color="auto"/>
          <w:lang w:val="en-US" w:eastAsia="zh-CN"/>
        </w:rPr>
        <w:t>附件</w:t>
      </w:r>
      <w:r>
        <w:rPr>
          <w:rFonts w:hint="eastAsia" w:ascii="Times New Roman" w:hAnsi="Times New Roman" w:eastAsia="宋体" w:cs="Times New Roman"/>
          <w:b w:val="0"/>
          <w:bCs w:val="0"/>
          <w:color w:val="auto"/>
          <w:spacing w:val="0"/>
          <w:w w:val="100"/>
          <w:position w:val="0"/>
          <w:sz w:val="24"/>
          <w:szCs w:val="24"/>
          <w:u w:val="none" w:color="auto"/>
          <w:lang w:val="en-US" w:eastAsia="zh-CN"/>
        </w:rPr>
        <w:t>9</w:t>
      </w:r>
      <w:r>
        <w:rPr>
          <w:rFonts w:hint="default" w:ascii="Times New Roman" w:hAnsi="Times New Roman" w:eastAsia="宋体" w:cs="Times New Roman"/>
          <w:b w:val="0"/>
          <w:bCs w:val="0"/>
          <w:color w:val="auto"/>
          <w:spacing w:val="0"/>
          <w:w w:val="100"/>
          <w:position w:val="0"/>
          <w:sz w:val="24"/>
          <w:szCs w:val="24"/>
          <w:u w:val="none" w:color="auto"/>
          <w:lang w:val="en-US" w:eastAsia="zh-CN"/>
        </w:rPr>
        <w:t xml:space="preserve">  华容县水利局关于对华容县东山水库除险加固工程水土保持方案报告书的批复</w:t>
      </w:r>
    </w:p>
    <w:p w14:paraId="38AB6590">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b w:val="0"/>
          <w:bCs w:val="0"/>
          <w:color w:val="auto"/>
          <w:spacing w:val="0"/>
          <w:w w:val="100"/>
          <w:position w:val="0"/>
          <w:sz w:val="24"/>
          <w:szCs w:val="24"/>
          <w:u w:val="none" w:color="auto"/>
          <w:lang w:val="en-US" w:eastAsia="zh-CN"/>
        </w:rPr>
      </w:pPr>
      <w:r>
        <w:rPr>
          <w:rFonts w:hint="default" w:ascii="Times New Roman" w:hAnsi="Times New Roman" w:eastAsia="宋体" w:cs="Times New Roman"/>
          <w:b w:val="0"/>
          <w:bCs w:val="0"/>
          <w:color w:val="auto"/>
          <w:spacing w:val="0"/>
          <w:w w:val="100"/>
          <w:position w:val="0"/>
          <w:sz w:val="24"/>
          <w:szCs w:val="24"/>
          <w:u w:val="none" w:color="auto"/>
          <w:lang w:val="en-US" w:eastAsia="zh-CN"/>
        </w:rPr>
        <w:t>附件1</w:t>
      </w:r>
      <w:r>
        <w:rPr>
          <w:rFonts w:hint="eastAsia" w:ascii="Times New Roman" w:hAnsi="Times New Roman" w:eastAsia="宋体" w:cs="Times New Roman"/>
          <w:b w:val="0"/>
          <w:bCs w:val="0"/>
          <w:color w:val="auto"/>
          <w:spacing w:val="0"/>
          <w:w w:val="100"/>
          <w:position w:val="0"/>
          <w:sz w:val="24"/>
          <w:szCs w:val="24"/>
          <w:u w:val="none" w:color="auto"/>
          <w:lang w:val="en-US" w:eastAsia="zh-CN"/>
        </w:rPr>
        <w:t>0</w:t>
      </w:r>
      <w:r>
        <w:rPr>
          <w:rFonts w:hint="default" w:ascii="Times New Roman" w:hAnsi="Times New Roman" w:eastAsia="宋体" w:cs="Times New Roman"/>
          <w:b w:val="0"/>
          <w:bCs w:val="0"/>
          <w:color w:val="auto"/>
          <w:spacing w:val="0"/>
          <w:w w:val="100"/>
          <w:position w:val="0"/>
          <w:sz w:val="24"/>
          <w:szCs w:val="24"/>
          <w:u w:val="none" w:color="auto"/>
          <w:lang w:val="en-US" w:eastAsia="zh-CN"/>
        </w:rPr>
        <w:t xml:space="preserve">  土石方外购承诺书</w:t>
      </w:r>
    </w:p>
    <w:p w14:paraId="2882A812">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b w:val="0"/>
          <w:bCs w:val="0"/>
          <w:color w:val="auto"/>
          <w:spacing w:val="0"/>
          <w:w w:val="100"/>
          <w:position w:val="0"/>
          <w:sz w:val="24"/>
          <w:szCs w:val="24"/>
          <w:u w:val="none" w:color="auto"/>
          <w:lang w:val="en-US" w:eastAsia="zh-CN"/>
        </w:rPr>
      </w:pPr>
      <w:r>
        <w:rPr>
          <w:rFonts w:hint="eastAsia" w:ascii="Times New Roman" w:hAnsi="Times New Roman" w:eastAsia="宋体" w:cs="Times New Roman"/>
          <w:b w:val="0"/>
          <w:bCs w:val="0"/>
          <w:color w:val="auto"/>
          <w:spacing w:val="0"/>
          <w:w w:val="100"/>
          <w:position w:val="0"/>
          <w:sz w:val="24"/>
          <w:szCs w:val="24"/>
          <w:u w:val="none" w:color="auto"/>
          <w:lang w:val="en-US" w:eastAsia="zh-CN"/>
        </w:rPr>
        <w:t>附件11  环境质量现状监测报告及质保单</w:t>
      </w:r>
    </w:p>
    <w:p w14:paraId="2D1CF9A1">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b w:val="0"/>
          <w:bCs w:val="0"/>
          <w:color w:val="FF0000"/>
          <w:spacing w:val="0"/>
          <w:w w:val="100"/>
          <w:position w:val="0"/>
          <w:sz w:val="24"/>
          <w:szCs w:val="24"/>
          <w:u w:val="none" w:color="auto"/>
          <w:lang w:val="en-US" w:eastAsia="zh-CN"/>
        </w:rPr>
      </w:pPr>
    </w:p>
    <w:p w14:paraId="37309241">
      <w:pPr>
        <w:pageBreakBefore w:val="0"/>
        <w:kinsoku w:val="0"/>
        <w:wordWrap w:val="0"/>
        <w:overflowPunct/>
        <w:topLinePunct/>
        <w:autoSpaceDE/>
        <w:autoSpaceDN/>
        <w:bidi w:val="0"/>
        <w:adjustRightInd w:val="0"/>
        <w:spacing w:line="500" w:lineRule="exact"/>
        <w:rPr>
          <w:rFonts w:hint="default" w:ascii="Times New Roman" w:hAnsi="Times New Roman" w:eastAsia="宋体" w:cs="Times New Roman"/>
          <w:b/>
          <w:caps w:val="0"/>
          <w:smallCaps w:val="0"/>
          <w:color w:val="auto"/>
          <w:spacing w:val="0"/>
          <w:w w:val="100"/>
          <w:kern w:val="0"/>
          <w:position w:val="0"/>
          <w:sz w:val="24"/>
          <w:szCs w:val="24"/>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附图</w:t>
      </w:r>
    </w:p>
    <w:p w14:paraId="59DF2FFB">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附图 1</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项目</w:t>
      </w:r>
      <w:r>
        <w:rPr>
          <w:rFonts w:hint="default" w:ascii="Times New Roman" w:hAnsi="Times New Roman" w:eastAsia="宋体" w:cs="Times New Roman"/>
          <w:caps w:val="0"/>
          <w:smallCaps w:val="0"/>
          <w:color w:val="auto"/>
          <w:spacing w:val="0"/>
          <w:w w:val="100"/>
          <w:kern w:val="0"/>
          <w:position w:val="0"/>
          <w:sz w:val="24"/>
          <w:szCs w:val="24"/>
          <w:u w:val="none" w:color="auto"/>
        </w:rPr>
        <w:t>地理位置示意图</w:t>
      </w:r>
    </w:p>
    <w:p w14:paraId="46FC27A2">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附图</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1-2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项目</w:t>
      </w:r>
      <w:r>
        <w:rPr>
          <w:rFonts w:hint="default" w:ascii="Times New Roman" w:hAnsi="Times New Roman" w:eastAsia="宋体" w:cs="Times New Roman"/>
          <w:caps w:val="0"/>
          <w:smallCaps w:val="0"/>
          <w:color w:val="auto"/>
          <w:spacing w:val="0"/>
          <w:w w:val="100"/>
          <w:kern w:val="0"/>
          <w:position w:val="0"/>
          <w:sz w:val="24"/>
          <w:szCs w:val="24"/>
          <w:u w:val="none" w:color="auto"/>
        </w:rPr>
        <w:t>地理位置</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卫星</w:t>
      </w:r>
      <w:r>
        <w:rPr>
          <w:rFonts w:hint="default" w:ascii="Times New Roman" w:hAnsi="Times New Roman" w:eastAsia="宋体" w:cs="Times New Roman"/>
          <w:caps w:val="0"/>
          <w:smallCaps w:val="0"/>
          <w:color w:val="auto"/>
          <w:spacing w:val="0"/>
          <w:w w:val="100"/>
          <w:kern w:val="0"/>
          <w:position w:val="0"/>
          <w:sz w:val="24"/>
          <w:szCs w:val="24"/>
          <w:u w:val="none" w:color="auto"/>
        </w:rPr>
        <w:t>图</w:t>
      </w:r>
    </w:p>
    <w:p w14:paraId="6A731A4C">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附图 2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w:t>
      </w:r>
      <w:r>
        <w:rPr>
          <w:rFonts w:hint="default" w:ascii="Times New Roman" w:hAnsi="Times New Roman" w:eastAsia="宋体" w:cs="Times New Roman"/>
          <w:caps w:val="0"/>
          <w:smallCaps w:val="0"/>
          <w:color w:val="auto"/>
          <w:spacing w:val="0"/>
          <w:w w:val="100"/>
          <w:kern w:val="0"/>
          <w:position w:val="0"/>
          <w:sz w:val="24"/>
          <w:szCs w:val="24"/>
          <w:u w:val="none" w:color="auto"/>
        </w:rPr>
        <w:t>水库</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管理与保护范围划界成果示意图</w:t>
      </w:r>
    </w:p>
    <w:p w14:paraId="49F2EF24">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附图 3</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工程总平面布置图</w:t>
      </w:r>
    </w:p>
    <w:p w14:paraId="25BAB41C">
      <w:pPr>
        <w:pStyle w:val="78"/>
        <w:spacing w:line="360" w:lineRule="auto"/>
        <w:ind w:firstLine="480" w:firstLineChars="200"/>
        <w:jc w:val="both"/>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bidi="ar-SA"/>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bidi="ar-SA"/>
        </w:rPr>
        <w:t>附图 3-2  大坝加固设计平面布置图</w:t>
      </w:r>
    </w:p>
    <w:p w14:paraId="1CE9E7E4">
      <w:pPr>
        <w:pStyle w:val="78"/>
        <w:spacing w:line="360" w:lineRule="auto"/>
        <w:ind w:firstLine="480" w:firstLineChars="200"/>
        <w:jc w:val="both"/>
        <w:rPr>
          <w:rFonts w:hint="default" w:ascii="宋体" w:hAnsi="宋体" w:eastAsia="宋体" w:cs="Times New Roman"/>
          <w:b/>
          <w:bCs/>
          <w:sz w:val="24"/>
          <w:szCs w:val="24"/>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附图</w:t>
      </w:r>
      <w:r>
        <w:rPr>
          <w:rFonts w:hint="eastAsia" w:cs="Times New Roman"/>
          <w:caps w:val="0"/>
          <w:smallCaps w:val="0"/>
          <w:color w:val="auto"/>
          <w:spacing w:val="0"/>
          <w:w w:val="100"/>
          <w:kern w:val="0"/>
          <w:position w:val="0"/>
          <w:sz w:val="24"/>
          <w:szCs w:val="24"/>
          <w:u w:val="none" w:color="auto"/>
          <w:lang w:val="en-US" w:eastAsia="zh-CN"/>
        </w:rPr>
        <w:t xml:space="preserve"> </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3-</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bidi="ar-SA"/>
        </w:rPr>
        <w:t>3  输水隧洞启闭机房工作桥平面布置图</w:t>
      </w:r>
    </w:p>
    <w:p w14:paraId="0185A906">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附图3-4  引水渠平面布置图</w:t>
      </w:r>
    </w:p>
    <w:p w14:paraId="5E5D814C">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附图3-5  东山水库管理所平面布置图</w:t>
      </w:r>
    </w:p>
    <w:p w14:paraId="1403CE7C">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附图 4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工程</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施工总平面布置图 </w:t>
      </w:r>
    </w:p>
    <w:p w14:paraId="1CDF14B5">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附图 5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华容县</w:t>
      </w:r>
      <w:r>
        <w:rPr>
          <w:rFonts w:hint="default" w:ascii="Times New Roman" w:hAnsi="Times New Roman" w:eastAsia="宋体" w:cs="Times New Roman"/>
          <w:caps w:val="0"/>
          <w:smallCaps w:val="0"/>
          <w:color w:val="auto"/>
          <w:spacing w:val="0"/>
          <w:w w:val="100"/>
          <w:kern w:val="0"/>
          <w:position w:val="0"/>
          <w:sz w:val="24"/>
          <w:szCs w:val="24"/>
          <w:u w:val="none" w:color="auto"/>
        </w:rPr>
        <w:t>水系图</w:t>
      </w:r>
    </w:p>
    <w:p w14:paraId="2A20B4A1">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附图 6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东山水库</w:t>
      </w:r>
      <w:r>
        <w:rPr>
          <w:rFonts w:hint="default" w:ascii="Times New Roman" w:hAnsi="Times New Roman" w:eastAsia="宋体" w:cs="Times New Roman"/>
          <w:caps w:val="0"/>
          <w:smallCaps w:val="0"/>
          <w:color w:val="auto"/>
          <w:spacing w:val="0"/>
          <w:w w:val="100"/>
          <w:kern w:val="0"/>
          <w:position w:val="0"/>
          <w:sz w:val="24"/>
          <w:szCs w:val="24"/>
          <w:u w:val="none" w:color="auto"/>
        </w:rPr>
        <w:t>水功能区划示意图</w:t>
      </w:r>
    </w:p>
    <w:p w14:paraId="2A1932DE">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附图 7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项目</w:t>
      </w:r>
      <w:r>
        <w:rPr>
          <w:rFonts w:hint="default" w:ascii="Times New Roman" w:hAnsi="Times New Roman" w:eastAsia="宋体" w:cs="Times New Roman"/>
          <w:caps w:val="0"/>
          <w:smallCaps w:val="0"/>
          <w:color w:val="auto"/>
          <w:spacing w:val="0"/>
          <w:w w:val="100"/>
          <w:kern w:val="0"/>
          <w:position w:val="0"/>
          <w:sz w:val="24"/>
          <w:szCs w:val="24"/>
          <w:u w:val="none" w:color="auto"/>
        </w:rPr>
        <w:t>评价</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范围</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图 </w:t>
      </w:r>
    </w:p>
    <w:p w14:paraId="66998BD4">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附图 8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项目</w:t>
      </w:r>
      <w:r>
        <w:rPr>
          <w:rFonts w:hint="default" w:ascii="Times New Roman" w:hAnsi="Times New Roman" w:eastAsia="宋体" w:cs="Times New Roman"/>
          <w:caps w:val="0"/>
          <w:smallCaps w:val="0"/>
          <w:color w:val="auto"/>
          <w:spacing w:val="0"/>
          <w:w w:val="100"/>
          <w:kern w:val="0"/>
          <w:position w:val="0"/>
          <w:sz w:val="24"/>
          <w:szCs w:val="24"/>
          <w:u w:val="none" w:color="auto"/>
        </w:rPr>
        <w:t>评价区生态</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保护目标</w:t>
      </w:r>
      <w:r>
        <w:rPr>
          <w:rFonts w:hint="default" w:ascii="Times New Roman" w:hAnsi="Times New Roman" w:eastAsia="宋体" w:cs="Times New Roman"/>
          <w:caps w:val="0"/>
          <w:smallCaps w:val="0"/>
          <w:color w:val="auto"/>
          <w:spacing w:val="0"/>
          <w:w w:val="100"/>
          <w:kern w:val="0"/>
          <w:position w:val="0"/>
          <w:sz w:val="24"/>
          <w:szCs w:val="24"/>
          <w:u w:val="none" w:color="auto"/>
        </w:rPr>
        <w:t>分布图</w:t>
      </w:r>
    </w:p>
    <w:p w14:paraId="7BEB4DA7">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附图</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9</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项目</w:t>
      </w:r>
      <w:r>
        <w:rPr>
          <w:rFonts w:hint="default" w:ascii="Times New Roman" w:hAnsi="Times New Roman" w:eastAsia="宋体" w:cs="Times New Roman"/>
          <w:caps w:val="0"/>
          <w:smallCaps w:val="0"/>
          <w:color w:val="auto"/>
          <w:spacing w:val="0"/>
          <w:w w:val="100"/>
          <w:kern w:val="0"/>
          <w:position w:val="0"/>
          <w:sz w:val="24"/>
          <w:szCs w:val="24"/>
          <w:u w:val="none" w:color="auto"/>
        </w:rPr>
        <w:t>与</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华容县“三区三线”划定成果套合</w:t>
      </w:r>
      <w:r>
        <w:rPr>
          <w:rFonts w:hint="default" w:ascii="Times New Roman" w:hAnsi="Times New Roman" w:eastAsia="宋体" w:cs="Times New Roman"/>
          <w:caps w:val="0"/>
          <w:smallCaps w:val="0"/>
          <w:color w:val="auto"/>
          <w:spacing w:val="0"/>
          <w:w w:val="100"/>
          <w:kern w:val="0"/>
          <w:position w:val="0"/>
          <w:sz w:val="24"/>
          <w:szCs w:val="24"/>
          <w:u w:val="none" w:color="auto"/>
        </w:rPr>
        <w:t>图</w:t>
      </w:r>
    </w:p>
    <w:p w14:paraId="3B4D5E02">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eastAsia"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附图 1</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0</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 </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项目与华容县桃花山省级森林公园位置关系图</w:t>
      </w:r>
    </w:p>
    <w:p w14:paraId="08263C22">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附图</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11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项目与</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饮用水源保护区位置</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关系图</w:t>
      </w:r>
    </w:p>
    <w:p w14:paraId="7741D64B">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附图</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1</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2</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项目</w:t>
      </w:r>
      <w:r>
        <w:rPr>
          <w:rFonts w:hint="default" w:ascii="Times New Roman" w:hAnsi="Times New Roman" w:eastAsia="宋体" w:cs="Times New Roman"/>
          <w:caps w:val="0"/>
          <w:smallCaps w:val="0"/>
          <w:color w:val="auto"/>
          <w:spacing w:val="0"/>
          <w:w w:val="100"/>
          <w:kern w:val="0"/>
          <w:position w:val="0"/>
          <w:sz w:val="24"/>
          <w:szCs w:val="24"/>
          <w:u w:val="none" w:color="auto"/>
        </w:rPr>
        <w:t>环境现状监测断面（点位）位置示意图</w:t>
      </w:r>
    </w:p>
    <w:p w14:paraId="3E77A2A0">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附图 1</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项目</w:t>
      </w:r>
      <w:r>
        <w:rPr>
          <w:rFonts w:hint="default" w:ascii="Times New Roman" w:hAnsi="Times New Roman" w:eastAsia="宋体" w:cs="Times New Roman"/>
          <w:caps w:val="0"/>
          <w:smallCaps w:val="0"/>
          <w:color w:val="auto"/>
          <w:spacing w:val="0"/>
          <w:w w:val="100"/>
          <w:kern w:val="0"/>
          <w:position w:val="0"/>
          <w:sz w:val="24"/>
          <w:szCs w:val="24"/>
          <w:u w:val="none" w:color="auto"/>
        </w:rPr>
        <w:t>调查样方</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样线布设</w:t>
      </w:r>
      <w:r>
        <w:rPr>
          <w:rFonts w:hint="default" w:ascii="Times New Roman" w:hAnsi="Times New Roman" w:eastAsia="宋体" w:cs="Times New Roman"/>
          <w:caps w:val="0"/>
          <w:smallCaps w:val="0"/>
          <w:color w:val="auto"/>
          <w:spacing w:val="0"/>
          <w:w w:val="100"/>
          <w:kern w:val="0"/>
          <w:position w:val="0"/>
          <w:sz w:val="24"/>
          <w:szCs w:val="24"/>
          <w:u w:val="none" w:color="auto"/>
        </w:rPr>
        <w:t>图</w:t>
      </w:r>
    </w:p>
    <w:p w14:paraId="5E986759">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附图 1</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4</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项目</w:t>
      </w:r>
      <w:r>
        <w:rPr>
          <w:rFonts w:hint="default" w:ascii="Times New Roman" w:hAnsi="Times New Roman" w:eastAsia="宋体" w:cs="Times New Roman"/>
          <w:caps w:val="0"/>
          <w:smallCaps w:val="0"/>
          <w:color w:val="auto"/>
          <w:spacing w:val="0"/>
          <w:w w:val="100"/>
          <w:kern w:val="0"/>
          <w:position w:val="0"/>
          <w:sz w:val="24"/>
          <w:szCs w:val="24"/>
          <w:u w:val="none" w:color="auto"/>
        </w:rPr>
        <w:t>评价区土地利用现状图</w:t>
      </w:r>
    </w:p>
    <w:p w14:paraId="096ADCCB">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附图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项目</w:t>
      </w:r>
      <w:r>
        <w:rPr>
          <w:rFonts w:hint="default" w:ascii="Times New Roman" w:hAnsi="Times New Roman" w:eastAsia="宋体" w:cs="Times New Roman"/>
          <w:caps w:val="0"/>
          <w:smallCaps w:val="0"/>
          <w:color w:val="auto"/>
          <w:spacing w:val="0"/>
          <w:w w:val="100"/>
          <w:kern w:val="0"/>
          <w:position w:val="0"/>
          <w:sz w:val="24"/>
          <w:szCs w:val="24"/>
          <w:u w:val="none" w:color="auto"/>
        </w:rPr>
        <w:t>评价区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生态系统类型</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图 </w:t>
      </w:r>
    </w:p>
    <w:p w14:paraId="3BF31280">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附图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6</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项目</w:t>
      </w:r>
      <w:r>
        <w:rPr>
          <w:rFonts w:hint="default" w:ascii="Times New Roman" w:hAnsi="Times New Roman" w:eastAsia="宋体" w:cs="Times New Roman"/>
          <w:caps w:val="0"/>
          <w:smallCaps w:val="0"/>
          <w:color w:val="auto"/>
          <w:spacing w:val="0"/>
          <w:w w:val="100"/>
          <w:kern w:val="0"/>
          <w:position w:val="0"/>
          <w:sz w:val="24"/>
          <w:szCs w:val="24"/>
          <w:u w:val="none" w:color="auto"/>
        </w:rPr>
        <w:t>评价区植被</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覆盖度空间分布</w:t>
      </w:r>
      <w:r>
        <w:rPr>
          <w:rFonts w:hint="default" w:ascii="Times New Roman" w:hAnsi="Times New Roman" w:eastAsia="宋体" w:cs="Times New Roman"/>
          <w:caps w:val="0"/>
          <w:smallCaps w:val="0"/>
          <w:color w:val="auto"/>
          <w:spacing w:val="0"/>
          <w:w w:val="100"/>
          <w:kern w:val="0"/>
          <w:position w:val="0"/>
          <w:sz w:val="24"/>
          <w:szCs w:val="24"/>
          <w:u w:val="none" w:color="auto"/>
        </w:rPr>
        <w:t>图</w:t>
      </w:r>
    </w:p>
    <w:p w14:paraId="1B393986">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附图 </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17</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项目</w:t>
      </w:r>
      <w:r>
        <w:rPr>
          <w:rFonts w:hint="default" w:ascii="Times New Roman" w:hAnsi="Times New Roman" w:eastAsia="宋体" w:cs="Times New Roman"/>
          <w:caps w:val="0"/>
          <w:smallCaps w:val="0"/>
          <w:color w:val="auto"/>
          <w:spacing w:val="0"/>
          <w:w w:val="100"/>
          <w:kern w:val="0"/>
          <w:position w:val="0"/>
          <w:sz w:val="24"/>
          <w:szCs w:val="24"/>
          <w:u w:val="none" w:color="auto"/>
        </w:rPr>
        <w:t>评价区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植被类型</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图 </w:t>
      </w:r>
    </w:p>
    <w:p w14:paraId="41D0DDC1">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附图</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18</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项目</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生态保护措施平面布置</w:t>
      </w:r>
      <w:r>
        <w:rPr>
          <w:rFonts w:hint="default" w:ascii="Times New Roman" w:hAnsi="Times New Roman" w:eastAsia="宋体" w:cs="Times New Roman"/>
          <w:caps w:val="0"/>
          <w:smallCaps w:val="0"/>
          <w:color w:val="auto"/>
          <w:spacing w:val="0"/>
          <w:w w:val="100"/>
          <w:kern w:val="0"/>
          <w:position w:val="0"/>
          <w:sz w:val="24"/>
          <w:szCs w:val="24"/>
          <w:u w:val="none" w:color="auto"/>
        </w:rPr>
        <w:t>图</w:t>
      </w:r>
    </w:p>
    <w:p w14:paraId="73FA1D0A">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附图 </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19</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生态监测布点</w:t>
      </w:r>
      <w:r>
        <w:rPr>
          <w:rFonts w:hint="default" w:ascii="Times New Roman" w:hAnsi="Times New Roman" w:eastAsia="宋体" w:cs="Times New Roman"/>
          <w:caps w:val="0"/>
          <w:smallCaps w:val="0"/>
          <w:color w:val="auto"/>
          <w:spacing w:val="0"/>
          <w:w w:val="100"/>
          <w:kern w:val="0"/>
          <w:position w:val="0"/>
          <w:sz w:val="24"/>
          <w:szCs w:val="24"/>
          <w:u w:val="none" w:color="auto"/>
        </w:rPr>
        <w:t>图</w:t>
      </w:r>
    </w:p>
    <w:p w14:paraId="5A70C9D6">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附图</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20  现场照片及工程师踏勘照片</w:t>
      </w:r>
    </w:p>
    <w:p w14:paraId="5FBB35A0">
      <w:pPr>
        <w:pageBreakBefore w:val="0"/>
        <w:kinsoku w:val="0"/>
        <w:wordWrap w:val="0"/>
        <w:overflowPunct/>
        <w:topLinePunct/>
        <w:autoSpaceDE/>
        <w:autoSpaceDN/>
        <w:bidi w:val="0"/>
        <w:adjustRightInd w:val="0"/>
        <w:spacing w:line="500" w:lineRule="exact"/>
        <w:rPr>
          <w:rFonts w:hint="default" w:ascii="Times New Roman" w:hAnsi="Times New Roman" w:eastAsia="宋体" w:cs="Times New Roman"/>
          <w:b/>
          <w:caps w:val="0"/>
          <w:smallCaps w:val="0"/>
          <w:color w:val="auto"/>
          <w:spacing w:val="0"/>
          <w:w w:val="100"/>
          <w:kern w:val="0"/>
          <w:position w:val="0"/>
          <w:sz w:val="24"/>
          <w:szCs w:val="24"/>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附表</w:t>
      </w:r>
    </w:p>
    <w:p w14:paraId="41DEBEF8">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附表 1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工程植物样方调查表 </w:t>
      </w:r>
    </w:p>
    <w:p w14:paraId="09596F1F">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附表</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2</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 </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rPr>
        <w:t>大气环境影响评价自查表</w:t>
      </w:r>
    </w:p>
    <w:p w14:paraId="3BC6D7DF">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附表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 </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rPr>
        <w:t>地表水环境影响评价自查表</w:t>
      </w:r>
    </w:p>
    <w:p w14:paraId="4ACB9F3C">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附表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4</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 </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rPr>
        <w:t>声环境影响评价自查表</w:t>
      </w:r>
    </w:p>
    <w:p w14:paraId="2A862CCE">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附表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5 </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rPr>
        <w:t>生态环境影响评价自查表</w:t>
      </w:r>
    </w:p>
    <w:p w14:paraId="7D526D28">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附表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6</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rPr>
        <w:t>环境风险影响评价自查表</w:t>
      </w:r>
    </w:p>
    <w:p w14:paraId="3094EB56">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附表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7 </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rPr>
        <w:t>土壤环境影响评价自查表</w:t>
      </w:r>
    </w:p>
    <w:p w14:paraId="17B0F5E5">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b/>
          <w:caps w:val="0"/>
          <w:smallCaps w:val="0"/>
          <w:color w:val="auto"/>
          <w:spacing w:val="0"/>
          <w:w w:val="100"/>
          <w:position w:val="0"/>
          <w:sz w:val="32"/>
          <w:szCs w:val="32"/>
          <w:u w:val="none" w:color="auto"/>
        </w:rPr>
        <w:sectPr>
          <w:footerReference r:id="rId6" w:type="default"/>
          <w:pgSz w:w="11906" w:h="16838"/>
          <w:pgMar w:top="1440" w:right="1803" w:bottom="1440" w:left="1803" w:header="851" w:footer="992" w:gutter="0"/>
          <w:pgBorders>
            <w:top w:val="none" w:sz="0" w:space="0"/>
            <w:left w:val="none" w:sz="0" w:space="0"/>
            <w:bottom w:val="none" w:sz="0" w:space="0"/>
            <w:right w:val="none" w:sz="0" w:space="0"/>
          </w:pgBorders>
          <w:pgNumType w:fmt="upperRoman" w:start="1"/>
          <w:cols w:space="425" w:num="1"/>
          <w:docGrid w:type="lines" w:linePitch="312" w:charSpace="0"/>
        </w:sect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附表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8 </w:t>
      </w:r>
      <w:r>
        <w:rPr>
          <w:rFonts w:hint="default" w:ascii="Times New Roman" w:hAnsi="Times New Roman" w:eastAsia="宋体" w:cs="Times New Roman"/>
          <w:caps w:val="0"/>
          <w:smallCaps w:val="0"/>
          <w:color w:val="auto"/>
          <w:spacing w:val="0"/>
          <w:w w:val="100"/>
          <w:kern w:val="0"/>
          <w:position w:val="0"/>
          <w:sz w:val="24"/>
          <w:szCs w:val="24"/>
          <w:u w:val="none" w:color="auto"/>
        </w:rPr>
        <w:t>建设项目环境影响报告书审批基础信息表</w:t>
      </w:r>
    </w:p>
    <w:p w14:paraId="12D3FB9B">
      <w:pPr>
        <w:pStyle w:val="2"/>
        <w:numPr>
          <w:ilvl w:val="0"/>
          <w:numId w:val="0"/>
        </w:numPr>
        <w:bidi w:val="0"/>
        <w:ind w:leftChars="0"/>
        <w:jc w:val="center"/>
        <w:rPr>
          <w:rFonts w:hint="default" w:ascii="Times New Roman" w:hAnsi="Times New Roman" w:cs="Times New Roman"/>
          <w:lang w:eastAsia="zh-CN"/>
        </w:rPr>
      </w:pPr>
      <w:bookmarkStart w:id="3" w:name="_Toc20064"/>
      <w:r>
        <w:rPr>
          <w:rFonts w:hint="default" w:ascii="Times New Roman" w:hAnsi="Times New Roman" w:cs="Times New Roman"/>
          <w:lang w:eastAsia="zh-CN"/>
        </w:rPr>
        <w:t>概</w:t>
      </w:r>
      <w:r>
        <w:rPr>
          <w:rFonts w:hint="default" w:ascii="Times New Roman" w:hAnsi="Times New Roman" w:cs="Times New Roman"/>
          <w:lang w:val="en-US" w:eastAsia="zh-CN"/>
        </w:rPr>
        <w:t xml:space="preserve"> </w:t>
      </w:r>
      <w:r>
        <w:rPr>
          <w:rFonts w:hint="default" w:ascii="Times New Roman" w:hAnsi="Times New Roman" w:cs="Times New Roman"/>
          <w:lang w:eastAsia="zh-CN"/>
        </w:rPr>
        <w:t>述</w:t>
      </w:r>
      <w:bookmarkEnd w:id="3"/>
    </w:p>
    <w:p w14:paraId="773A8E5D">
      <w:pPr>
        <w:pStyle w:val="3"/>
        <w:numPr>
          <w:ilvl w:val="1"/>
          <w:numId w:val="0"/>
        </w:numPr>
        <w:bidi w:val="0"/>
        <w:ind w:leftChars="0"/>
        <w:rPr>
          <w:rFonts w:hint="default" w:ascii="Times New Roman" w:hAnsi="Times New Roman" w:cs="Times New Roman"/>
        </w:rPr>
      </w:pPr>
      <w:bookmarkStart w:id="4" w:name="_Toc10271"/>
      <w:r>
        <w:rPr>
          <w:rFonts w:hint="default" w:ascii="Times New Roman" w:hAnsi="Times New Roman" w:cs="Times New Roman"/>
        </w:rPr>
        <w:t>1项目背景</w:t>
      </w:r>
      <w:bookmarkEnd w:id="4"/>
    </w:p>
    <w:p w14:paraId="5BF788A1">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东山水库大坝位于华容县东山镇仙鹅寺村，枢纽座落在大荆湖水系主支流一白马港(河)的中上游，水库距华容县城25km，距S202省道3. 5km。坝址地理位置坐标：东经112° 44' 03”，北纬29° 37' 03”。东山灌区设计灌溉面积3.1万亩，年供水量96万m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。东山水库是一座以灌溉为主，兼有防洪、供水等综合效益的水利工程。</w:t>
      </w:r>
    </w:p>
    <w:p w14:paraId="2330ECAA">
      <w:pPr>
        <w:keepNext w:val="0"/>
        <w:keepLines w:val="0"/>
        <w:pageBreakBefore w:val="0"/>
        <w:widowControl w:val="0"/>
        <w:overflowPunct/>
        <w:autoSpaceDE/>
        <w:autoSpaceDN/>
        <w:bidi w:val="0"/>
        <w:adjustRightInd/>
        <w:snapToGrid/>
        <w:spacing w:line="360" w:lineRule="auto"/>
        <w:ind w:left="0" w:firstLine="478"/>
        <w:textAlignment w:val="auto"/>
        <w:rPr>
          <w:rFonts w:hint="default" w:ascii="Times New Roman" w:hAnsi="Times New Roman" w:eastAsia="宋体" w:cs="Times New Roman"/>
          <w:i w:val="0"/>
          <w:iCs w:val="0"/>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东山水库坝址控制集雨面积13. 3km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，另有枯水期外引集雨面积1. 19km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。正常蓄水位67.50m，正常库容960.60万m。校核洪水标准为1000年一遇，校核洪水位68.70m，相应库容1054. 50万m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，死水位48. 30m，相应库容92.00万m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。东山水库属中型水库，工程等别为III等，大坝、引水和汇洪建筑物等主要建筑物为3级建筑物，次要永久性建筑物为4级。</w:t>
      </w:r>
    </w:p>
    <w:p w14:paraId="7DF1C6A2">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eastAsia="zh-CN"/>
        </w:rPr>
        <w:t>枢纽工程由大坝、溢洪道、输水涵洞等永久性建筑物组成。大坝枢纽工程于1971年12月动工兴建，1974年冬枢纽工程基本竣工并蓄水运行。运行</w:t>
      </w:r>
      <w:r>
        <w:rPr>
          <w:rFonts w:hint="default" w:ascii="Times New Roman" w:hAnsi="Times New Roman" w:eastAsia="宋体" w:cs="Times New Roman"/>
          <w:color w:val="auto"/>
          <w:spacing w:val="0"/>
          <w:w w:val="100"/>
          <w:position w:val="0"/>
          <w:sz w:val="24"/>
          <w:szCs w:val="24"/>
          <w:u w:val="none" w:color="auto"/>
          <w:lang w:val="en-US" w:eastAsia="zh-CN"/>
        </w:rPr>
        <w:t>50</w:t>
      </w:r>
      <w:r>
        <w:rPr>
          <w:rFonts w:hint="default" w:ascii="Times New Roman" w:hAnsi="Times New Roman" w:eastAsia="宋体" w:cs="Times New Roman"/>
          <w:color w:val="auto"/>
          <w:spacing w:val="0"/>
          <w:w w:val="100"/>
          <w:position w:val="0"/>
          <w:sz w:val="24"/>
          <w:szCs w:val="24"/>
          <w:u w:val="none" w:color="auto"/>
          <w:lang w:eastAsia="zh-CN"/>
        </w:rPr>
        <w:t>年来，在灌溉农田、减免下游洪灾损失、向城镇供水(年供水96万m)等方面发挥了显著效益。但是，随着时间的推移，安全度汛形势极为严峻，影响水库正常运行和大坝安全。</w:t>
      </w:r>
    </w:p>
    <w:p w14:paraId="117C58F9">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eastAsia="zh-CN"/>
        </w:rPr>
        <w:t>2007年，湖南南方水利水电勘测设计院对大坝进行了安全鉴定及加固设计，</w:t>
      </w:r>
      <w:r>
        <w:rPr>
          <w:rFonts w:hint="default" w:ascii="Times New Roman" w:hAnsi="Times New Roman" w:eastAsia="宋体" w:cs="Times New Roman"/>
          <w:color w:val="auto"/>
          <w:spacing w:val="0"/>
          <w:w w:val="100"/>
          <w:position w:val="0"/>
          <w:sz w:val="24"/>
          <w:szCs w:val="24"/>
          <w:u w:val="none" w:color="auto"/>
          <w:lang w:val="en-US" w:eastAsia="zh-CN"/>
        </w:rPr>
        <w:t>完成了《东山水库大坝安全评价报告》。工程主管部门(湖南省水利厅建管处)按《大坝安全鉴定办法》要求，组织专家对大坝进行了安全鉴定，并审定了《东山水库大坝安全鉴定报告书》，确认该水库大坝为三类坝。</w:t>
      </w:r>
    </w:p>
    <w:p w14:paraId="3B04E96F">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val="en-US" w:eastAsia="zh-CN"/>
        </w:rPr>
        <w:t>2009年湖南南方水利水电勘测设计院对东山水库进行了初步设计阶段的除险加固处理勘察设计工作。此次对东山水库</w:t>
      </w:r>
      <w:r>
        <w:rPr>
          <w:rFonts w:hint="default" w:ascii="Times New Roman" w:hAnsi="Times New Roman" w:eastAsia="宋体" w:cs="Times New Roman"/>
          <w:color w:val="auto"/>
          <w:spacing w:val="0"/>
          <w:w w:val="100"/>
          <w:position w:val="0"/>
          <w:sz w:val="24"/>
          <w:szCs w:val="24"/>
          <w:u w:val="none" w:color="auto"/>
          <w:lang w:eastAsia="zh-CN"/>
        </w:rPr>
        <w:t>进行病险水库除险加固处理主要工作内容为：上游进行六方砖护面、帷幕灌浆，重修溢洪道以及下游护脚，经过加固后，大坝工作条件有一定程度改善，但没有解决根本问题。</w:t>
      </w:r>
    </w:p>
    <w:p w14:paraId="302F0B63">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val="en-US" w:eastAsia="zh-CN"/>
        </w:rPr>
        <w:t>2020年5月，水发规划设计有限公司对东山水库进行安全评价工作。2020年8月岳阳市水利局组织有关专家对《湖南省华容县东山水库大坝安全评价报告》进行了评审，评定东山水库大坝安全类别为三类坝，建议对大坝进行除险加固处理</w:t>
      </w:r>
      <w:r>
        <w:rPr>
          <w:rFonts w:hint="eastAsia" w:ascii="Times New Roman" w:hAnsi="Times New Roman" w:eastAsia="宋体" w:cs="Times New Roman"/>
          <w:color w:val="auto"/>
          <w:spacing w:val="0"/>
          <w:w w:val="100"/>
          <w:position w:val="0"/>
          <w:sz w:val="24"/>
          <w:szCs w:val="24"/>
          <w:u w:val="none" w:color="auto"/>
          <w:lang w:val="en-US" w:eastAsia="zh-CN"/>
        </w:rPr>
        <w:t>（岳市水利函[2020] 79号，附件3）</w:t>
      </w:r>
      <w:r>
        <w:rPr>
          <w:rFonts w:hint="default" w:ascii="Times New Roman" w:hAnsi="Times New Roman" w:eastAsia="宋体" w:cs="Times New Roman"/>
          <w:color w:val="auto"/>
          <w:spacing w:val="0"/>
          <w:w w:val="100"/>
          <w:position w:val="0"/>
          <w:sz w:val="24"/>
          <w:szCs w:val="24"/>
          <w:u w:val="none" w:color="auto"/>
          <w:lang w:val="en-US" w:eastAsia="zh-CN"/>
        </w:rPr>
        <w:t>。</w:t>
      </w:r>
    </w:p>
    <w:p w14:paraId="715734C6">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2021年10月18日，水利部大坝安全管理中心对东山水库大坝安全鉴定成果核查，以《关于印发东山等6座水库大坝安全鉴定成果核查意见的函》（坝函【2021】3058号，附件3），对大坝安全鉴定为“三类坝”。</w:t>
      </w:r>
    </w:p>
    <w:p w14:paraId="63E25BF1">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东山水库除险加固工程是华容县“十四五”期间重点实施的农村饮水安全和农业节水灌溉项目之一，是落实国家“十四五”规划纲要和湖南省“十四五”规划纲要的具体举措，也是响应国家“节约型社会”建设和“美丽中国”建设的重要举措。</w:t>
      </w:r>
      <w:r>
        <w:rPr>
          <w:rFonts w:hint="default" w:ascii="Times New Roman" w:hAnsi="Times New Roman" w:eastAsia="宋体" w:cs="Times New Roman"/>
          <w:i w:val="0"/>
          <w:caps w:val="0"/>
          <w:color w:val="000000"/>
          <w:spacing w:val="0"/>
          <w:w w:val="100"/>
          <w:position w:val="0"/>
          <w:sz w:val="24"/>
          <w:szCs w:val="24"/>
          <w:shd w:val="clear" w:fill="FFFFFF"/>
          <w:lang w:val="en-US" w:eastAsia="zh-CN"/>
        </w:rPr>
        <w:t>东山水库是华容县重要的灌溉水源，为保障东山水库灌区农业灌溉用水、提高灌溉保证率，同时发挥水库供水效益、保障下游人民生命财产安全，对东山水库进行除险加固是非常必要的。</w:t>
      </w:r>
    </w:p>
    <w:p w14:paraId="2DE8D1E4">
      <w:pPr>
        <w:numPr>
          <w:ilvl w:val="0"/>
          <w:numId w:val="0"/>
        </w:numPr>
        <w:spacing w:line="360" w:lineRule="auto"/>
        <w:ind w:firstLine="480" w:firstLineChars="200"/>
        <w:rPr>
          <w:rFonts w:hint="default" w:ascii="Times New Roman" w:hAnsi="Times New Roman" w:eastAsia="宋体" w:cs="Times New Roman"/>
          <w:i w:val="0"/>
          <w:caps w:val="0"/>
          <w:color w:val="000000"/>
          <w:spacing w:val="0"/>
          <w:w w:val="100"/>
          <w:position w:val="0"/>
          <w:sz w:val="24"/>
          <w:szCs w:val="24"/>
          <w:shd w:val="clear" w:fill="FFFFFF"/>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2023年10月，湖南万瑞全过程工程咨询有限公司受东山水库管理所委托</w:t>
      </w:r>
      <w:r>
        <w:rPr>
          <w:rFonts w:hint="default" w:ascii="Times New Roman" w:hAnsi="Times New Roman" w:eastAsia="宋体" w:cs="Times New Roman"/>
          <w:i w:val="0"/>
          <w:caps w:val="0"/>
          <w:color w:val="000000"/>
          <w:spacing w:val="0"/>
          <w:w w:val="100"/>
          <w:position w:val="0"/>
          <w:sz w:val="24"/>
          <w:szCs w:val="24"/>
          <w:shd w:val="clear" w:fill="FFFFFF"/>
          <w:lang w:eastAsia="zh-CN"/>
        </w:rPr>
        <w:t>承担</w:t>
      </w:r>
      <w:r>
        <w:rPr>
          <w:rFonts w:hint="default" w:ascii="Times New Roman" w:hAnsi="Times New Roman" w:eastAsia="宋体" w:cs="Times New Roman"/>
          <w:color w:val="auto"/>
          <w:spacing w:val="0"/>
          <w:w w:val="100"/>
          <w:position w:val="0"/>
          <w:sz w:val="24"/>
          <w:szCs w:val="24"/>
          <w:u w:val="none" w:color="auto"/>
          <w:lang w:val="en-US" w:eastAsia="zh-CN"/>
        </w:rPr>
        <w:t>东山</w:t>
      </w:r>
      <w:r>
        <w:rPr>
          <w:rFonts w:hint="default" w:ascii="Times New Roman" w:hAnsi="Times New Roman" w:eastAsia="宋体" w:cs="Times New Roman"/>
          <w:i w:val="0"/>
          <w:caps w:val="0"/>
          <w:color w:val="000000"/>
          <w:spacing w:val="0"/>
          <w:w w:val="100"/>
          <w:position w:val="0"/>
          <w:sz w:val="24"/>
          <w:szCs w:val="24"/>
          <w:shd w:val="clear" w:fill="FFFFFF"/>
          <w:lang w:eastAsia="zh-CN"/>
        </w:rPr>
        <w:t>水库除险加固工程项目前期工作，完成了《华容县东山水库除险加固工程项目可行性研究报告》，并于</w:t>
      </w:r>
      <w:r>
        <w:rPr>
          <w:rFonts w:hint="default" w:ascii="Times New Roman" w:hAnsi="Times New Roman" w:eastAsia="宋体" w:cs="Times New Roman"/>
          <w:i w:val="0"/>
          <w:caps w:val="0"/>
          <w:color w:val="000000"/>
          <w:spacing w:val="0"/>
          <w:w w:val="100"/>
          <w:position w:val="0"/>
          <w:sz w:val="24"/>
          <w:szCs w:val="24"/>
          <w:shd w:val="clear" w:fill="FFFFFF"/>
          <w:lang w:val="en-US" w:eastAsia="zh-CN"/>
        </w:rPr>
        <w:t>2023年11月9日取得华容县发展和改革局《关于</w:t>
      </w:r>
      <w:r>
        <w:rPr>
          <w:rFonts w:hint="default" w:ascii="Times New Roman" w:hAnsi="Times New Roman" w:eastAsia="宋体" w:cs="Times New Roman"/>
          <w:i w:val="0"/>
          <w:caps w:val="0"/>
          <w:color w:val="000000"/>
          <w:spacing w:val="0"/>
          <w:w w:val="100"/>
          <w:position w:val="0"/>
          <w:sz w:val="24"/>
          <w:szCs w:val="24"/>
          <w:shd w:val="clear" w:fill="FFFFFF"/>
          <w:lang w:eastAsia="zh-CN"/>
        </w:rPr>
        <w:t>华容县东山水库除险加固工程可行性研究报告的批复</w:t>
      </w:r>
      <w:r>
        <w:rPr>
          <w:rFonts w:hint="default" w:ascii="Times New Roman" w:hAnsi="Times New Roman" w:eastAsia="宋体" w:cs="Times New Roman"/>
          <w:i w:val="0"/>
          <w:caps w:val="0"/>
          <w:color w:val="000000"/>
          <w:spacing w:val="0"/>
          <w:w w:val="100"/>
          <w:position w:val="0"/>
          <w:sz w:val="24"/>
          <w:szCs w:val="24"/>
          <w:shd w:val="clear" w:fill="FFFFFF"/>
          <w:lang w:val="en-US" w:eastAsia="zh-CN"/>
        </w:rPr>
        <w:t>》（华发改投审【2023】158号，附件4）。</w:t>
      </w:r>
    </w:p>
    <w:p w14:paraId="7CE6AD26">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rPr>
        <w:t>202</w:t>
      </w:r>
      <w:r>
        <w:rPr>
          <w:rFonts w:hint="default" w:ascii="Times New Roman" w:hAnsi="Times New Roman" w:eastAsia="宋体" w:cs="Times New Roman"/>
          <w:color w:val="auto"/>
          <w:spacing w:val="0"/>
          <w:w w:val="100"/>
          <w:position w:val="0"/>
          <w:sz w:val="24"/>
          <w:szCs w:val="24"/>
          <w:u w:val="none" w:color="auto"/>
          <w:lang w:val="en-US" w:eastAsia="zh-CN"/>
        </w:rPr>
        <w:t>2</w:t>
      </w:r>
      <w:r>
        <w:rPr>
          <w:rFonts w:hint="default" w:ascii="Times New Roman" w:hAnsi="Times New Roman" w:eastAsia="宋体" w:cs="Times New Roman"/>
          <w:color w:val="auto"/>
          <w:spacing w:val="0"/>
          <w:w w:val="100"/>
          <w:position w:val="0"/>
          <w:sz w:val="24"/>
          <w:szCs w:val="24"/>
          <w:u w:val="none" w:color="auto"/>
        </w:rPr>
        <w:t>年</w:t>
      </w:r>
      <w:r>
        <w:rPr>
          <w:rFonts w:hint="default" w:ascii="Times New Roman" w:hAnsi="Times New Roman" w:eastAsia="宋体" w:cs="Times New Roman"/>
          <w:color w:val="auto"/>
          <w:spacing w:val="0"/>
          <w:w w:val="100"/>
          <w:position w:val="0"/>
          <w:sz w:val="24"/>
          <w:szCs w:val="24"/>
          <w:u w:val="none" w:color="auto"/>
          <w:lang w:val="en-US" w:eastAsia="zh-CN"/>
        </w:rPr>
        <w:t>7</w:t>
      </w:r>
      <w:r>
        <w:rPr>
          <w:rFonts w:hint="default" w:ascii="Times New Roman" w:hAnsi="Times New Roman" w:eastAsia="宋体" w:cs="Times New Roman"/>
          <w:color w:val="auto"/>
          <w:spacing w:val="0"/>
          <w:w w:val="100"/>
          <w:position w:val="0"/>
          <w:sz w:val="24"/>
          <w:szCs w:val="24"/>
          <w:u w:val="none" w:color="auto"/>
        </w:rPr>
        <w:t>月</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val="en-US" w:eastAsia="zh-CN"/>
        </w:rPr>
        <w:t>湖南省水利水电勘测设计研究总院受华容县东山水库管理所委托，</w:t>
      </w:r>
      <w:r>
        <w:rPr>
          <w:rFonts w:hint="default" w:ascii="Times New Roman" w:hAnsi="Times New Roman" w:eastAsia="宋体" w:cs="Times New Roman"/>
          <w:color w:val="auto"/>
          <w:spacing w:val="0"/>
          <w:w w:val="100"/>
          <w:position w:val="0"/>
          <w:sz w:val="24"/>
          <w:szCs w:val="24"/>
          <w:u w:val="none" w:color="auto"/>
        </w:rPr>
        <w:t>完成了《湖南省</w:t>
      </w:r>
      <w:r>
        <w:rPr>
          <w:rFonts w:hint="default" w:ascii="Times New Roman" w:hAnsi="Times New Roman" w:eastAsia="宋体" w:cs="Times New Roman"/>
          <w:color w:val="auto"/>
          <w:spacing w:val="0"/>
          <w:w w:val="100"/>
          <w:position w:val="0"/>
          <w:sz w:val="24"/>
          <w:szCs w:val="24"/>
          <w:u w:val="none" w:color="auto"/>
          <w:lang w:eastAsia="zh-CN"/>
        </w:rPr>
        <w:t>华容县东山水库除险加固工程</w:t>
      </w:r>
      <w:r>
        <w:rPr>
          <w:rFonts w:hint="default" w:ascii="Times New Roman" w:hAnsi="Times New Roman" w:eastAsia="宋体" w:cs="Times New Roman"/>
          <w:color w:val="auto"/>
          <w:spacing w:val="0"/>
          <w:w w:val="100"/>
          <w:position w:val="0"/>
          <w:sz w:val="24"/>
          <w:szCs w:val="24"/>
          <w:u w:val="none" w:color="auto"/>
        </w:rPr>
        <w:t>初步设计报告》(</w:t>
      </w:r>
      <w:r>
        <w:rPr>
          <w:rFonts w:hint="default" w:ascii="Times New Roman" w:hAnsi="Times New Roman" w:eastAsia="宋体" w:cs="Times New Roman"/>
          <w:color w:val="auto"/>
          <w:spacing w:val="0"/>
          <w:w w:val="100"/>
          <w:position w:val="0"/>
          <w:sz w:val="24"/>
          <w:szCs w:val="24"/>
          <w:u w:val="none" w:color="auto"/>
          <w:lang w:eastAsia="zh-CN"/>
        </w:rPr>
        <w:t>审定</w:t>
      </w:r>
      <w:r>
        <w:rPr>
          <w:rFonts w:hint="default" w:ascii="Times New Roman" w:hAnsi="Times New Roman" w:eastAsia="宋体" w:cs="Times New Roman"/>
          <w:color w:val="auto"/>
          <w:spacing w:val="0"/>
          <w:w w:val="100"/>
          <w:position w:val="0"/>
          <w:sz w:val="24"/>
          <w:szCs w:val="24"/>
          <w:u w:val="none" w:color="auto"/>
        </w:rPr>
        <w:t>稿)。</w:t>
      </w:r>
      <w:r>
        <w:rPr>
          <w:rFonts w:hint="default" w:ascii="Times New Roman" w:hAnsi="Times New Roman" w:eastAsia="宋体" w:cs="Times New Roman"/>
          <w:color w:val="auto"/>
          <w:spacing w:val="0"/>
          <w:w w:val="100"/>
          <w:position w:val="0"/>
          <w:sz w:val="24"/>
          <w:szCs w:val="24"/>
          <w:u w:val="none" w:color="auto"/>
          <w:lang w:eastAsia="zh-CN"/>
        </w:rPr>
        <w:t>并于</w:t>
      </w:r>
      <w:r>
        <w:rPr>
          <w:rFonts w:hint="eastAsia" w:ascii="Times New Roman" w:hAnsi="Times New Roman" w:eastAsia="宋体" w:cs="Times New Roman"/>
          <w:color w:val="auto"/>
          <w:spacing w:val="0"/>
          <w:w w:val="100"/>
          <w:position w:val="0"/>
          <w:sz w:val="24"/>
          <w:szCs w:val="24"/>
          <w:u w:val="none" w:color="auto"/>
          <w:lang w:val="en-US" w:eastAsia="zh-CN"/>
        </w:rPr>
        <w:t>2022年8月1日</w:t>
      </w:r>
      <w:r>
        <w:rPr>
          <w:rFonts w:hint="default" w:ascii="Times New Roman" w:hAnsi="Times New Roman" w:eastAsia="宋体" w:cs="Times New Roman"/>
          <w:color w:val="auto"/>
          <w:spacing w:val="0"/>
          <w:w w:val="100"/>
          <w:position w:val="0"/>
          <w:sz w:val="24"/>
          <w:szCs w:val="24"/>
          <w:u w:val="none" w:color="auto"/>
          <w:lang w:eastAsia="zh-CN"/>
        </w:rPr>
        <w:t>取得了</w:t>
      </w:r>
      <w:r>
        <w:rPr>
          <w:rFonts w:hint="eastAsia" w:ascii="Times New Roman" w:hAnsi="Times New Roman" w:eastAsia="宋体" w:cs="Times New Roman"/>
          <w:color w:val="auto"/>
          <w:spacing w:val="0"/>
          <w:w w:val="100"/>
          <w:position w:val="0"/>
          <w:sz w:val="24"/>
          <w:szCs w:val="24"/>
          <w:u w:val="none" w:color="auto"/>
          <w:lang w:eastAsia="zh-CN"/>
        </w:rPr>
        <w:t>湖南省水利厅《湖南省水利厅关于华容县东山水库除险加固工程初步设计的批复》</w:t>
      </w:r>
      <w:r>
        <w:rPr>
          <w:rFonts w:hint="default" w:ascii="Times New Roman" w:hAnsi="Times New Roman" w:eastAsia="宋体" w:cs="Times New Roman"/>
          <w:color w:val="auto"/>
          <w:spacing w:val="0"/>
          <w:w w:val="100"/>
          <w:position w:val="0"/>
          <w:sz w:val="24"/>
          <w:szCs w:val="24"/>
          <w:u w:val="none" w:color="auto"/>
          <w:lang w:eastAsia="zh-CN"/>
        </w:rPr>
        <w:t>（湘水函[2022]201号</w:t>
      </w:r>
      <w:r>
        <w:rPr>
          <w:rFonts w:hint="eastAsia"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eastAsia="zh-CN"/>
        </w:rPr>
        <w:t>附件</w:t>
      </w:r>
      <w:r>
        <w:rPr>
          <w:rFonts w:hint="default" w:ascii="Times New Roman" w:hAnsi="Times New Roman" w:eastAsia="宋体" w:cs="Times New Roman"/>
          <w:color w:val="auto"/>
          <w:spacing w:val="0"/>
          <w:w w:val="100"/>
          <w:position w:val="0"/>
          <w:sz w:val="24"/>
          <w:szCs w:val="24"/>
          <w:u w:val="none" w:color="auto"/>
          <w:lang w:val="en-US" w:eastAsia="zh-CN"/>
        </w:rPr>
        <w:t>5</w:t>
      </w:r>
      <w:r>
        <w:rPr>
          <w:rFonts w:hint="default" w:ascii="Times New Roman" w:hAnsi="Times New Roman" w:eastAsia="宋体" w:cs="Times New Roman"/>
          <w:color w:val="auto"/>
          <w:spacing w:val="0"/>
          <w:w w:val="100"/>
          <w:position w:val="0"/>
          <w:sz w:val="24"/>
          <w:szCs w:val="24"/>
          <w:u w:val="none" w:color="auto"/>
          <w:lang w:eastAsia="zh-CN"/>
        </w:rPr>
        <w:t>）。</w:t>
      </w:r>
    </w:p>
    <w:p w14:paraId="6D47367E">
      <w:pPr>
        <w:numPr>
          <w:ilvl w:val="0"/>
          <w:numId w:val="0"/>
        </w:numPr>
        <w:spacing w:line="360" w:lineRule="auto"/>
        <w:ind w:firstLine="480" w:firstLineChars="200"/>
        <w:rPr>
          <w:rFonts w:hint="default" w:ascii="Times New Roman" w:hAnsi="Times New Roman" w:cs="Times New Roman"/>
          <w:spacing w:val="0"/>
          <w:w w:val="100"/>
          <w:position w:val="0"/>
          <w:sz w:val="24"/>
          <w:szCs w:val="24"/>
          <w:lang w:val="en-US" w:eastAsia="zh-CN"/>
        </w:rPr>
      </w:pPr>
      <w:r>
        <w:rPr>
          <w:rFonts w:hint="default" w:ascii="Times New Roman" w:hAnsi="Times New Roman" w:eastAsia="宋体" w:cs="Times New Roman"/>
          <w:i w:val="0"/>
          <w:caps w:val="0"/>
          <w:color w:val="000000"/>
          <w:spacing w:val="0"/>
          <w:w w:val="100"/>
          <w:position w:val="0"/>
          <w:sz w:val="24"/>
          <w:szCs w:val="24"/>
          <w:shd w:val="clear" w:fill="FFFFFF"/>
          <w:lang w:eastAsia="zh-CN"/>
        </w:rPr>
        <w:t>华容县东山水库除险加固工程建设单位为华容县东山水库管理所，项目</w:t>
      </w:r>
      <w:r>
        <w:rPr>
          <w:rFonts w:hint="default" w:ascii="Times New Roman" w:hAnsi="Times New Roman" w:eastAsia="宋体" w:cs="Times New Roman"/>
          <w:color w:val="auto"/>
          <w:spacing w:val="0"/>
          <w:w w:val="100"/>
          <w:position w:val="0"/>
          <w:sz w:val="24"/>
          <w:szCs w:val="24"/>
          <w:lang w:eastAsia="zh-CN"/>
        </w:rPr>
        <w:t>总</w:t>
      </w:r>
      <w:r>
        <w:rPr>
          <w:rFonts w:hint="default" w:ascii="Times New Roman" w:hAnsi="Times New Roman" w:eastAsia="宋体" w:cs="Times New Roman"/>
          <w:color w:val="auto"/>
          <w:spacing w:val="0"/>
          <w:w w:val="100"/>
          <w:position w:val="0"/>
          <w:sz w:val="24"/>
          <w:szCs w:val="24"/>
          <w:highlight w:val="none"/>
          <w:lang w:eastAsia="zh-CN"/>
        </w:rPr>
        <w:t>投资</w:t>
      </w:r>
      <w:r>
        <w:rPr>
          <w:rFonts w:hint="default" w:ascii="Times New Roman" w:hAnsi="Times New Roman" w:cs="Times New Roman"/>
          <w:color w:val="auto"/>
          <w:spacing w:val="0"/>
          <w:w w:val="100"/>
          <w:position w:val="0"/>
          <w:sz w:val="24"/>
          <w:szCs w:val="24"/>
          <w:highlight w:val="none"/>
          <w:lang w:val="en-US" w:eastAsia="zh-CN"/>
        </w:rPr>
        <w:t>6688</w:t>
      </w:r>
      <w:r>
        <w:rPr>
          <w:rFonts w:hint="default" w:ascii="Times New Roman" w:hAnsi="Times New Roman" w:eastAsia="宋体" w:cs="Times New Roman"/>
          <w:color w:val="auto"/>
          <w:spacing w:val="0"/>
          <w:w w:val="100"/>
          <w:position w:val="0"/>
          <w:sz w:val="24"/>
          <w:szCs w:val="24"/>
          <w:highlight w:val="none"/>
          <w:lang w:val="en-US" w:eastAsia="zh-CN"/>
        </w:rPr>
        <w:t>万元，工程主要建设内容包括：对大坝坝体及坝基渗漏带进行防渗处理；上游对已经破坏的预制六边形砼、块石护坡进行翻砌处理；对下游坝坡整修，重建坡面排水系统及巡检道路；对大坝坝坡及管理所区域建筑物进行白蚁防治；对溢洪道底板进行加固处理，并对边墙砌石砂浆损坏处重新勾缝处理；对溢洪道消力池尺寸复核并对泄洪渠进行清淤、护砌设计；对输水隧洞原暗涵进行挖废重建，清除渗漏隐患，并对输水隧洞工作桥及启闭排架、启闭机房进行扩建，增设备用电源；对引水渠道进行护砌，并对其泄水闸、节制闸进行加固改造；溢洪道控制段增设人行桥与大坝右坝坝肩连通，以方便防汛检修；增设及修复坝体内外观监测设备，对大坝进行安全监测；对管理所危房进行重建等。</w:t>
      </w:r>
    </w:p>
    <w:p w14:paraId="55782B81">
      <w:pPr>
        <w:keepNext w:val="0"/>
        <w:keepLines w:val="0"/>
        <w:pageBreakBefore w:val="0"/>
        <w:widowControl w:val="0"/>
        <w:kinsoku/>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val="en-US" w:eastAsia="zh-CN"/>
        </w:rPr>
        <w:t>根据《中华人民共和国环境保护法》、《中华人民共和国环境影响评价法》、《</w:t>
      </w:r>
      <w:r>
        <w:rPr>
          <w:rFonts w:hint="default" w:ascii="Times New Roman" w:hAnsi="Times New Roman" w:eastAsia="宋体" w:cs="Times New Roman"/>
          <w:caps w:val="0"/>
          <w:smallCaps w:val="0"/>
          <w:color w:val="auto"/>
          <w:spacing w:val="0"/>
          <w:w w:val="100"/>
          <w:kern w:val="0"/>
          <w:position w:val="0"/>
          <w:sz w:val="24"/>
          <w:szCs w:val="24"/>
          <w:u w:val="none" w:color="auto"/>
        </w:rPr>
        <w:t>建设项目环境保护管理条例》等相关法律、法规的规定</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lang w:eastAsia="zh-CN"/>
        </w:rPr>
        <w:t>华容县东山水库</w:t>
      </w:r>
      <w:r>
        <w:rPr>
          <w:rFonts w:hint="default" w:ascii="Times New Roman" w:hAnsi="Times New Roman" w:eastAsia="宋体" w:cs="Times New Roman"/>
          <w:caps w:val="0"/>
          <w:smallCaps w:val="0"/>
          <w:color w:val="auto"/>
          <w:spacing w:val="0"/>
          <w:w w:val="100"/>
          <w:kern w:val="0"/>
          <w:position w:val="0"/>
          <w:sz w:val="24"/>
          <w:szCs w:val="24"/>
        </w:rPr>
        <w:t>除险加固工程需进行环境影响评价工作。</w:t>
      </w:r>
      <w:r>
        <w:rPr>
          <w:rFonts w:hint="default" w:ascii="Times New Roman" w:hAnsi="Times New Roman" w:eastAsia="宋体" w:cs="Times New Roman"/>
          <w:caps w:val="0"/>
          <w:smallCaps w:val="0"/>
          <w:color w:val="auto"/>
          <w:spacing w:val="0"/>
          <w:w w:val="100"/>
          <w:kern w:val="0"/>
          <w:position w:val="0"/>
          <w:sz w:val="24"/>
          <w:szCs w:val="24"/>
          <w:lang w:eastAsia="zh-CN"/>
        </w:rPr>
        <w:t>根据</w:t>
      </w:r>
      <w:r>
        <w:rPr>
          <w:rFonts w:hint="default" w:ascii="Times New Roman" w:hAnsi="Times New Roman" w:eastAsia="宋体" w:cs="Times New Roman"/>
          <w:caps w:val="0"/>
          <w:smallCaps w:val="0"/>
          <w:color w:val="auto"/>
          <w:spacing w:val="0"/>
          <w:w w:val="100"/>
          <w:kern w:val="0"/>
          <w:position w:val="0"/>
          <w:sz w:val="24"/>
          <w:szCs w:val="24"/>
        </w:rPr>
        <w:t>《建设项目环境影响评价分类管理名录》（2021版）“五十一、水利124水库”中“库容1000万立方米及以上</w:t>
      </w:r>
      <w:r>
        <w:rPr>
          <w:rFonts w:hint="default" w:ascii="Times New Roman" w:hAnsi="Times New Roman" w:eastAsia="宋体" w:cs="Times New Roman"/>
          <w:caps w:val="0"/>
          <w:smallCaps w:val="0"/>
          <w:color w:val="auto"/>
          <w:spacing w:val="0"/>
          <w:w w:val="100"/>
          <w:kern w:val="0"/>
          <w:position w:val="0"/>
          <w:sz w:val="24"/>
          <w:szCs w:val="24"/>
          <w:lang w:eastAsia="zh-CN"/>
        </w:rPr>
        <w:t>；涉及环境敏感区的</w:t>
      </w:r>
      <w:r>
        <w:rPr>
          <w:rFonts w:hint="default" w:ascii="Times New Roman" w:hAnsi="Times New Roman" w:eastAsia="宋体" w:cs="Times New Roman"/>
          <w:caps w:val="0"/>
          <w:smallCaps w:val="0"/>
          <w:color w:val="auto"/>
          <w:spacing w:val="0"/>
          <w:w w:val="100"/>
          <w:kern w:val="0"/>
          <w:position w:val="0"/>
          <w:sz w:val="24"/>
          <w:szCs w:val="24"/>
        </w:rPr>
        <w:t>”</w:t>
      </w:r>
      <w:r>
        <w:rPr>
          <w:rFonts w:hint="default" w:ascii="Times New Roman" w:hAnsi="Times New Roman" w:eastAsia="宋体" w:cs="Times New Roman"/>
          <w:caps w:val="0"/>
          <w:smallCaps w:val="0"/>
          <w:color w:val="auto"/>
          <w:spacing w:val="0"/>
          <w:w w:val="100"/>
          <w:kern w:val="0"/>
          <w:position w:val="0"/>
          <w:sz w:val="24"/>
          <w:szCs w:val="24"/>
          <w:lang w:eastAsia="zh-CN"/>
        </w:rPr>
        <w:t>，</w:t>
      </w:r>
      <w:r>
        <w:rPr>
          <w:rFonts w:hint="default" w:ascii="Times New Roman" w:hAnsi="Times New Roman" w:eastAsia="宋体" w:cs="Times New Roman"/>
          <w:caps w:val="0"/>
          <w:smallCaps w:val="0"/>
          <w:color w:val="auto"/>
          <w:spacing w:val="0"/>
          <w:w w:val="100"/>
          <w:kern w:val="0"/>
          <w:position w:val="0"/>
          <w:sz w:val="24"/>
          <w:szCs w:val="24"/>
        </w:rPr>
        <w:t>应编制环境影响报告书</w:t>
      </w:r>
      <w:r>
        <w:rPr>
          <w:rFonts w:hint="default" w:ascii="Times New Roman" w:hAnsi="Times New Roman" w:eastAsia="宋体" w:cs="Times New Roman"/>
          <w:caps w:val="0"/>
          <w:smallCaps w:val="0"/>
          <w:color w:val="auto"/>
          <w:spacing w:val="0"/>
          <w:w w:val="100"/>
          <w:kern w:val="0"/>
          <w:position w:val="0"/>
          <w:sz w:val="24"/>
          <w:szCs w:val="24"/>
          <w:lang w:val="en-US" w:eastAsia="zh-CN"/>
        </w:rPr>
        <w:t>。</w:t>
      </w:r>
      <w:r>
        <w:rPr>
          <w:rFonts w:hint="default" w:ascii="Times New Roman" w:hAnsi="Times New Roman" w:eastAsia="宋体" w:cs="Times New Roman"/>
          <w:caps w:val="0"/>
          <w:smallCaps w:val="0"/>
          <w:color w:val="auto"/>
          <w:spacing w:val="0"/>
          <w:w w:val="100"/>
          <w:kern w:val="0"/>
          <w:position w:val="0"/>
          <w:sz w:val="24"/>
          <w:szCs w:val="24"/>
          <w:lang w:eastAsia="zh-CN"/>
        </w:rPr>
        <w:t>该类别中</w:t>
      </w:r>
      <w:r>
        <w:rPr>
          <w:rFonts w:hint="default" w:ascii="Times New Roman" w:hAnsi="Times New Roman" w:eastAsia="宋体" w:cs="Times New Roman"/>
          <w:caps w:val="0"/>
          <w:smallCaps w:val="0"/>
          <w:color w:val="auto"/>
          <w:spacing w:val="0"/>
          <w:w w:val="100"/>
          <w:kern w:val="0"/>
          <w:position w:val="0"/>
          <w:sz w:val="24"/>
          <w:szCs w:val="24"/>
          <w:lang w:val="en-US" w:eastAsia="zh-CN"/>
        </w:rPr>
        <w:t>环境敏感区指“</w:t>
      </w:r>
      <w:r>
        <w:rPr>
          <w:rFonts w:hint="default" w:ascii="Times New Roman" w:hAnsi="Times New Roman" w:eastAsia="宋体" w:cs="Times New Roman"/>
          <w:caps w:val="0"/>
          <w:smallCaps w:val="0"/>
          <w:color w:val="auto"/>
          <w:spacing w:val="0"/>
          <w:w w:val="100"/>
          <w:kern w:val="0"/>
          <w:position w:val="0"/>
          <w:sz w:val="24"/>
          <w:szCs w:val="24"/>
        </w:rPr>
        <w:t>第三条（一）中的全部区域</w:t>
      </w:r>
      <w:r>
        <w:rPr>
          <w:rFonts w:hint="default" w:ascii="Times New Roman" w:hAnsi="Times New Roman" w:eastAsia="宋体" w:cs="Times New Roman"/>
          <w:caps w:val="0"/>
          <w:smallCaps w:val="0"/>
          <w:color w:val="auto"/>
          <w:spacing w:val="0"/>
          <w:w w:val="100"/>
          <w:kern w:val="0"/>
          <w:position w:val="0"/>
          <w:sz w:val="24"/>
          <w:szCs w:val="24"/>
          <w:lang w:eastAsia="zh-CN"/>
        </w:rPr>
        <w:t>（</w:t>
      </w:r>
      <w:r>
        <w:rPr>
          <w:rFonts w:hint="default" w:ascii="Times New Roman" w:hAnsi="Times New Roman" w:eastAsia="宋体" w:cs="Times New Roman"/>
          <w:caps w:val="0"/>
          <w:smallCaps w:val="0"/>
          <w:color w:val="auto"/>
          <w:spacing w:val="0"/>
          <w:w w:val="100"/>
          <w:kern w:val="0"/>
          <w:position w:val="0"/>
          <w:sz w:val="24"/>
          <w:szCs w:val="24"/>
        </w:rPr>
        <w:t>国家公园、自然保护区、风景名胜区、世界文化和自然遗产地、海洋特别保护区、饮用水水源保护区</w:t>
      </w:r>
      <w:r>
        <w:rPr>
          <w:rFonts w:hint="default" w:ascii="Times New Roman" w:hAnsi="Times New Roman" w:eastAsia="宋体" w:cs="Times New Roman"/>
          <w:caps w:val="0"/>
          <w:smallCaps w:val="0"/>
          <w:color w:val="auto"/>
          <w:spacing w:val="0"/>
          <w:w w:val="100"/>
          <w:kern w:val="0"/>
          <w:position w:val="0"/>
          <w:sz w:val="24"/>
          <w:szCs w:val="24"/>
          <w:lang w:eastAsia="zh-CN"/>
        </w:rPr>
        <w:t>）</w:t>
      </w:r>
      <w:r>
        <w:rPr>
          <w:rFonts w:hint="default" w:ascii="Times New Roman" w:hAnsi="Times New Roman" w:eastAsia="宋体" w:cs="Times New Roman"/>
          <w:caps w:val="0"/>
          <w:smallCaps w:val="0"/>
          <w:color w:val="auto"/>
          <w:spacing w:val="0"/>
          <w:w w:val="100"/>
          <w:kern w:val="0"/>
          <w:position w:val="0"/>
          <w:sz w:val="24"/>
          <w:szCs w:val="24"/>
        </w:rPr>
        <w:t>；第三条（二）中的除（一）外的生态保护红线管控范围，重要水生生物的自然产卵场、索饵场、越冬场和洄游通道</w:t>
      </w:r>
      <w:r>
        <w:rPr>
          <w:rFonts w:hint="default" w:ascii="Times New Roman" w:hAnsi="Times New Roman" w:eastAsia="宋体" w:cs="Times New Roman"/>
          <w:caps w:val="0"/>
          <w:smallCaps w:val="0"/>
          <w:color w:val="auto"/>
          <w:spacing w:val="0"/>
          <w:w w:val="100"/>
          <w:kern w:val="0"/>
          <w:position w:val="0"/>
          <w:sz w:val="24"/>
          <w:szCs w:val="24"/>
          <w:lang w:eastAsia="zh-CN"/>
        </w:rPr>
        <w:t>”。华容县东山水库</w:t>
      </w:r>
      <w:r>
        <w:rPr>
          <w:rFonts w:hint="default" w:ascii="Times New Roman" w:hAnsi="Times New Roman" w:eastAsia="宋体" w:cs="Times New Roman"/>
          <w:caps w:val="0"/>
          <w:smallCaps w:val="0"/>
          <w:color w:val="auto"/>
          <w:spacing w:val="0"/>
          <w:w w:val="100"/>
          <w:kern w:val="0"/>
          <w:position w:val="0"/>
          <w:sz w:val="24"/>
          <w:szCs w:val="24"/>
        </w:rPr>
        <w:t>除险加固工程</w:t>
      </w:r>
      <w:r>
        <w:rPr>
          <w:rFonts w:hint="default" w:ascii="Times New Roman" w:hAnsi="Times New Roman" w:eastAsia="宋体" w:cs="Times New Roman"/>
          <w:caps w:val="0"/>
          <w:smallCaps w:val="0"/>
          <w:color w:val="auto"/>
          <w:spacing w:val="0"/>
          <w:w w:val="100"/>
          <w:kern w:val="0"/>
          <w:position w:val="0"/>
          <w:sz w:val="24"/>
          <w:szCs w:val="24"/>
          <w:lang w:eastAsia="zh-CN"/>
        </w:rPr>
        <w:t>总</w:t>
      </w:r>
      <w:r>
        <w:rPr>
          <w:rFonts w:hint="default" w:ascii="Times New Roman" w:hAnsi="Times New Roman" w:eastAsia="宋体" w:cs="Times New Roman"/>
          <w:caps w:val="0"/>
          <w:smallCaps w:val="0"/>
          <w:color w:val="auto"/>
          <w:spacing w:val="0"/>
          <w:w w:val="100"/>
          <w:kern w:val="0"/>
          <w:position w:val="0"/>
          <w:sz w:val="24"/>
          <w:szCs w:val="24"/>
          <w:lang w:val="en-US" w:eastAsia="zh-CN"/>
        </w:rPr>
        <w:t>库容1054.50</w:t>
      </w:r>
      <w:r>
        <w:rPr>
          <w:rFonts w:hint="default" w:ascii="Times New Roman" w:hAnsi="Times New Roman" w:eastAsia="宋体" w:cs="Times New Roman"/>
          <w:color w:val="auto"/>
          <w:spacing w:val="0"/>
          <w:w w:val="100"/>
          <w:position w:val="0"/>
          <w:sz w:val="24"/>
          <w:szCs w:val="24"/>
          <w:highlight w:val="none"/>
          <w:lang w:val="en-US" w:eastAsia="zh-CN"/>
        </w:rPr>
        <w:t>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，同时项目涉及饮用水水源保护区、生态保护红线、湖南华容桃花山省级森林公园等敏感区，应编制环境影响报告书。</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因此，</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华容县东山水库管理所</w:t>
      </w:r>
      <w:r>
        <w:rPr>
          <w:rFonts w:hint="default" w:ascii="Times New Roman" w:hAnsi="Times New Roman" w:eastAsia="宋体" w:cs="Times New Roman"/>
          <w:caps w:val="0"/>
          <w:smallCaps w:val="0"/>
          <w:color w:val="auto"/>
          <w:spacing w:val="0"/>
          <w:w w:val="100"/>
          <w:kern w:val="0"/>
          <w:position w:val="0"/>
          <w:sz w:val="24"/>
          <w:szCs w:val="24"/>
          <w:u w:val="none" w:color="auto"/>
        </w:rPr>
        <w:t>委托</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岳阳凯丰环保有限公司</w:t>
      </w:r>
      <w:r>
        <w:rPr>
          <w:rFonts w:hint="default" w:ascii="Times New Roman" w:hAnsi="Times New Roman" w:eastAsia="宋体" w:cs="Times New Roman"/>
          <w:caps w:val="0"/>
          <w:smallCaps w:val="0"/>
          <w:color w:val="auto"/>
          <w:spacing w:val="0"/>
          <w:w w:val="100"/>
          <w:kern w:val="0"/>
          <w:position w:val="0"/>
          <w:sz w:val="24"/>
          <w:szCs w:val="24"/>
          <w:u w:val="none" w:color="auto"/>
        </w:rPr>
        <w:t>开展项目的环境影响评价工作。接受委托后，我单位组织技术人员于对本项目的现场进行了踏勘，并收集了相关的基础资料。在接受委托后，在实地踏勘、收集资料、工程分析、环境现状监测和类比调查基础，对该项目建设及营运过程中产生的环境问题进行分析和评价，并依据环境影响评价技术导则的要求，编制完成了《</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华容县东山水库除险加固工程</w:t>
      </w:r>
      <w:r>
        <w:rPr>
          <w:rFonts w:hint="default" w:ascii="Times New Roman" w:hAnsi="Times New Roman" w:eastAsia="宋体" w:cs="Times New Roman"/>
          <w:caps w:val="0"/>
          <w:smallCaps w:val="0"/>
          <w:color w:val="auto"/>
          <w:spacing w:val="0"/>
          <w:w w:val="100"/>
          <w:kern w:val="0"/>
          <w:position w:val="0"/>
          <w:sz w:val="24"/>
          <w:szCs w:val="24"/>
          <w:u w:val="none" w:color="auto"/>
        </w:rPr>
        <w:t>环境影响报告书》。</w:t>
      </w:r>
    </w:p>
    <w:p w14:paraId="5E8D000D">
      <w:pPr>
        <w:pStyle w:val="3"/>
        <w:numPr>
          <w:ilvl w:val="1"/>
          <w:numId w:val="0"/>
        </w:numPr>
        <w:bidi w:val="0"/>
        <w:ind w:leftChars="0"/>
        <w:rPr>
          <w:rFonts w:hint="default" w:ascii="Times New Roman" w:hAnsi="Times New Roman" w:cs="Times New Roman"/>
        </w:rPr>
      </w:pPr>
      <w:bookmarkStart w:id="5" w:name="_Toc31801"/>
      <w:bookmarkStart w:id="6" w:name="_Toc18604"/>
      <w:r>
        <w:rPr>
          <w:rFonts w:hint="default" w:ascii="Times New Roman" w:hAnsi="Times New Roman" w:cs="Times New Roman"/>
        </w:rPr>
        <w:t>2项目特点</w:t>
      </w:r>
      <w:bookmarkEnd w:id="5"/>
      <w:bookmarkEnd w:id="6"/>
    </w:p>
    <w:p w14:paraId="3E851708">
      <w:pPr>
        <w:keepNext w:val="0"/>
        <w:keepLines w:val="0"/>
        <w:pageBreakBefore w:val="0"/>
        <w:widowControl w:val="0"/>
        <w:numPr>
          <w:ilvl w:val="0"/>
          <w:numId w:val="3"/>
        </w:numPr>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瀹嬩綋" w:cs="Times New Roman"/>
          <w:color w:val="auto"/>
          <w:spacing w:val="0"/>
          <w:w w:val="100"/>
          <w:kern w:val="0"/>
          <w:position w:val="0"/>
          <w:sz w:val="24"/>
          <w:szCs w:val="24"/>
          <w:lang w:val="en-US" w:eastAsia="zh-CN" w:bidi="ar"/>
        </w:rPr>
        <w:t>本工程属于以生态影响为主要特征的水利项目，</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大部分建设内容位于水库管理范围现有水利工程用地内，</w:t>
      </w:r>
      <w:r>
        <w:rPr>
          <w:rFonts w:hint="default" w:ascii="Times New Roman" w:hAnsi="Times New Roman" w:eastAsia="宋体" w:cs="Times New Roman"/>
          <w:caps w:val="0"/>
          <w:smallCaps w:val="0"/>
          <w:color w:val="auto"/>
          <w:spacing w:val="0"/>
          <w:w w:val="100"/>
          <w:kern w:val="0"/>
          <w:position w:val="0"/>
          <w:sz w:val="24"/>
          <w:szCs w:val="24"/>
          <w:u w:val="none" w:color="auto"/>
        </w:rPr>
        <w:t>本次除险加固</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对东山</w:t>
      </w:r>
      <w:r>
        <w:rPr>
          <w:rFonts w:hint="default" w:ascii="Times New Roman" w:hAnsi="Times New Roman" w:eastAsia="宋体" w:cs="Times New Roman"/>
          <w:caps w:val="0"/>
          <w:smallCaps w:val="0"/>
          <w:color w:val="auto"/>
          <w:spacing w:val="0"/>
          <w:w w:val="100"/>
          <w:kern w:val="0"/>
          <w:position w:val="0"/>
          <w:sz w:val="24"/>
          <w:szCs w:val="24"/>
          <w:u w:val="none" w:color="auto"/>
        </w:rPr>
        <w:t>水库已有安全隐患</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进行</w:t>
      </w:r>
      <w:r>
        <w:rPr>
          <w:rFonts w:hint="default" w:ascii="Times New Roman" w:hAnsi="Times New Roman" w:eastAsia="宋体" w:cs="Times New Roman"/>
          <w:caps w:val="0"/>
          <w:smallCaps w:val="0"/>
          <w:color w:val="auto"/>
          <w:spacing w:val="0"/>
          <w:w w:val="100"/>
          <w:kern w:val="0"/>
          <w:position w:val="0"/>
          <w:sz w:val="24"/>
          <w:szCs w:val="24"/>
          <w:u w:val="none" w:color="auto"/>
        </w:rPr>
        <w:t>排除，工程目的是保障水库安全、确保工程安全可靠运行，</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本次</w:t>
      </w:r>
      <w:r>
        <w:rPr>
          <w:rFonts w:hint="default" w:ascii="Times New Roman" w:hAnsi="Times New Roman" w:eastAsia="宋体" w:cs="Times New Roman"/>
          <w:caps w:val="0"/>
          <w:smallCaps w:val="0"/>
          <w:color w:val="auto"/>
          <w:spacing w:val="0"/>
          <w:w w:val="100"/>
          <w:kern w:val="0"/>
          <w:position w:val="0"/>
          <w:sz w:val="24"/>
          <w:szCs w:val="24"/>
          <w:u w:val="none" w:color="auto"/>
        </w:rPr>
        <w:t>除险加固工程不改变</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w:t>
      </w:r>
      <w:r>
        <w:rPr>
          <w:rFonts w:hint="default" w:ascii="Times New Roman" w:hAnsi="Times New Roman" w:eastAsia="宋体" w:cs="Times New Roman"/>
          <w:caps w:val="0"/>
          <w:smallCaps w:val="0"/>
          <w:color w:val="auto"/>
          <w:spacing w:val="0"/>
          <w:w w:val="100"/>
          <w:kern w:val="0"/>
          <w:position w:val="0"/>
          <w:sz w:val="24"/>
          <w:szCs w:val="24"/>
          <w:u w:val="none" w:color="auto"/>
        </w:rPr>
        <w:t>水库的特征水位、</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库容等工程特性。</w:t>
      </w:r>
    </w:p>
    <w:p w14:paraId="51A32E92">
      <w:pPr>
        <w:keepNext w:val="0"/>
        <w:keepLines w:val="0"/>
        <w:pageBreakBefore w:val="0"/>
        <w:widowControl w:val="0"/>
        <w:numPr>
          <w:ilvl w:val="0"/>
          <w:numId w:val="3"/>
        </w:numPr>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本工程所在区域涉及多个环境敏感区，工程所在区域位于华容县</w:t>
      </w:r>
      <w:r>
        <w:rPr>
          <w:rFonts w:hint="default" w:ascii="Times New Roman" w:hAnsi="Times New Roman" w:eastAsia="宋体" w:cs="Times New Roman"/>
          <w:caps w:val="0"/>
          <w:smallCaps w:val="0"/>
          <w:color w:val="auto"/>
          <w:spacing w:val="0"/>
          <w:w w:val="100"/>
          <w:kern w:val="0"/>
          <w:position w:val="0"/>
          <w:sz w:val="24"/>
          <w:szCs w:val="24"/>
          <w:lang w:val="en-US" w:eastAsia="zh-CN"/>
        </w:rPr>
        <w:t>生态保护红线、华容县东山镇东山水库</w:t>
      </w:r>
      <w:r>
        <w:rPr>
          <w:rFonts w:hint="default" w:ascii="Times New Roman" w:hAnsi="Times New Roman" w:eastAsia="宋体" w:cs="Times New Roman"/>
          <w:caps w:val="0"/>
          <w:smallCaps w:val="0"/>
          <w:color w:val="auto"/>
          <w:spacing w:val="0"/>
          <w:w w:val="100"/>
          <w:kern w:val="0"/>
          <w:position w:val="0"/>
          <w:sz w:val="24"/>
          <w:szCs w:val="24"/>
          <w:lang w:eastAsia="zh-CN"/>
        </w:rPr>
        <w:t>饮用水水源保护区</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highlight w:val="none"/>
          <w:lang w:val="en-US" w:eastAsia="zh-CN"/>
        </w:rPr>
        <w:t>湖南华容桃花山省级森林公园范围内，评价区涉及华容县生态公益林。</w:t>
      </w:r>
    </w:p>
    <w:p w14:paraId="0D41EBD2">
      <w:pPr>
        <w:keepNext w:val="0"/>
        <w:keepLines w:val="0"/>
        <w:pageBreakBefore w:val="0"/>
        <w:widowControl w:val="0"/>
        <w:numPr>
          <w:ilvl w:val="0"/>
          <w:numId w:val="3"/>
        </w:numPr>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本工程是对水库进行维护工程施工，不涉及大范围的土建工程</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项目</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对</w:t>
      </w:r>
      <w:r>
        <w:rPr>
          <w:rFonts w:hint="default" w:ascii="Times New Roman" w:hAnsi="Times New Roman" w:eastAsia="宋体" w:cs="Times New Roman"/>
          <w:caps w:val="0"/>
          <w:smallCaps w:val="0"/>
          <w:color w:val="auto"/>
          <w:spacing w:val="0"/>
          <w:w w:val="100"/>
          <w:kern w:val="0"/>
          <w:position w:val="0"/>
          <w:sz w:val="24"/>
          <w:szCs w:val="24"/>
          <w:u w:val="none" w:color="auto"/>
        </w:rPr>
        <w:t>环境影响主要集中在施工期。施工期环境影响</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主要为</w:t>
      </w:r>
      <w:r>
        <w:rPr>
          <w:rFonts w:hint="default" w:ascii="Times New Roman" w:hAnsi="Times New Roman" w:eastAsia="宋体" w:cs="Times New Roman"/>
          <w:caps w:val="0"/>
          <w:smallCaps w:val="0"/>
          <w:color w:val="auto"/>
          <w:spacing w:val="0"/>
          <w:w w:val="100"/>
          <w:kern w:val="0"/>
          <w:position w:val="0"/>
          <w:sz w:val="24"/>
          <w:szCs w:val="24"/>
          <w:u w:val="none" w:color="auto"/>
        </w:rPr>
        <w:t>生态环境影响</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大气环境影响</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地表水环境影响</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声环境影响</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和</w:t>
      </w:r>
      <w:r>
        <w:rPr>
          <w:rFonts w:hint="default" w:ascii="Times New Roman" w:hAnsi="Times New Roman" w:eastAsia="宋体" w:cs="Times New Roman"/>
          <w:caps w:val="0"/>
          <w:smallCaps w:val="0"/>
          <w:color w:val="auto"/>
          <w:spacing w:val="0"/>
          <w:w w:val="100"/>
          <w:kern w:val="0"/>
          <w:position w:val="0"/>
          <w:sz w:val="24"/>
          <w:szCs w:val="24"/>
          <w:u w:val="none" w:color="auto"/>
        </w:rPr>
        <w:t>固体废弃物</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影响</w:t>
      </w:r>
      <w:r>
        <w:rPr>
          <w:rFonts w:hint="default" w:ascii="Times New Roman" w:hAnsi="Times New Roman" w:eastAsia="宋体" w:cs="Times New Roman"/>
          <w:caps w:val="0"/>
          <w:smallCaps w:val="0"/>
          <w:color w:val="auto"/>
          <w:spacing w:val="0"/>
          <w:w w:val="100"/>
          <w:kern w:val="0"/>
          <w:position w:val="0"/>
          <w:sz w:val="24"/>
          <w:szCs w:val="24"/>
          <w:u w:val="none" w:color="auto"/>
        </w:rPr>
        <w:t>。本工程实施具有不可避让性，应重点加强施工期环境管理和污染防治。</w:t>
      </w:r>
    </w:p>
    <w:p w14:paraId="726A8814">
      <w:pPr>
        <w:pStyle w:val="3"/>
        <w:numPr>
          <w:ilvl w:val="1"/>
          <w:numId w:val="0"/>
        </w:numPr>
        <w:bidi w:val="0"/>
        <w:ind w:leftChars="0"/>
        <w:rPr>
          <w:rFonts w:hint="default" w:ascii="Times New Roman" w:hAnsi="Times New Roman" w:cs="Times New Roman"/>
        </w:rPr>
      </w:pPr>
      <w:bookmarkStart w:id="7" w:name="_Toc24565"/>
      <w:bookmarkStart w:id="8" w:name="_Toc18649"/>
      <w:r>
        <w:rPr>
          <w:rFonts w:hint="default" w:ascii="Times New Roman" w:hAnsi="Times New Roman" w:cs="Times New Roman"/>
        </w:rPr>
        <w:t>3环境影响评价工作过程</w:t>
      </w:r>
      <w:bookmarkEnd w:id="7"/>
      <w:bookmarkEnd w:id="8"/>
    </w:p>
    <w:p w14:paraId="6F0A1365">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olor w:val="auto"/>
          <w:spacing w:val="0"/>
          <w:w w:val="100"/>
          <w:position w:val="0"/>
          <w:sz w:val="24"/>
          <w:szCs w:val="24"/>
          <w:highlight w:val="none"/>
          <w:lang w:val="en-US" w:eastAsia="zh-CN"/>
        </w:rPr>
        <w:t>根据《环境影响评价技术导则 总纲》（HJ2.1-2016）等相关技术规范的要求，环境影响评价工作分为三个阶段，即调查分析和工作方案制定阶段、分析论证和预测评价阶段、环境影响报告书编制阶段。</w:t>
      </w:r>
    </w:p>
    <w:p w14:paraId="288B56A3">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（1）第一阶段为调查分析和工作方案制定阶段</w:t>
      </w:r>
    </w:p>
    <w:p w14:paraId="39E7F351">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接受委托后，收集及研究相关工程相关资料，进行初步工程分析，开展环境状况调查，进行环境影响因素识别、评价因子筛选、明确评价重点和环境保护目标，确定工作等级、评价范围及评价标准，制定工作方案。</w:t>
      </w:r>
    </w:p>
    <w:p w14:paraId="214B20F9">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（2）第二阶段为分析论证和预测评价阶段</w:t>
      </w:r>
    </w:p>
    <w:p w14:paraId="7BB12D6A">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对项目进行工程分析，并同时对评价范围内的环境状况进行调查、监测和评价，各环境要素进行环境影响预测与评价。</w:t>
      </w:r>
    </w:p>
    <w:p w14:paraId="29AFD264">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（3）第三阶段为环境影响报告书编制阶段</w:t>
      </w:r>
    </w:p>
    <w:p w14:paraId="785DF496">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根据建设项目对环境的影响程度和范围，提出切实可行的环保措施，并进行技术经济论证，给出建设项目环境可行性的评价结论，编制环境影响评价文件。</w:t>
      </w:r>
    </w:p>
    <w:p w14:paraId="5EA9F616">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具体</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工作</w:t>
      </w:r>
      <w:r>
        <w:rPr>
          <w:rFonts w:hint="default" w:ascii="Times New Roman" w:hAnsi="Times New Roman" w:eastAsia="宋体" w:cs="Times New Roman"/>
          <w:caps w:val="0"/>
          <w:smallCaps w:val="0"/>
          <w:color w:val="auto"/>
          <w:spacing w:val="0"/>
          <w:w w:val="100"/>
          <w:kern w:val="0"/>
          <w:position w:val="0"/>
          <w:sz w:val="24"/>
          <w:szCs w:val="24"/>
          <w:u w:val="none" w:color="auto"/>
        </w:rPr>
        <w:t>流程见图1。</w:t>
      </w:r>
    </w:p>
    <w:p w14:paraId="7127479F">
      <w:pPr>
        <w:widowControl/>
        <w:jc w:val="cente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cs="Times New Roman"/>
          <w:color w:val="auto"/>
          <w:spacing w:val="0"/>
          <w:w w:val="100"/>
          <w:position w:val="0"/>
          <w:highlight w:val="none"/>
          <w:u w:val="none" w:color="auto"/>
        </w:rPr>
        <w:object>
          <v:shape id="_x0000_i1025" o:spt="75" type="#_x0000_t75" style="height:503.65pt;width:428.95pt;" o:ole="t" filled="f" o:preferrelative="t" stroked="f" coordsize="21600,21600">
            <v:path/>
            <v:fill on="f" alignshape="1" focussize="0,0"/>
            <v:stroke on="f"/>
            <v:imagedata r:id="rId29" o:title=""/>
            <o:lock v:ext="edit" aspectratio="t"/>
            <w10:wrap type="none"/>
            <w10:anchorlock/>
          </v:shape>
          <o:OLEObject Type="Embed" ProgID="Visio.Drawing.11" ShapeID="_x0000_i1025" DrawAspect="Content" ObjectID="_1468075725" r:id="rId28">
            <o:LockedField>false</o:LockedField>
          </o:OLEObject>
        </w:object>
      </w:r>
      <w:r>
        <w:rPr>
          <w:rFonts w:hint="default" w:ascii="Times New Roman" w:hAnsi="Times New Roman" w:eastAsia="宋体" w:cs="Times New Roman"/>
          <w:b/>
          <w:bCs w:val="0"/>
          <w:caps w:val="0"/>
          <w:smallCaps w:val="0"/>
          <w:color w:val="auto"/>
          <w:spacing w:val="0"/>
          <w:w w:val="100"/>
          <w:position w:val="0"/>
          <w:sz w:val="24"/>
          <w:szCs w:val="24"/>
          <w:highlight w:val="none"/>
          <w:u w:val="none" w:color="auto"/>
          <w:lang w:eastAsia="zh-CN"/>
        </w:rPr>
        <w:t>图</w:t>
      </w:r>
      <w:r>
        <w:rPr>
          <w:rFonts w:hint="default" w:ascii="Times New Roman" w:hAnsi="Times New Roman" w:eastAsia="宋体" w:cs="Times New Roman"/>
          <w:b/>
          <w:bCs w:val="0"/>
          <w:caps w:val="0"/>
          <w:smallCaps w:val="0"/>
          <w:color w:val="auto"/>
          <w:spacing w:val="0"/>
          <w:w w:val="100"/>
          <w:position w:val="0"/>
          <w:sz w:val="24"/>
          <w:szCs w:val="24"/>
          <w:highlight w:val="none"/>
          <w:u w:val="none" w:color="auto"/>
          <w:lang w:val="en-US" w:eastAsia="zh-CN"/>
        </w:rPr>
        <w:t xml:space="preserve">1 </w:t>
      </w:r>
      <w:r>
        <w:rPr>
          <w:rFonts w:hint="default" w:ascii="Times New Roman" w:hAnsi="Times New Roman" w:cs="Times New Roman"/>
          <w:color w:val="auto"/>
          <w:spacing w:val="0"/>
          <w:w w:val="100"/>
          <w:position w:val="0"/>
          <w:sz w:val="24"/>
          <w:szCs w:val="24"/>
          <w:highlight w:val="none"/>
          <w:u w:val="none" w:color="auto"/>
          <w:lang w:val="en-US" w:eastAsia="zh-CN"/>
        </w:rPr>
        <w:t xml:space="preserve"> </w:t>
      </w:r>
      <w:r>
        <w:rPr>
          <w:rFonts w:hint="default" w:ascii="Times New Roman" w:hAnsi="Times New Roman" w:eastAsia="宋体" w:cs="Times New Roman"/>
          <w:b/>
          <w:bCs w:val="0"/>
          <w:caps w:val="0"/>
          <w:smallCaps w:val="0"/>
          <w:color w:val="auto"/>
          <w:spacing w:val="0"/>
          <w:w w:val="100"/>
          <w:position w:val="0"/>
          <w:sz w:val="24"/>
          <w:szCs w:val="24"/>
          <w:highlight w:val="none"/>
          <w:u w:val="none" w:color="auto"/>
        </w:rPr>
        <w:t>环境影响评价工作流程图</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p>
    <w:p w14:paraId="03AF6977">
      <w:pPr>
        <w:pStyle w:val="3"/>
        <w:numPr>
          <w:ilvl w:val="1"/>
          <w:numId w:val="0"/>
        </w:numPr>
        <w:bidi w:val="0"/>
        <w:ind w:leftChars="0"/>
        <w:rPr>
          <w:rFonts w:hint="default" w:ascii="Times New Roman" w:hAnsi="Times New Roman" w:cs="Times New Roman"/>
        </w:rPr>
      </w:pPr>
      <w:bookmarkStart w:id="9" w:name="_Toc354"/>
      <w:bookmarkStart w:id="10" w:name="_Toc21860"/>
      <w:r>
        <w:rPr>
          <w:rFonts w:hint="default" w:ascii="Times New Roman" w:hAnsi="Times New Roman" w:cs="Times New Roman"/>
        </w:rPr>
        <w:t>4分析判定相关情况</w:t>
      </w:r>
      <w:bookmarkEnd w:id="9"/>
      <w:bookmarkEnd w:id="10"/>
    </w:p>
    <w:p w14:paraId="3CCCAA40">
      <w:pPr>
        <w:keepNext w:val="0"/>
        <w:keepLines w:val="0"/>
        <w:pageBreakBefore w:val="0"/>
        <w:widowControl w:val="0"/>
        <w:numPr>
          <w:ilvl w:val="0"/>
          <w:numId w:val="0"/>
        </w:numPr>
        <w:kinsoku w:val="0"/>
        <w:wordWrap w:val="0"/>
        <w:overflowPunct/>
        <w:topLinePunct/>
        <w:autoSpaceDE/>
        <w:autoSpaceDN/>
        <w:bidi w:val="0"/>
        <w:adjustRightInd w:val="0"/>
        <w:snapToGrid/>
        <w:spacing w:line="360" w:lineRule="auto"/>
        <w:ind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1</w:t>
      </w: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b/>
          <w:bCs/>
          <w:caps w:val="0"/>
          <w:smallCaps w:val="0"/>
          <w:color w:val="auto"/>
          <w:spacing w:val="0"/>
          <w:w w:val="100"/>
          <w:kern w:val="0"/>
          <w:position w:val="0"/>
          <w:sz w:val="24"/>
          <w:szCs w:val="24"/>
          <w:u w:val="none" w:color="auto"/>
        </w:rPr>
        <w:t>与产业政策符合性分析</w:t>
      </w:r>
    </w:p>
    <w:p w14:paraId="4ED010F3">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根据《产业结构调整指导目录》（20</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24</w:t>
      </w:r>
      <w:r>
        <w:rPr>
          <w:rFonts w:hint="default" w:ascii="Times New Roman" w:hAnsi="Times New Roman" w:eastAsia="宋体" w:cs="Times New Roman"/>
          <w:caps w:val="0"/>
          <w:smallCaps w:val="0"/>
          <w:color w:val="auto"/>
          <w:spacing w:val="0"/>
          <w:w w:val="100"/>
          <w:kern w:val="0"/>
          <w:position w:val="0"/>
          <w:sz w:val="24"/>
          <w:szCs w:val="24"/>
          <w:u w:val="none" w:color="auto"/>
        </w:rPr>
        <w:t>年本），</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本</w:t>
      </w:r>
      <w:r>
        <w:rPr>
          <w:rFonts w:hint="default" w:ascii="Times New Roman" w:hAnsi="Times New Roman" w:eastAsia="宋体" w:cs="Times New Roman"/>
          <w:caps w:val="0"/>
          <w:smallCaps w:val="0"/>
          <w:color w:val="auto"/>
          <w:spacing w:val="0"/>
          <w:w w:val="100"/>
          <w:kern w:val="0"/>
          <w:position w:val="0"/>
          <w:sz w:val="24"/>
          <w:szCs w:val="24"/>
          <w:u w:val="none" w:color="auto"/>
        </w:rPr>
        <w:t>项目属于鼓励类“二、水利</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-3防洪提升工程：</w:t>
      </w:r>
      <w:r>
        <w:rPr>
          <w:rFonts w:hint="default" w:ascii="Times New Roman" w:hAnsi="Times New Roman" w:eastAsia="宋体" w:cs="Times New Roman"/>
          <w:caps w:val="0"/>
          <w:smallCaps w:val="0"/>
          <w:color w:val="auto"/>
          <w:spacing w:val="0"/>
          <w:w w:val="100"/>
          <w:kern w:val="0"/>
          <w:position w:val="0"/>
          <w:sz w:val="24"/>
          <w:szCs w:val="24"/>
          <w:u w:val="none" w:color="auto"/>
        </w:rPr>
        <w:t>病险水库、水闸除险加固工程”，</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同时本</w:t>
      </w:r>
      <w:r>
        <w:rPr>
          <w:rFonts w:hint="default" w:ascii="Times New Roman" w:hAnsi="Times New Roman" w:eastAsia="宋体" w:cs="Times New Roman"/>
          <w:caps w:val="0"/>
          <w:smallCaps w:val="0"/>
          <w:color w:val="auto"/>
          <w:spacing w:val="0"/>
          <w:w w:val="100"/>
          <w:kern w:val="0"/>
          <w:position w:val="0"/>
          <w:sz w:val="24"/>
          <w:szCs w:val="24"/>
          <w:u w:val="none" w:color="auto"/>
        </w:rPr>
        <w:t>项目</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于2023年11月9日取得了华容县发展和改革局《关于华容县东山水库除险加固工程可行性研究报告的批复》（华发改投审【2023】158号）</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因此，本项目</w:t>
      </w:r>
      <w:r>
        <w:rPr>
          <w:rFonts w:hint="default" w:ascii="Times New Roman" w:hAnsi="Times New Roman" w:eastAsia="宋体" w:cs="Times New Roman"/>
          <w:caps w:val="0"/>
          <w:smallCaps w:val="0"/>
          <w:color w:val="auto"/>
          <w:spacing w:val="0"/>
          <w:w w:val="100"/>
          <w:kern w:val="0"/>
          <w:position w:val="0"/>
          <w:sz w:val="24"/>
          <w:szCs w:val="24"/>
          <w:u w:val="none" w:color="auto"/>
        </w:rPr>
        <w:t>符合国家产业政策的要求。</w:t>
      </w:r>
    </w:p>
    <w:p w14:paraId="26E1FAAA">
      <w:pPr>
        <w:keepNext w:val="0"/>
        <w:keepLines w:val="0"/>
        <w:widowControl/>
        <w:numPr>
          <w:ilvl w:val="0"/>
          <w:numId w:val="0"/>
        </w:numPr>
        <w:suppressLineNumbers w:val="0"/>
        <w:spacing w:line="360" w:lineRule="auto"/>
        <w:ind w:firstLine="482" w:firstLineChars="200"/>
        <w:jc w:val="left"/>
        <w:rPr>
          <w:rFonts w:hint="default" w:ascii="Times New Roman" w:hAnsi="Times New Roman" w:cs="Times New Roman"/>
          <w:b/>
          <w:bCs/>
          <w:spacing w:val="0"/>
          <w:w w:val="100"/>
          <w:position w:val="0"/>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（2）与《中华人民共和国水污染防治法》、</w:t>
      </w:r>
      <w:r>
        <w:rPr>
          <w:rFonts w:hint="default" w:ascii="Times New Roman" w:hAnsi="Times New Roman" w:eastAsia="宋体" w:cs="Times New Roman"/>
          <w:b/>
          <w:bCs/>
          <w:color w:val="auto"/>
          <w:spacing w:val="0"/>
          <w:w w:val="100"/>
          <w:kern w:val="0"/>
          <w:position w:val="0"/>
          <w:sz w:val="24"/>
          <w:highlight w:val="none"/>
          <w:u w:val="none" w:color="auto"/>
        </w:rPr>
        <w:t>《饮用水水源保护区污染防治管理规定》</w:t>
      </w:r>
      <w:r>
        <w:rPr>
          <w:rFonts w:hint="default" w:ascii="Times New Roman" w:hAnsi="Times New Roman" w:eastAsia="宋体" w:cs="Times New Roman"/>
          <w:b/>
          <w:bCs/>
          <w:color w:val="auto"/>
          <w:spacing w:val="0"/>
          <w:w w:val="100"/>
          <w:kern w:val="0"/>
          <w:position w:val="0"/>
          <w:sz w:val="24"/>
          <w:highlight w:val="none"/>
          <w:u w:val="none" w:color="auto"/>
          <w:lang w:eastAsia="zh-CN"/>
        </w:rPr>
        <w:t>、</w:t>
      </w:r>
      <w:r>
        <w:rPr>
          <w:rFonts w:hint="default" w:ascii="Times New Roman" w:hAnsi="Times New Roman" w:eastAsia="宋体" w:cs="Times New Roman"/>
          <w:b/>
          <w:bCs/>
          <w:color w:val="000000"/>
          <w:spacing w:val="0"/>
          <w:w w:val="100"/>
          <w:kern w:val="0"/>
          <w:position w:val="0"/>
          <w:sz w:val="24"/>
          <w:szCs w:val="24"/>
          <w:lang w:val="en-US" w:eastAsia="zh-CN" w:bidi="ar"/>
        </w:rPr>
        <w:t>《水污染防治实施细则》、</w:t>
      </w:r>
      <w:r>
        <w:rPr>
          <w:rFonts w:hint="default" w:ascii="Times New Roman" w:hAnsi="Times New Roman" w:eastAsia="宋体" w:cs="Times New Roman"/>
          <w:b/>
          <w:bCs/>
          <w:color w:val="auto"/>
          <w:spacing w:val="0"/>
          <w:w w:val="100"/>
          <w:kern w:val="0"/>
          <w:position w:val="0"/>
          <w:sz w:val="24"/>
          <w:highlight w:val="none"/>
          <w:u w:val="none" w:color="auto"/>
          <w:lang w:val="en-US" w:eastAsia="zh-CN"/>
        </w:rPr>
        <w:t>《湖南省饮用水水源保护条例》</w:t>
      </w:r>
      <w:r>
        <w:rPr>
          <w:rFonts w:hint="default" w:ascii="Times New Roman" w:hAnsi="Times New Roman" w:eastAsia="宋体" w:cs="Times New Roman"/>
          <w:b/>
          <w:bCs/>
          <w:color w:val="000000"/>
          <w:spacing w:val="0"/>
          <w:w w:val="100"/>
          <w:kern w:val="0"/>
          <w:position w:val="0"/>
          <w:sz w:val="24"/>
          <w:szCs w:val="24"/>
          <w:lang w:val="en-US" w:eastAsia="zh-CN" w:bidi="ar"/>
        </w:rPr>
        <w:t>的符合性</w:t>
      </w:r>
      <w:r>
        <w:rPr>
          <w:rFonts w:hint="default" w:ascii="Times New Roman" w:hAnsi="Times New Roman" w:eastAsia="宋体" w:cs="Times New Roman"/>
          <w:b/>
          <w:bCs/>
          <w:color w:val="auto"/>
          <w:spacing w:val="0"/>
          <w:w w:val="100"/>
          <w:kern w:val="0"/>
          <w:position w:val="0"/>
          <w:sz w:val="24"/>
          <w:highlight w:val="none"/>
          <w:u w:val="none" w:color="auto"/>
          <w:lang w:eastAsia="zh-CN"/>
        </w:rPr>
        <w:t>分析</w:t>
      </w:r>
    </w:p>
    <w:p w14:paraId="1346ACD3">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olor w:val="auto"/>
          <w:spacing w:val="0"/>
          <w:w w:val="100"/>
          <w:kern w:val="0"/>
          <w:position w:val="0"/>
          <w:sz w:val="24"/>
          <w:u w:val="none" w:color="auto"/>
          <w:lang w:val="en-US" w:eastAsia="zh-CN"/>
        </w:rPr>
      </w:pPr>
      <w:bookmarkStart w:id="11" w:name="bookmark17"/>
      <w:bookmarkStart w:id="12" w:name="bookmark16"/>
      <w:r>
        <w:rPr>
          <w:rFonts w:hint="default" w:ascii="Times New Roman" w:hAnsi="Times New Roman" w:eastAsia="宋体" w:cs="Times New Roman"/>
          <w:color w:val="auto"/>
          <w:spacing w:val="0"/>
          <w:w w:val="100"/>
          <w:kern w:val="0"/>
          <w:position w:val="0"/>
          <w:sz w:val="24"/>
          <w:u w:val="none" w:color="auto"/>
          <w:lang w:val="en-US" w:eastAsia="zh-CN"/>
        </w:rPr>
        <w:t xml:space="preserve">根据《中华人民共和国水污染防治法》，“第六十四条 在饮用水水源保护区内，禁止设置排污口。第六十五条 禁止在饮用水水源一级保护区内新建、改建、扩建与供水设施和保护水源无关的建设项目……禁止在饮用水水源一级保护区内从事网箱养殖、旅游、游泳、垂钓或者其他可能污染饮用水水体的活动。第六十六条 禁止在饮用水水源二级保护区内新建、改建、扩建排放污染物的建设项目……在饮用水水源二级保护区内从事网箱养殖、旅游等活动的，应当按照规定采取措施，防止污染饮用水水体。第六十七条 禁止在饮用水水源准保护区内新建、扩建对水体污染严重的建设项目；改建建设项目，不得增加排污量”。 </w:t>
      </w:r>
    </w:p>
    <w:p w14:paraId="6521C28B">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rPr>
        <w:t>根据《饮用水源保护区污染防治管理规定》，一级保护区内禁止新建、扩建与供水设施和保护水源无关的建设项目；二级饮用水源保护区不准新建扩建向水体排放污染物的项目；准保护区内禁止新建、扩建对水体污染严重的建设项目；改建建设项目，不得增加排污量。</w:t>
      </w:r>
    </w:p>
    <w:p w14:paraId="20A0FB78">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olor w:val="auto"/>
          <w:spacing w:val="0"/>
          <w:w w:val="100"/>
          <w:kern w:val="0"/>
          <w:position w:val="0"/>
          <w:sz w:val="24"/>
          <w:u w:val="none" w:color="auto"/>
          <w:lang w:val="en-US" w:eastAsia="zh-CN"/>
        </w:rPr>
      </w:pPr>
      <w:r>
        <w:rPr>
          <w:rFonts w:hint="default" w:ascii="Times New Roman" w:hAnsi="Times New Roman" w:eastAsia="宋体" w:cs="Times New Roman"/>
          <w:color w:val="auto"/>
          <w:spacing w:val="0"/>
          <w:w w:val="100"/>
          <w:kern w:val="0"/>
          <w:position w:val="0"/>
          <w:sz w:val="24"/>
          <w:u w:val="none" w:color="auto"/>
          <w:lang w:val="en-US" w:eastAsia="zh-CN"/>
        </w:rPr>
        <w:t>根据</w:t>
      </w:r>
      <w:r>
        <w:rPr>
          <w:rFonts w:hint="default" w:ascii="Times New Roman" w:hAnsi="Times New Roman" w:eastAsia="宋体" w:cs="Times New Roman"/>
          <w:color w:val="000000"/>
          <w:spacing w:val="0"/>
          <w:w w:val="100"/>
          <w:kern w:val="0"/>
          <w:position w:val="0"/>
          <w:sz w:val="24"/>
          <w:szCs w:val="24"/>
          <w:lang w:val="en-US" w:eastAsia="zh-CN" w:bidi="ar"/>
        </w:rPr>
        <w:t>《水污染防治实施细则》，“</w:t>
      </w:r>
      <w:r>
        <w:rPr>
          <w:rFonts w:hint="default" w:ascii="Times New Roman" w:hAnsi="Times New Roman" w:eastAsia="宋体" w:cs="Times New Roman"/>
          <w:color w:val="auto"/>
          <w:spacing w:val="0"/>
          <w:w w:val="100"/>
          <w:kern w:val="0"/>
          <w:position w:val="0"/>
          <w:sz w:val="24"/>
          <w:u w:val="none" w:color="auto"/>
          <w:lang w:val="en-US" w:eastAsia="zh-CN"/>
        </w:rPr>
        <w:t>生活饮用水地表水源一级保护区的保护，依照水污染防治法第二十条的规定执行。第二十三条 禁止在生活饮用水地表水源二级保护区内新建、扩建向水体排放污染物的建设项目。在生活饮用水地表水源二级保护区内改建项目，必须削减污染物排放量。禁止在生活饮用水地表水源二级保护区内超过国家规定的或者地方规定的污染物排放标准排放污染物。禁止在生活饮用水地表水源二级保护区内设立装卸垃圾、油类及其他有毒有害物品的码头。”</w:t>
      </w:r>
    </w:p>
    <w:p w14:paraId="3566FC65">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lang w:val="en-US" w:eastAsia="zh-CN"/>
        </w:rPr>
        <w:t xml:space="preserve">根据《湖南省饮用水水源保护条例》，“第十八条 在饮用水水源准保护区内，禁止下列行为：（一）新建、扩建水上加油站、油库、制药、造纸、化工等严重污染水体的建设项目，或者改建增加排污量的建设项目；（二）使用毒鱼、炸鱼等方法进行捕捞；（三）排放倾倒工业废渣、城镇垃圾、医疗垃圾和其他废弃物，或者贮存、堆放固体废物和其他污染物；（四）使用剧毒和高残留农药，滥用化肥；（五）投肥养鱼；（六）其他可能污染饮用水水体的行为。第十九条 在饮用水水源二级保护区内，除第十八条规定的禁止行为外，还禁止下列行为：（一）设置排污口；（二）新建、改建、扩建排放污染物的建设项目；（三）设置畜禽养殖场、养殖小区；（四）设置装卸垃圾、油类及其他有毒有害物品的码头；（五）水上运输剧毒化学品及国家禁止运输的其他危险化学品；（六）使用农药。第二十条 在饮用水水源一级保护区内，除第十八条、第十九条规定的禁止行为外，还禁止下列行为：（一）新建、改建、扩建与供水设施和保护水源无关的建设项目；（二）水上餐饮；（三）网箱养殖、旅游、游泳、垂钓。” </w:t>
      </w:r>
    </w:p>
    <w:p w14:paraId="07C299E2">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olor w:val="auto"/>
          <w:spacing w:val="0"/>
          <w:w w:val="100"/>
          <w:kern w:val="0"/>
          <w:position w:val="0"/>
          <w:sz w:val="24"/>
          <w:u w:val="none" w:color="auto"/>
          <w:lang w:val="en-US" w:eastAsia="zh-CN"/>
        </w:rPr>
      </w:pPr>
      <w:r>
        <w:rPr>
          <w:rFonts w:hint="default" w:ascii="Times New Roman" w:hAnsi="Times New Roman" w:eastAsia="宋体" w:cs="Times New Roman"/>
          <w:color w:val="auto"/>
          <w:spacing w:val="0"/>
          <w:w w:val="100"/>
          <w:kern w:val="0"/>
          <w:position w:val="0"/>
          <w:sz w:val="24"/>
          <w:u w:val="none" w:color="auto"/>
          <w:lang w:val="en-US" w:eastAsia="zh-CN"/>
        </w:rPr>
        <w:t>本工程施工营地、弃渣场等临时工程均不在华容县东山镇东山水库饮用水水源保护区的一、二级或准保护区范围内。大坝防渗处理、大坝下游护坡加固、溢洪道消力池清淤及改造泄洪渠、</w:t>
      </w:r>
      <w:r>
        <w:rPr>
          <w:rFonts w:hint="default" w:ascii="Times New Roman" w:hAnsi="Times New Roman" w:eastAsia="宋体" w:cs="Times New Roman"/>
          <w:spacing w:val="0"/>
          <w:w w:val="100"/>
          <w:position w:val="0"/>
          <w:sz w:val="24"/>
          <w:szCs w:val="24"/>
        </w:rPr>
        <w:t>输水隧洞原暗涵挖废重建</w:t>
      </w:r>
      <w:r>
        <w:rPr>
          <w:rFonts w:hint="default" w:ascii="Times New Roman" w:hAnsi="Times New Roman" w:eastAsia="宋体" w:cs="Times New Roman"/>
          <w:color w:val="auto"/>
          <w:spacing w:val="0"/>
          <w:w w:val="100"/>
          <w:kern w:val="0"/>
          <w:position w:val="0"/>
          <w:sz w:val="24"/>
          <w:u w:val="none" w:color="auto"/>
          <w:lang w:val="en-US" w:eastAsia="zh-CN"/>
        </w:rPr>
        <w:t>、引水渠护坡护底及泄水闸、节制闸重建、管理所危房重建等工程紧邻饮用水源保护区，但施工活动不涉及饮用水源一、二级保护区内水域；大坝上游护坡改造、</w:t>
      </w:r>
      <w:r>
        <w:rPr>
          <w:rFonts w:hint="default" w:ascii="Times New Roman" w:hAnsi="Times New Roman" w:eastAsia="宋体" w:cs="Times New Roman"/>
          <w:spacing w:val="0"/>
          <w:w w:val="100"/>
          <w:position w:val="0"/>
          <w:sz w:val="24"/>
          <w:szCs w:val="24"/>
        </w:rPr>
        <w:t>溢洪道控制段人行桥</w:t>
      </w:r>
      <w:r>
        <w:rPr>
          <w:rFonts w:hint="default" w:ascii="Times New Roman" w:hAnsi="Times New Roman" w:eastAsia="宋体" w:cs="Times New Roman"/>
          <w:color w:val="auto"/>
          <w:spacing w:val="0"/>
          <w:w w:val="100"/>
          <w:kern w:val="0"/>
          <w:position w:val="0"/>
          <w:sz w:val="24"/>
          <w:u w:val="none" w:color="auto"/>
          <w:lang w:val="en-US" w:eastAsia="zh-CN"/>
        </w:rPr>
        <w:t>、溢洪道底板加固、</w:t>
      </w:r>
      <w:r>
        <w:rPr>
          <w:rFonts w:hint="default" w:ascii="Times New Roman" w:hAnsi="Times New Roman" w:eastAsia="宋体" w:cs="Times New Roman"/>
          <w:spacing w:val="0"/>
          <w:w w:val="100"/>
          <w:position w:val="0"/>
          <w:sz w:val="24"/>
          <w:szCs w:val="24"/>
        </w:rPr>
        <w:t>输水隧洞工作桥及启闭排架、启闭机房扩建</w:t>
      </w:r>
      <w:r>
        <w:rPr>
          <w:rFonts w:hint="default" w:ascii="Times New Roman" w:hAnsi="Times New Roman" w:eastAsia="宋体" w:cs="Times New Roman"/>
          <w:color w:val="auto"/>
          <w:spacing w:val="0"/>
          <w:w w:val="100"/>
          <w:kern w:val="0"/>
          <w:position w:val="0"/>
          <w:sz w:val="24"/>
          <w:u w:val="none" w:color="auto"/>
          <w:lang w:val="en-US" w:eastAsia="zh-CN"/>
        </w:rPr>
        <w:t>工程位于饮用水源一级或二级保护区范围，施工时按计划进行施工导流、降低水位，枯水期施工，施工活动亦不涉及保护区内水域。本工程施工期生产生活污水均不外</w:t>
      </w:r>
      <w:r>
        <w:rPr>
          <w:rFonts w:hint="default" w:ascii="Times New Roman" w:hAnsi="Times New Roman" w:eastAsia="宋体" w:cs="Times New Roman"/>
          <w:color w:val="auto"/>
          <w:spacing w:val="0"/>
          <w:w w:val="100"/>
          <w:kern w:val="0"/>
          <w:position w:val="0"/>
          <w:sz w:val="24"/>
          <w:szCs w:val="24"/>
          <w:u w:val="none" w:color="auto"/>
          <w:lang w:val="en-US" w:eastAsia="zh-CN"/>
        </w:rPr>
        <w:t>排，</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不会在饮用水源保护区内设置排污口；</w:t>
      </w:r>
      <w:r>
        <w:rPr>
          <w:rFonts w:hint="default" w:ascii="Times New Roman" w:hAnsi="Times New Roman" w:eastAsia="宋体" w:cs="Times New Roman"/>
          <w:color w:val="auto"/>
          <w:spacing w:val="0"/>
          <w:w w:val="100"/>
          <w:kern w:val="0"/>
          <w:position w:val="0"/>
          <w:sz w:val="24"/>
          <w:u w:val="none" w:color="auto"/>
          <w:lang w:val="en-US" w:eastAsia="zh-CN"/>
        </w:rPr>
        <w:t>施工弃渣、施工人员生活垃圾和建筑垃圾等及时清运处理，加强施工期管理，严禁向饮用水水源保护区倾倒垃圾。</w:t>
      </w:r>
    </w:p>
    <w:p w14:paraId="64C54268">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lang w:eastAsia="zh-CN"/>
        </w:rPr>
        <w:t>同时，</w:t>
      </w:r>
      <w:r>
        <w:rPr>
          <w:rFonts w:hint="default" w:ascii="Times New Roman" w:hAnsi="Times New Roman" w:eastAsia="宋体" w:cs="Times New Roman"/>
          <w:color w:val="auto"/>
          <w:spacing w:val="0"/>
          <w:w w:val="100"/>
          <w:kern w:val="0"/>
          <w:position w:val="0"/>
          <w:sz w:val="24"/>
          <w:highlight w:val="none"/>
          <w:u w:val="none" w:color="auto"/>
          <w:lang w:val="en-US" w:eastAsia="zh-CN"/>
        </w:rPr>
        <w:t>本项目为东山水库除险加固工程，本工程</w:t>
      </w:r>
      <w:r>
        <w:rPr>
          <w:rFonts w:hint="default" w:ascii="Times New Roman" w:hAnsi="Times New Roman" w:eastAsia="宋体" w:cs="Times New Roman"/>
          <w:color w:val="auto"/>
          <w:spacing w:val="0"/>
          <w:w w:val="100"/>
          <w:kern w:val="0"/>
          <w:position w:val="0"/>
          <w:sz w:val="24"/>
          <w:u w:val="none" w:color="auto"/>
          <w:lang w:val="en-US" w:eastAsia="zh-CN"/>
        </w:rPr>
        <w:t>涉及华容县东山镇东山水库饮用水水源保护区</w:t>
      </w:r>
      <w:r>
        <w:rPr>
          <w:rFonts w:hint="eastAsia" w:ascii="Times New Roman" w:hAnsi="Times New Roman" w:eastAsia="宋体" w:cs="Times New Roman"/>
          <w:color w:val="auto"/>
          <w:spacing w:val="0"/>
          <w:w w:val="100"/>
          <w:kern w:val="0"/>
          <w:position w:val="0"/>
          <w:sz w:val="24"/>
          <w:u w:val="none" w:color="auto"/>
          <w:lang w:val="en-US" w:eastAsia="zh-CN"/>
        </w:rPr>
        <w:t>，</w:t>
      </w:r>
      <w:r>
        <w:rPr>
          <w:rFonts w:hint="default" w:ascii="Times New Roman" w:hAnsi="Times New Roman" w:eastAsia="宋体" w:cs="Times New Roman"/>
          <w:color w:val="auto"/>
          <w:spacing w:val="0"/>
          <w:w w:val="100"/>
          <w:kern w:val="0"/>
          <w:position w:val="0"/>
          <w:sz w:val="24"/>
          <w:u w:val="none" w:color="auto"/>
          <w:lang w:val="en-US" w:eastAsia="zh-CN"/>
        </w:rPr>
        <w:t>项目施工无法避让饮用水水源保护区。项目实施有利于水库库容的维持和水库安全运行，有利于饮用水水源水量的保障，对保护水源具有积极作用。</w:t>
      </w:r>
    </w:p>
    <w:p w14:paraId="7CC1E933">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olor w:val="auto"/>
          <w:spacing w:val="0"/>
          <w:w w:val="100"/>
          <w:kern w:val="0"/>
          <w:position w:val="0"/>
          <w:sz w:val="24"/>
          <w:u w:val="none" w:color="auto"/>
          <w:lang w:val="en-US" w:eastAsia="zh-CN"/>
        </w:rPr>
      </w:pPr>
      <w:r>
        <w:rPr>
          <w:rFonts w:hint="default" w:ascii="Times New Roman" w:hAnsi="Times New Roman" w:eastAsia="宋体" w:cs="Times New Roman"/>
          <w:color w:val="auto"/>
          <w:spacing w:val="0"/>
          <w:w w:val="100"/>
          <w:kern w:val="0"/>
          <w:position w:val="0"/>
          <w:sz w:val="24"/>
          <w:u w:val="none" w:color="auto"/>
          <w:lang w:val="en-US" w:eastAsia="zh-CN"/>
        </w:rPr>
        <w:t>综上，本工程建设符合《中华人民共和国水污染防治法》、</w:t>
      </w:r>
      <w:r>
        <w:rPr>
          <w:rFonts w:hint="default" w:ascii="Times New Roman" w:hAnsi="Times New Roman" w:eastAsia="宋体" w:cs="Times New Roman"/>
          <w:color w:val="auto"/>
          <w:spacing w:val="0"/>
          <w:w w:val="100"/>
          <w:kern w:val="0"/>
          <w:position w:val="0"/>
          <w:sz w:val="24"/>
          <w:highlight w:val="none"/>
          <w:u w:val="none" w:color="auto"/>
        </w:rPr>
        <w:t>《饮用水水源保护区污染防治管理规定》</w:t>
      </w:r>
      <w:r>
        <w:rPr>
          <w:rFonts w:hint="default" w:ascii="Times New Roman" w:hAnsi="Times New Roman" w:eastAsia="宋体" w:cs="Times New Roman"/>
          <w:color w:val="auto"/>
          <w:spacing w:val="0"/>
          <w:w w:val="100"/>
          <w:kern w:val="0"/>
          <w:position w:val="0"/>
          <w:sz w:val="24"/>
          <w:highlight w:val="none"/>
          <w:u w:val="none" w:color="auto"/>
          <w:lang w:eastAsia="zh-CN"/>
        </w:rPr>
        <w:t>、</w:t>
      </w:r>
      <w:r>
        <w:rPr>
          <w:rFonts w:hint="default" w:ascii="Times New Roman" w:hAnsi="Times New Roman" w:eastAsia="宋体" w:cs="Times New Roman"/>
          <w:color w:val="auto"/>
          <w:spacing w:val="0"/>
          <w:w w:val="100"/>
          <w:kern w:val="0"/>
          <w:position w:val="0"/>
          <w:sz w:val="24"/>
          <w:u w:val="none" w:color="auto"/>
          <w:lang w:val="en-US" w:eastAsia="zh-CN"/>
        </w:rPr>
        <w:t>《湖南省</w:t>
      </w:r>
      <w:r>
        <w:rPr>
          <w:rFonts w:hint="default" w:ascii="Times New Roman" w:hAnsi="Times New Roman" w:eastAsia="宋体" w:cs="Times New Roman"/>
          <w:color w:val="000000"/>
          <w:spacing w:val="0"/>
          <w:w w:val="100"/>
          <w:kern w:val="0"/>
          <w:position w:val="0"/>
          <w:sz w:val="24"/>
          <w:szCs w:val="24"/>
          <w:lang w:val="en-US" w:eastAsia="zh-CN" w:bidi="ar"/>
        </w:rPr>
        <w:t>水污染防治实施细则</w:t>
      </w:r>
      <w:r>
        <w:rPr>
          <w:rFonts w:hint="default" w:ascii="Times New Roman" w:hAnsi="Times New Roman" w:eastAsia="宋体" w:cs="Times New Roman"/>
          <w:color w:val="auto"/>
          <w:spacing w:val="0"/>
          <w:w w:val="100"/>
          <w:kern w:val="0"/>
          <w:position w:val="0"/>
          <w:sz w:val="24"/>
          <w:u w:val="none" w:color="auto"/>
          <w:lang w:val="en-US" w:eastAsia="zh-CN"/>
        </w:rPr>
        <w:t>》和</w:t>
      </w:r>
      <w:r>
        <w:rPr>
          <w:rFonts w:hint="default" w:ascii="Times New Roman" w:hAnsi="Times New Roman" w:eastAsia="宋体" w:cs="Times New Roman"/>
          <w:color w:val="auto"/>
          <w:spacing w:val="0"/>
          <w:w w:val="100"/>
          <w:kern w:val="0"/>
          <w:position w:val="0"/>
          <w:sz w:val="24"/>
          <w:highlight w:val="none"/>
          <w:u w:val="none" w:color="auto"/>
          <w:lang w:val="en-US" w:eastAsia="zh-CN"/>
        </w:rPr>
        <w:t>《湖南省饮用水水源保护条例》</w:t>
      </w:r>
      <w:r>
        <w:rPr>
          <w:rFonts w:hint="default" w:ascii="Times New Roman" w:hAnsi="Times New Roman" w:eastAsia="宋体" w:cs="Times New Roman"/>
          <w:color w:val="auto"/>
          <w:spacing w:val="0"/>
          <w:w w:val="100"/>
          <w:kern w:val="0"/>
          <w:position w:val="0"/>
          <w:sz w:val="24"/>
          <w:u w:val="none" w:color="auto"/>
          <w:lang w:val="en-US" w:eastAsia="zh-CN"/>
        </w:rPr>
        <w:t xml:space="preserve">相关要求。 </w:t>
      </w:r>
    </w:p>
    <w:p w14:paraId="28F223F8">
      <w:pPr>
        <w:numPr>
          <w:ilvl w:val="0"/>
          <w:numId w:val="0"/>
        </w:num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spacing w:val="0"/>
          <w:w w:val="100"/>
          <w:kern w:val="0"/>
          <w:position w:val="0"/>
          <w:sz w:val="24"/>
          <w:highlight w:val="none"/>
          <w:u w:val="none" w:color="auto"/>
        </w:rPr>
      </w:pPr>
      <w:r>
        <w:rPr>
          <w:rFonts w:hint="default" w:ascii="Times New Roman" w:hAnsi="Times New Roman" w:eastAsia="宋体" w:cs="Times New Roman"/>
          <w:b/>
          <w:bCs/>
          <w:color w:val="auto"/>
          <w:spacing w:val="0"/>
          <w:w w:val="100"/>
          <w:kern w:val="0"/>
          <w:position w:val="0"/>
          <w:sz w:val="24"/>
          <w:highlight w:val="none"/>
          <w:u w:val="none" w:color="auto"/>
          <w:lang w:val="en-US" w:eastAsia="zh-CN"/>
        </w:rPr>
        <w:t>（3）</w:t>
      </w:r>
      <w:bookmarkEnd w:id="11"/>
      <w:bookmarkEnd w:id="12"/>
      <w:r>
        <w:rPr>
          <w:rFonts w:hint="default" w:ascii="Times New Roman" w:hAnsi="Times New Roman" w:eastAsia="宋体" w:cs="Times New Roman"/>
          <w:b/>
          <w:bCs/>
          <w:color w:val="auto"/>
          <w:spacing w:val="0"/>
          <w:w w:val="100"/>
          <w:kern w:val="0"/>
          <w:position w:val="0"/>
          <w:sz w:val="24"/>
          <w:highlight w:val="none"/>
          <w:u w:val="none" w:color="auto"/>
        </w:rPr>
        <w:t>与《中华人民共和国长江保护法》的符合性</w:t>
      </w:r>
      <w:r>
        <w:rPr>
          <w:rFonts w:hint="default" w:ascii="Times New Roman" w:hAnsi="Times New Roman" w:eastAsia="宋体" w:cs="Times New Roman"/>
          <w:b/>
          <w:bCs/>
          <w:color w:val="auto"/>
          <w:spacing w:val="0"/>
          <w:w w:val="100"/>
          <w:kern w:val="0"/>
          <w:position w:val="0"/>
          <w:sz w:val="24"/>
          <w:highlight w:val="none"/>
          <w:u w:val="none" w:color="auto"/>
          <w:lang w:eastAsia="zh-CN"/>
        </w:rPr>
        <w:t>分析</w:t>
      </w:r>
    </w:p>
    <w:p w14:paraId="0E9AE3AE">
      <w:pPr>
        <w:numPr>
          <w:ilvl w:val="0"/>
          <w:numId w:val="0"/>
        </w:num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rPr>
        <w:t>根据《中华人民共和国长江保护法》第三十二条，国务院有关部门和长江流域地方各级人民政府应当采取措施，加快病险水库除险加固，推进堤防和蓄滞洪区建设，提高防御水旱灾害的整体能力。</w:t>
      </w:r>
    </w:p>
    <w:p w14:paraId="61EA637B">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lang w:eastAsia="zh-CN"/>
        </w:rPr>
      </w:pPr>
      <w:r>
        <w:rPr>
          <w:rFonts w:hint="default" w:ascii="Times New Roman" w:hAnsi="Times New Roman" w:eastAsia="宋体" w:cs="Times New Roman"/>
          <w:color w:val="auto"/>
          <w:spacing w:val="0"/>
          <w:w w:val="100"/>
          <w:kern w:val="0"/>
          <w:position w:val="0"/>
          <w:sz w:val="24"/>
          <w:highlight w:val="none"/>
          <w:u w:val="none" w:color="auto"/>
          <w:lang w:eastAsia="zh-CN"/>
        </w:rPr>
        <w:t>东山</w:t>
      </w:r>
      <w:r>
        <w:rPr>
          <w:rFonts w:hint="default" w:ascii="Times New Roman" w:hAnsi="Times New Roman" w:eastAsia="宋体" w:cs="Times New Roman"/>
          <w:color w:val="auto"/>
          <w:spacing w:val="0"/>
          <w:w w:val="100"/>
          <w:kern w:val="0"/>
          <w:position w:val="0"/>
          <w:sz w:val="24"/>
          <w:highlight w:val="none"/>
          <w:u w:val="none" w:color="auto"/>
        </w:rPr>
        <w:t>水库除险加固工程通过采取工程措施对大坝维修加固，旨在消除大坝安全隐患，保障水库和流域防洪安全，确保枢纽工程安全可靠运行，充分发挥水库的综合利用效益，工程建设过程中生产生活污水均不外排，采取污染防治、生态修复等措施，将对周围环境影响降至最低</w:t>
      </w:r>
      <w:r>
        <w:rPr>
          <w:rFonts w:hint="default" w:ascii="Times New Roman" w:hAnsi="Times New Roman" w:eastAsia="宋体" w:cs="Times New Roman"/>
          <w:color w:val="auto"/>
          <w:spacing w:val="0"/>
          <w:w w:val="100"/>
          <w:kern w:val="0"/>
          <w:position w:val="0"/>
          <w:sz w:val="24"/>
          <w:highlight w:val="none"/>
          <w:u w:val="none" w:color="auto"/>
          <w:lang w:eastAsia="zh-CN"/>
        </w:rPr>
        <w:t>。</w:t>
      </w:r>
    </w:p>
    <w:p w14:paraId="4C89CED9">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rPr>
        <w:t>综上，</w:t>
      </w:r>
      <w:r>
        <w:rPr>
          <w:rFonts w:hint="default" w:ascii="Times New Roman" w:hAnsi="Times New Roman" w:eastAsia="宋体" w:cs="Times New Roman"/>
          <w:color w:val="auto"/>
          <w:spacing w:val="0"/>
          <w:w w:val="100"/>
          <w:kern w:val="0"/>
          <w:position w:val="0"/>
          <w:sz w:val="24"/>
          <w:highlight w:val="none"/>
          <w:u w:val="none" w:color="auto"/>
          <w:lang w:eastAsia="zh-CN"/>
        </w:rPr>
        <w:t>东山</w:t>
      </w:r>
      <w:r>
        <w:rPr>
          <w:rFonts w:hint="default" w:ascii="Times New Roman" w:hAnsi="Times New Roman" w:eastAsia="宋体" w:cs="Times New Roman"/>
          <w:color w:val="auto"/>
          <w:spacing w:val="0"/>
          <w:w w:val="100"/>
          <w:kern w:val="0"/>
          <w:position w:val="0"/>
          <w:sz w:val="24"/>
          <w:highlight w:val="none"/>
          <w:u w:val="none" w:color="auto"/>
        </w:rPr>
        <w:t>水库除险加固工程符合《中华人民共和国长江保护法》相关要求。</w:t>
      </w:r>
    </w:p>
    <w:p w14:paraId="4D6F1825">
      <w:p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spacing w:val="0"/>
          <w:w w:val="100"/>
          <w:kern w:val="0"/>
          <w:position w:val="0"/>
          <w:sz w:val="24"/>
          <w:highlight w:val="none"/>
          <w:u w:val="none" w:color="auto"/>
        </w:rPr>
      </w:pPr>
      <w:r>
        <w:rPr>
          <w:rFonts w:hint="default" w:ascii="Times New Roman" w:hAnsi="Times New Roman" w:eastAsia="宋体" w:cs="Times New Roman"/>
          <w:b/>
          <w:bCs/>
          <w:color w:val="auto"/>
          <w:spacing w:val="0"/>
          <w:w w:val="100"/>
          <w:kern w:val="0"/>
          <w:position w:val="0"/>
          <w:sz w:val="24"/>
          <w:highlight w:val="none"/>
          <w:u w:val="none" w:color="auto"/>
        </w:rPr>
        <w:t>（</w:t>
      </w:r>
      <w:r>
        <w:rPr>
          <w:rFonts w:hint="default" w:ascii="Times New Roman" w:hAnsi="Times New Roman" w:eastAsia="宋体" w:cs="Times New Roman"/>
          <w:b/>
          <w:bCs/>
          <w:color w:val="auto"/>
          <w:spacing w:val="0"/>
          <w:w w:val="100"/>
          <w:kern w:val="0"/>
          <w:position w:val="0"/>
          <w:sz w:val="24"/>
          <w:highlight w:val="none"/>
          <w:u w:val="none" w:color="auto"/>
          <w:lang w:val="en-US" w:eastAsia="zh-CN"/>
        </w:rPr>
        <w:t>4</w:t>
      </w:r>
      <w:r>
        <w:rPr>
          <w:rFonts w:hint="default" w:ascii="Times New Roman" w:hAnsi="Times New Roman" w:eastAsia="宋体" w:cs="Times New Roman"/>
          <w:b/>
          <w:bCs/>
          <w:color w:val="auto"/>
          <w:spacing w:val="0"/>
          <w:w w:val="100"/>
          <w:kern w:val="0"/>
          <w:position w:val="0"/>
          <w:sz w:val="24"/>
          <w:highlight w:val="none"/>
          <w:u w:val="none" w:color="auto"/>
        </w:rPr>
        <w:t>）与</w:t>
      </w:r>
      <w:r>
        <w:rPr>
          <w:rFonts w:hint="default" w:ascii="Times New Roman" w:hAnsi="Times New Roman" w:eastAsia="宋体" w:cs="Times New Roman"/>
          <w:b/>
          <w:bCs/>
          <w:color w:val="auto"/>
          <w:spacing w:val="0"/>
          <w:w w:val="100"/>
          <w:kern w:val="0"/>
          <w:position w:val="0"/>
          <w:sz w:val="24"/>
          <w:highlight w:val="none"/>
          <w:u w:val="none" w:color="auto"/>
          <w:lang w:eastAsia="zh-CN"/>
        </w:rPr>
        <w:t>《</w:t>
      </w:r>
      <w:r>
        <w:rPr>
          <w:rFonts w:hint="default" w:ascii="Times New Roman" w:hAnsi="Times New Roman" w:eastAsia="宋体" w:cs="Times New Roman"/>
          <w:b/>
          <w:bCs/>
          <w:color w:val="auto"/>
          <w:spacing w:val="0"/>
          <w:w w:val="100"/>
          <w:kern w:val="0"/>
          <w:position w:val="0"/>
          <w:sz w:val="24"/>
          <w:highlight w:val="none"/>
          <w:u w:val="none" w:color="auto"/>
        </w:rPr>
        <w:t>中华人民共和国森林法</w:t>
      </w:r>
      <w:r>
        <w:rPr>
          <w:rFonts w:hint="default" w:ascii="Times New Roman" w:hAnsi="Times New Roman" w:eastAsia="宋体" w:cs="Times New Roman"/>
          <w:b/>
          <w:bCs/>
          <w:color w:val="auto"/>
          <w:spacing w:val="0"/>
          <w:w w:val="100"/>
          <w:kern w:val="0"/>
          <w:position w:val="0"/>
          <w:sz w:val="24"/>
          <w:highlight w:val="none"/>
          <w:u w:val="none" w:color="auto"/>
          <w:lang w:eastAsia="zh-CN"/>
        </w:rPr>
        <w:t>》、《湖南省森林公园条例》</w:t>
      </w:r>
      <w:r>
        <w:rPr>
          <w:rFonts w:hint="default" w:ascii="Times New Roman" w:hAnsi="Times New Roman" w:eastAsia="宋体" w:cs="Times New Roman"/>
          <w:b/>
          <w:bCs/>
          <w:color w:val="auto"/>
          <w:spacing w:val="0"/>
          <w:w w:val="100"/>
          <w:kern w:val="0"/>
          <w:position w:val="0"/>
          <w:sz w:val="24"/>
          <w:highlight w:val="none"/>
          <w:u w:val="none" w:color="auto"/>
        </w:rPr>
        <w:t>的符合性</w:t>
      </w:r>
      <w:r>
        <w:rPr>
          <w:rFonts w:hint="default" w:ascii="Times New Roman" w:hAnsi="Times New Roman" w:eastAsia="宋体" w:cs="Times New Roman"/>
          <w:b/>
          <w:bCs/>
          <w:color w:val="auto"/>
          <w:spacing w:val="0"/>
          <w:w w:val="100"/>
          <w:kern w:val="0"/>
          <w:position w:val="0"/>
          <w:sz w:val="24"/>
          <w:highlight w:val="none"/>
          <w:u w:val="none" w:color="auto"/>
          <w:lang w:eastAsia="zh-CN"/>
        </w:rPr>
        <w:t>分析</w:t>
      </w:r>
    </w:p>
    <w:p w14:paraId="3383D84D">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lang w:val="en-US" w:eastAsia="zh-CN"/>
        </w:rPr>
      </w:pPr>
      <w:r>
        <w:rPr>
          <w:rFonts w:hint="default" w:ascii="Times New Roman" w:hAnsi="Times New Roman" w:eastAsia="宋体" w:cs="Times New Roman"/>
          <w:color w:val="auto"/>
          <w:spacing w:val="0"/>
          <w:w w:val="100"/>
          <w:kern w:val="0"/>
          <w:position w:val="0"/>
          <w:sz w:val="24"/>
          <w:highlight w:val="none"/>
          <w:u w:val="none" w:color="auto"/>
          <w:lang w:val="en-US" w:eastAsia="zh-CN"/>
        </w:rPr>
        <w:t>根据《中华人民共和国森林法》，第三十九条 禁止毁林开垦、采石、采砂、采土以及其他毁坏林木和林地的行为。禁止向林地排放重金属或者其他有毒有害物质含量超标的污水、污泥，以及可能造成林地污染的清淤底泥、尾矿、矿渣等。禁止在幼林地砍柴、毁苗、放牧。禁止擅自移动或者损坏森林保护标志。第四十九条 国家对公益林实施严格保护......第五十五条 采伐森林、林木应当遵守下列规定：(一)公益林只能进行抚育、更新和低质低效林改造性质的采伐。但是，因科研或者实验、防治林业有害生物、建设护林防火设施、营造生物防火隔离带、遭受自然灾害等需要采伐的除外......</w:t>
      </w:r>
    </w:p>
    <w:p w14:paraId="57F177CF">
      <w:pPr>
        <w:autoSpaceDE w:val="0"/>
        <w:autoSpaceDN w:val="0"/>
        <w:adjustRightInd w:val="0"/>
        <w:snapToGrid w:val="0"/>
        <w:spacing w:line="360" w:lineRule="auto"/>
        <w:ind w:firstLine="480" w:firstLineChars="200"/>
        <w:rPr>
          <w:rFonts w:hint="default" w:ascii="Times New Roman" w:hAnsi="Times New Roman" w:eastAsia="微软雅黑" w:cs="Times New Roman"/>
          <w:i w:val="0"/>
          <w:iCs w:val="0"/>
          <w:caps w:val="0"/>
          <w:color w:val="333333"/>
          <w:spacing w:val="0"/>
          <w:w w:val="100"/>
          <w:position w:val="0"/>
          <w:sz w:val="19"/>
          <w:szCs w:val="19"/>
        </w:rPr>
      </w:pPr>
      <w:r>
        <w:rPr>
          <w:rFonts w:hint="default" w:ascii="Times New Roman" w:hAnsi="Times New Roman" w:eastAsia="宋体" w:cs="Times New Roman"/>
          <w:color w:val="auto"/>
          <w:spacing w:val="0"/>
          <w:w w:val="100"/>
          <w:kern w:val="0"/>
          <w:position w:val="0"/>
          <w:sz w:val="24"/>
          <w:highlight w:val="none"/>
          <w:u w:val="none" w:color="auto"/>
          <w:lang w:val="en-US" w:eastAsia="zh-CN"/>
        </w:rPr>
        <w:t>根据《湖南省森林公园条例》</w:t>
      </w:r>
      <w:r>
        <w:rPr>
          <w:rFonts w:hint="default" w:ascii="Times New Roman" w:hAnsi="Times New Roman" w:eastAsia="宋体" w:cs="Times New Roman"/>
          <w:color w:val="auto"/>
          <w:spacing w:val="0"/>
          <w:w w:val="100"/>
          <w:kern w:val="0"/>
          <w:position w:val="0"/>
          <w:sz w:val="24"/>
          <w:highlight w:val="none"/>
          <w:u w:val="none" w:color="auto"/>
        </w:rPr>
        <w:t xml:space="preserve">第十九条 森林公园内的林木，除经依法批准进行抚育性或者更新性采伐外，禁止采伐。第二十九条 在森林公园内禁止下列行为：（一）进行房地产等项目开发，修建破坏景观、污染环境的工程设施，填堵自然水系；（二）采石、采砂、取土、采矿、放牧、围湖造地、建造坟墓、毁林开垦、毁损溶洞资源等破坏景观、植被和地形地貌的；（三）采伐或者擅自移植古树名木、珍稀植物；（四）猎捕、伤害野生动物或者妨碍野生动物生息繁衍；（五）在禁火区燃放孔明灯、吸烟和使用明火，在非指定区域生火烧烤、焚烧香烛、燃放烟花爆竹；（六）其他毁坏森林公园资源的行为。 </w:t>
      </w:r>
      <w:r>
        <w:rPr>
          <w:rFonts w:hint="default" w:ascii="Times New Roman" w:hAnsi="Times New Roman" w:eastAsia="宋体" w:cs="Times New Roman"/>
          <w:i w:val="0"/>
          <w:iCs w:val="0"/>
          <w:caps w:val="0"/>
          <w:color w:val="333333"/>
          <w:spacing w:val="0"/>
          <w:w w:val="100"/>
          <w:position w:val="0"/>
          <w:sz w:val="19"/>
          <w:szCs w:val="19"/>
          <w:shd w:val="clear" w:fill="FFFFFF"/>
        </w:rPr>
        <w:t>　</w:t>
      </w:r>
    </w:p>
    <w:p w14:paraId="22FDD59F">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lang w:eastAsia="zh-CN"/>
        </w:rPr>
      </w:pPr>
      <w:r>
        <w:rPr>
          <w:rFonts w:hint="default" w:ascii="Times New Roman" w:hAnsi="Times New Roman" w:eastAsia="宋体" w:cs="Times New Roman"/>
          <w:color w:val="auto"/>
          <w:spacing w:val="0"/>
          <w:w w:val="100"/>
          <w:kern w:val="0"/>
          <w:position w:val="0"/>
          <w:sz w:val="24"/>
          <w:highlight w:val="none"/>
          <w:u w:val="none" w:color="auto"/>
          <w:lang w:eastAsia="zh-CN"/>
        </w:rPr>
        <w:t>本</w:t>
      </w:r>
      <w:r>
        <w:rPr>
          <w:rFonts w:hint="default" w:ascii="Times New Roman" w:hAnsi="Times New Roman" w:eastAsia="宋体" w:cs="Times New Roman"/>
          <w:color w:val="auto"/>
          <w:spacing w:val="0"/>
          <w:w w:val="100"/>
          <w:kern w:val="0"/>
          <w:position w:val="0"/>
          <w:sz w:val="24"/>
          <w:highlight w:val="none"/>
          <w:u w:val="none" w:color="auto"/>
        </w:rPr>
        <w:t>工程</w:t>
      </w:r>
      <w:r>
        <w:rPr>
          <w:rFonts w:hint="default" w:ascii="Times New Roman" w:hAnsi="Times New Roman" w:eastAsia="宋体" w:cs="Times New Roman"/>
          <w:color w:val="auto"/>
          <w:spacing w:val="0"/>
          <w:w w:val="100"/>
          <w:kern w:val="0"/>
          <w:position w:val="0"/>
          <w:sz w:val="24"/>
          <w:highlight w:val="none"/>
          <w:u w:val="none" w:color="auto"/>
          <w:lang w:eastAsia="zh-CN"/>
        </w:rPr>
        <w:t>为东山水库除险加固工程，其永久工程位于湖南华容桃花山</w:t>
      </w:r>
      <w:r>
        <w:rPr>
          <w:rFonts w:hint="default" w:ascii="Times New Roman" w:hAnsi="Times New Roman" w:eastAsia="宋体" w:cs="Times New Roman"/>
          <w:color w:val="auto"/>
          <w:spacing w:val="0"/>
          <w:w w:val="100"/>
          <w:kern w:val="0"/>
          <w:position w:val="0"/>
          <w:sz w:val="24"/>
          <w:highlight w:val="none"/>
          <w:u w:val="none" w:color="auto"/>
        </w:rPr>
        <w:t>省级森林公园</w:t>
      </w:r>
      <w:r>
        <w:rPr>
          <w:rFonts w:hint="default" w:ascii="Times New Roman" w:hAnsi="Times New Roman" w:eastAsia="宋体" w:cs="Times New Roman"/>
          <w:color w:val="auto"/>
          <w:spacing w:val="0"/>
          <w:w w:val="100"/>
          <w:kern w:val="0"/>
          <w:position w:val="0"/>
          <w:sz w:val="24"/>
          <w:highlight w:val="none"/>
          <w:u w:val="none" w:color="auto"/>
          <w:lang w:eastAsia="zh-CN"/>
        </w:rPr>
        <w:t>范围内，临时工程占地不涉及森林公园林地，水库周边分布有桃花山生态公益林。本工程施工期在现有工程基础上进行加固，不涉及新增永久占地，施工用石、砂、混凝土等原料均为项目周边外购的合法原材料，不设取土场、采石场，因此本工程不涉及</w:t>
      </w:r>
      <w:r>
        <w:rPr>
          <w:rFonts w:hint="default" w:ascii="Times New Roman" w:hAnsi="Times New Roman" w:eastAsia="宋体" w:cs="Times New Roman"/>
          <w:color w:val="auto"/>
          <w:spacing w:val="0"/>
          <w:w w:val="100"/>
          <w:kern w:val="0"/>
          <w:position w:val="0"/>
          <w:sz w:val="24"/>
          <w:highlight w:val="none"/>
          <w:u w:val="none" w:color="auto"/>
          <w:lang w:val="en-US" w:eastAsia="zh-CN"/>
        </w:rPr>
        <w:t>毁林开垦、采石、采砂、采土以及其他毁坏林木和林地的行为</w:t>
      </w:r>
      <w:r>
        <w:rPr>
          <w:rFonts w:hint="default" w:ascii="Times New Roman" w:hAnsi="Times New Roman" w:eastAsia="宋体" w:cs="Times New Roman"/>
          <w:color w:val="auto"/>
          <w:spacing w:val="0"/>
          <w:w w:val="100"/>
          <w:kern w:val="0"/>
          <w:position w:val="0"/>
          <w:sz w:val="24"/>
          <w:highlight w:val="none"/>
          <w:u w:val="none" w:color="auto"/>
          <w:lang w:eastAsia="zh-CN"/>
        </w:rPr>
        <w:t>。</w:t>
      </w:r>
      <w:r>
        <w:rPr>
          <w:rFonts w:hint="default" w:ascii="Times New Roman" w:hAnsi="Times New Roman" w:eastAsia="宋体" w:cs="Times New Roman"/>
          <w:color w:val="auto"/>
          <w:spacing w:val="0"/>
          <w:w w:val="100"/>
          <w:kern w:val="0"/>
          <w:position w:val="0"/>
          <w:sz w:val="24"/>
          <w:u w:val="none" w:color="auto"/>
          <w:lang w:val="en-US" w:eastAsia="zh-CN"/>
        </w:rPr>
        <w:t>本工程施工期生产生活污水均不外</w:t>
      </w:r>
      <w:r>
        <w:rPr>
          <w:rFonts w:hint="default" w:ascii="Times New Roman" w:hAnsi="Times New Roman" w:eastAsia="宋体" w:cs="Times New Roman"/>
          <w:color w:val="auto"/>
          <w:spacing w:val="0"/>
          <w:w w:val="100"/>
          <w:kern w:val="0"/>
          <w:position w:val="0"/>
          <w:sz w:val="24"/>
          <w:szCs w:val="24"/>
          <w:u w:val="none" w:color="auto"/>
          <w:lang w:val="en-US" w:eastAsia="zh-CN"/>
        </w:rPr>
        <w:t>排，</w:t>
      </w:r>
      <w:r>
        <w:rPr>
          <w:rFonts w:hint="default" w:ascii="Times New Roman" w:hAnsi="Times New Roman" w:eastAsia="宋体" w:cs="Times New Roman"/>
          <w:color w:val="auto"/>
          <w:spacing w:val="0"/>
          <w:w w:val="100"/>
          <w:kern w:val="0"/>
          <w:position w:val="0"/>
          <w:sz w:val="24"/>
          <w:u w:val="none" w:color="auto"/>
          <w:lang w:val="en-US" w:eastAsia="zh-CN"/>
        </w:rPr>
        <w:t>施工弃渣、施工人员生活垃圾和建筑垃圾等及时清运处理，</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不涉及</w:t>
      </w:r>
      <w:r>
        <w:rPr>
          <w:rFonts w:hint="default" w:ascii="Times New Roman" w:hAnsi="Times New Roman" w:eastAsia="宋体" w:cs="Times New Roman"/>
          <w:color w:val="auto"/>
          <w:spacing w:val="0"/>
          <w:w w:val="100"/>
          <w:kern w:val="0"/>
          <w:position w:val="0"/>
          <w:sz w:val="24"/>
          <w:highlight w:val="none"/>
          <w:u w:val="none" w:color="auto"/>
          <w:lang w:val="en-US" w:eastAsia="zh-CN"/>
        </w:rPr>
        <w:t>向林地排放重金属或者其他有毒有害物质含量超标的污水、污泥，以及可能造成林地污染的清淤底泥、尾矿、矿渣等行为。建设方和施工单位应</w:t>
      </w:r>
      <w:r>
        <w:rPr>
          <w:rFonts w:hint="default" w:ascii="Times New Roman" w:hAnsi="Times New Roman" w:eastAsia="宋体" w:cs="Times New Roman"/>
          <w:color w:val="auto"/>
          <w:spacing w:val="0"/>
          <w:w w:val="100"/>
          <w:kern w:val="0"/>
          <w:position w:val="0"/>
          <w:sz w:val="24"/>
          <w:u w:val="none" w:color="auto"/>
          <w:lang w:val="en-US" w:eastAsia="zh-CN"/>
        </w:rPr>
        <w:t>加强施工期管理，</w:t>
      </w:r>
      <w:r>
        <w:rPr>
          <w:rFonts w:hint="default" w:ascii="Times New Roman" w:hAnsi="Times New Roman" w:eastAsia="宋体" w:cs="Times New Roman"/>
          <w:color w:val="auto"/>
          <w:spacing w:val="0"/>
          <w:w w:val="100"/>
          <w:kern w:val="0"/>
          <w:position w:val="0"/>
          <w:sz w:val="24"/>
          <w:highlight w:val="none"/>
          <w:u w:val="none" w:color="auto"/>
          <w:lang w:val="en-US" w:eastAsia="zh-CN"/>
        </w:rPr>
        <w:t>禁止擅自移动或者损坏森林保护标志，禁止采伐森林公园内及生态公益林的林木，禁止在幼林地砍柴、毁苗、放牧，禁止</w:t>
      </w:r>
      <w:r>
        <w:rPr>
          <w:rFonts w:hint="default" w:ascii="Times New Roman" w:hAnsi="Times New Roman" w:eastAsia="宋体" w:cs="Times New Roman"/>
          <w:color w:val="auto"/>
          <w:spacing w:val="0"/>
          <w:w w:val="100"/>
          <w:kern w:val="0"/>
          <w:position w:val="0"/>
          <w:sz w:val="24"/>
          <w:highlight w:val="none"/>
          <w:u w:val="none" w:color="auto"/>
        </w:rPr>
        <w:t>猎捕、伤害野生动物或者妨碍野生动物生息繁衍</w:t>
      </w:r>
      <w:r>
        <w:rPr>
          <w:rFonts w:hint="default" w:ascii="Times New Roman" w:hAnsi="Times New Roman" w:eastAsia="宋体" w:cs="Times New Roman"/>
          <w:color w:val="auto"/>
          <w:spacing w:val="0"/>
          <w:w w:val="100"/>
          <w:kern w:val="0"/>
          <w:position w:val="0"/>
          <w:sz w:val="24"/>
          <w:highlight w:val="none"/>
          <w:u w:val="none" w:color="auto"/>
          <w:lang w:eastAsia="zh-CN"/>
        </w:rPr>
        <w:t>行为，禁止</w:t>
      </w:r>
      <w:r>
        <w:rPr>
          <w:rFonts w:hint="default" w:ascii="Times New Roman" w:hAnsi="Times New Roman" w:eastAsia="宋体" w:cs="Times New Roman"/>
          <w:color w:val="auto"/>
          <w:spacing w:val="0"/>
          <w:w w:val="100"/>
          <w:kern w:val="0"/>
          <w:position w:val="0"/>
          <w:sz w:val="24"/>
          <w:highlight w:val="none"/>
          <w:u w:val="none" w:color="auto"/>
        </w:rPr>
        <w:t>在禁火区燃放孔明灯、吸烟和使用明火，在非指定区域生火烧烤、焚烧香烛、燃放烟花爆竹。</w:t>
      </w:r>
    </w:p>
    <w:p w14:paraId="73F08646">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lang w:eastAsia="zh-CN"/>
        </w:rPr>
        <w:t>华容县</w:t>
      </w:r>
      <w:r>
        <w:rPr>
          <w:rFonts w:hint="default" w:ascii="Times New Roman" w:hAnsi="Times New Roman" w:eastAsia="宋体" w:cs="Times New Roman"/>
          <w:color w:val="auto"/>
          <w:spacing w:val="0"/>
          <w:w w:val="100"/>
          <w:kern w:val="0"/>
          <w:position w:val="0"/>
          <w:sz w:val="24"/>
          <w:highlight w:val="none"/>
          <w:u w:val="none" w:color="auto"/>
        </w:rPr>
        <w:t>林业局以《关于</w:t>
      </w:r>
      <w:r>
        <w:rPr>
          <w:rFonts w:hint="default" w:ascii="Times New Roman" w:hAnsi="Times New Roman" w:eastAsia="宋体" w:cs="Times New Roman"/>
          <w:color w:val="auto"/>
          <w:spacing w:val="0"/>
          <w:w w:val="100"/>
          <w:kern w:val="0"/>
          <w:position w:val="0"/>
          <w:sz w:val="24"/>
          <w:highlight w:val="none"/>
          <w:u w:val="none" w:color="auto"/>
          <w:lang w:eastAsia="zh-CN"/>
        </w:rPr>
        <w:t>东山</w:t>
      </w:r>
      <w:r>
        <w:rPr>
          <w:rFonts w:hint="default" w:ascii="Times New Roman" w:hAnsi="Times New Roman" w:eastAsia="宋体" w:cs="Times New Roman"/>
          <w:color w:val="auto"/>
          <w:spacing w:val="0"/>
          <w:w w:val="100"/>
          <w:kern w:val="0"/>
          <w:position w:val="0"/>
          <w:sz w:val="24"/>
          <w:highlight w:val="none"/>
          <w:u w:val="none" w:color="auto"/>
        </w:rPr>
        <w:t>水库除险加固工程</w:t>
      </w:r>
      <w:r>
        <w:rPr>
          <w:rFonts w:hint="eastAsia" w:ascii="Times New Roman" w:hAnsi="Times New Roman" w:eastAsia="宋体" w:cs="Times New Roman"/>
          <w:color w:val="auto"/>
          <w:spacing w:val="0"/>
          <w:w w:val="100"/>
          <w:kern w:val="0"/>
          <w:position w:val="0"/>
          <w:sz w:val="24"/>
          <w:highlight w:val="none"/>
          <w:u w:val="none" w:color="auto"/>
          <w:lang w:eastAsia="zh-CN"/>
        </w:rPr>
        <w:t>建设请示的</w:t>
      </w:r>
      <w:r>
        <w:rPr>
          <w:rFonts w:hint="default" w:ascii="Times New Roman" w:hAnsi="Times New Roman" w:eastAsia="宋体" w:cs="Times New Roman"/>
          <w:color w:val="auto"/>
          <w:spacing w:val="0"/>
          <w:w w:val="100"/>
          <w:kern w:val="0"/>
          <w:position w:val="0"/>
          <w:sz w:val="24"/>
          <w:highlight w:val="none"/>
          <w:u w:val="none" w:color="auto"/>
        </w:rPr>
        <w:t>复函》</w:t>
      </w:r>
      <w:r>
        <w:rPr>
          <w:rFonts w:hint="default" w:ascii="Times New Roman" w:hAnsi="Times New Roman" w:eastAsia="宋体" w:cs="Times New Roman"/>
          <w:color w:val="auto"/>
          <w:spacing w:val="0"/>
          <w:w w:val="100"/>
          <w:kern w:val="0"/>
          <w:position w:val="0"/>
          <w:sz w:val="24"/>
          <w:highlight w:val="none"/>
          <w:u w:val="none" w:color="auto"/>
          <w:lang w:eastAsia="zh-CN"/>
        </w:rPr>
        <w:t>（附件</w:t>
      </w:r>
      <w:r>
        <w:rPr>
          <w:rFonts w:hint="eastAsia" w:ascii="Times New Roman" w:hAnsi="Times New Roman" w:eastAsia="宋体" w:cs="Times New Roman"/>
          <w:color w:val="auto"/>
          <w:spacing w:val="0"/>
          <w:w w:val="100"/>
          <w:kern w:val="0"/>
          <w:position w:val="0"/>
          <w:sz w:val="24"/>
          <w:highlight w:val="none"/>
          <w:u w:val="none" w:color="auto"/>
          <w:lang w:val="en-US" w:eastAsia="zh-CN"/>
        </w:rPr>
        <w:t>7</w:t>
      </w:r>
      <w:r>
        <w:rPr>
          <w:rFonts w:hint="default" w:ascii="Times New Roman" w:hAnsi="Times New Roman" w:eastAsia="宋体" w:cs="Times New Roman"/>
          <w:color w:val="auto"/>
          <w:spacing w:val="0"/>
          <w:w w:val="100"/>
          <w:kern w:val="0"/>
          <w:position w:val="0"/>
          <w:sz w:val="24"/>
          <w:highlight w:val="none"/>
          <w:u w:val="none" w:color="auto"/>
          <w:lang w:eastAsia="zh-CN"/>
        </w:rPr>
        <w:t>）同意工程建设；</w:t>
      </w:r>
      <w:r>
        <w:rPr>
          <w:rFonts w:hint="default" w:ascii="Times New Roman" w:hAnsi="Times New Roman" w:eastAsia="宋体" w:cs="Times New Roman"/>
          <w:bCs/>
          <w:color w:val="auto"/>
          <w:spacing w:val="0"/>
          <w:w w:val="100"/>
          <w:position w:val="0"/>
          <w:sz w:val="24"/>
          <w:szCs w:val="24"/>
        </w:rPr>
        <w:t>桃花山森林公园管理处</w:t>
      </w:r>
      <w:r>
        <w:rPr>
          <w:rFonts w:hint="default" w:ascii="Times New Roman" w:hAnsi="Times New Roman" w:eastAsia="宋体" w:cs="Times New Roman"/>
          <w:color w:val="auto"/>
          <w:spacing w:val="0"/>
          <w:w w:val="100"/>
          <w:kern w:val="0"/>
          <w:position w:val="0"/>
          <w:sz w:val="24"/>
          <w:highlight w:val="none"/>
          <w:u w:val="none" w:color="auto"/>
        </w:rPr>
        <w:t>以《关于</w:t>
      </w:r>
      <w:r>
        <w:rPr>
          <w:rFonts w:hint="eastAsia" w:ascii="Times New Roman" w:hAnsi="Times New Roman" w:eastAsia="宋体" w:cs="Times New Roman"/>
          <w:color w:val="auto"/>
          <w:spacing w:val="0"/>
          <w:w w:val="100"/>
          <w:kern w:val="0"/>
          <w:position w:val="0"/>
          <w:sz w:val="24"/>
          <w:highlight w:val="none"/>
          <w:u w:val="none" w:color="auto"/>
          <w:lang w:val="en-US" w:eastAsia="zh-CN"/>
        </w:rPr>
        <w:t>&lt;</w:t>
      </w:r>
      <w:r>
        <w:rPr>
          <w:rFonts w:hint="default" w:ascii="Times New Roman" w:hAnsi="Times New Roman" w:eastAsia="宋体" w:cs="Times New Roman"/>
          <w:color w:val="auto"/>
          <w:spacing w:val="0"/>
          <w:w w:val="100"/>
          <w:kern w:val="0"/>
          <w:position w:val="0"/>
          <w:sz w:val="24"/>
          <w:highlight w:val="none"/>
          <w:u w:val="none" w:color="auto"/>
        </w:rPr>
        <w:t>同意在华容县桃花山森林公园范围内开展华容县东山水库除险加固工程建设</w:t>
      </w:r>
      <w:r>
        <w:rPr>
          <w:rFonts w:hint="eastAsia" w:ascii="Times New Roman" w:hAnsi="Times New Roman" w:eastAsia="宋体" w:cs="Times New Roman"/>
          <w:color w:val="auto"/>
          <w:spacing w:val="0"/>
          <w:w w:val="100"/>
          <w:kern w:val="0"/>
          <w:position w:val="0"/>
          <w:sz w:val="24"/>
          <w:highlight w:val="none"/>
          <w:u w:val="none" w:color="auto"/>
          <w:lang w:val="en-US" w:eastAsia="zh-CN"/>
        </w:rPr>
        <w:t>&gt;</w:t>
      </w:r>
      <w:r>
        <w:rPr>
          <w:rFonts w:hint="default" w:ascii="Times New Roman" w:hAnsi="Times New Roman" w:eastAsia="宋体" w:cs="Times New Roman"/>
          <w:color w:val="auto"/>
          <w:spacing w:val="0"/>
          <w:w w:val="100"/>
          <w:kern w:val="0"/>
          <w:position w:val="0"/>
          <w:sz w:val="24"/>
          <w:highlight w:val="none"/>
          <w:u w:val="none" w:color="auto"/>
        </w:rPr>
        <w:t>的回复》</w:t>
      </w:r>
      <w:r>
        <w:rPr>
          <w:rFonts w:hint="default" w:ascii="Times New Roman" w:hAnsi="Times New Roman" w:eastAsia="宋体" w:cs="Times New Roman"/>
          <w:color w:val="auto"/>
          <w:spacing w:val="0"/>
          <w:w w:val="100"/>
          <w:kern w:val="0"/>
          <w:position w:val="0"/>
          <w:sz w:val="24"/>
          <w:highlight w:val="none"/>
          <w:u w:val="none" w:color="auto"/>
          <w:lang w:eastAsia="zh-CN"/>
        </w:rPr>
        <w:t>（附件</w:t>
      </w:r>
      <w:r>
        <w:rPr>
          <w:rFonts w:hint="eastAsia" w:ascii="Times New Roman" w:hAnsi="Times New Roman" w:eastAsia="宋体" w:cs="Times New Roman"/>
          <w:color w:val="auto"/>
          <w:spacing w:val="0"/>
          <w:w w:val="100"/>
          <w:kern w:val="0"/>
          <w:position w:val="0"/>
          <w:sz w:val="24"/>
          <w:highlight w:val="none"/>
          <w:u w:val="none" w:color="auto"/>
          <w:lang w:val="en-US" w:eastAsia="zh-CN"/>
        </w:rPr>
        <w:t>8</w:t>
      </w:r>
      <w:r>
        <w:rPr>
          <w:rFonts w:hint="default" w:ascii="Times New Roman" w:hAnsi="Times New Roman" w:eastAsia="宋体" w:cs="Times New Roman"/>
          <w:color w:val="auto"/>
          <w:spacing w:val="0"/>
          <w:w w:val="100"/>
          <w:kern w:val="0"/>
          <w:position w:val="0"/>
          <w:sz w:val="24"/>
          <w:highlight w:val="none"/>
          <w:u w:val="none" w:color="auto"/>
          <w:lang w:eastAsia="zh-CN"/>
        </w:rPr>
        <w:t>）</w:t>
      </w:r>
      <w:r>
        <w:rPr>
          <w:rFonts w:hint="default" w:ascii="Times New Roman" w:hAnsi="Times New Roman" w:eastAsia="宋体" w:cs="Times New Roman"/>
          <w:color w:val="auto"/>
          <w:spacing w:val="0"/>
          <w:w w:val="100"/>
          <w:kern w:val="0"/>
          <w:position w:val="0"/>
          <w:sz w:val="24"/>
          <w:highlight w:val="none"/>
          <w:u w:val="none" w:color="auto"/>
        </w:rPr>
        <w:t>同意工程建设。</w:t>
      </w:r>
    </w:p>
    <w:p w14:paraId="2EF17451">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rPr>
        <w:t>综上，本工程符合</w:t>
      </w:r>
      <w:r>
        <w:rPr>
          <w:rFonts w:hint="default" w:ascii="Times New Roman" w:hAnsi="Times New Roman" w:eastAsia="宋体" w:cs="Times New Roman"/>
          <w:color w:val="auto"/>
          <w:spacing w:val="0"/>
          <w:w w:val="100"/>
          <w:kern w:val="0"/>
          <w:position w:val="0"/>
          <w:sz w:val="24"/>
          <w:highlight w:val="none"/>
          <w:u w:val="none" w:color="auto"/>
          <w:lang w:eastAsia="zh-CN"/>
        </w:rPr>
        <w:t>《</w:t>
      </w:r>
      <w:r>
        <w:rPr>
          <w:rFonts w:hint="default" w:ascii="Times New Roman" w:hAnsi="Times New Roman" w:eastAsia="宋体" w:cs="Times New Roman"/>
          <w:color w:val="auto"/>
          <w:spacing w:val="0"/>
          <w:w w:val="100"/>
          <w:kern w:val="0"/>
          <w:position w:val="0"/>
          <w:sz w:val="24"/>
          <w:highlight w:val="none"/>
          <w:u w:val="none" w:color="auto"/>
        </w:rPr>
        <w:t>中华人民共和国森林法</w:t>
      </w:r>
      <w:r>
        <w:rPr>
          <w:rFonts w:hint="default" w:ascii="Times New Roman" w:hAnsi="Times New Roman" w:eastAsia="宋体" w:cs="Times New Roman"/>
          <w:color w:val="auto"/>
          <w:spacing w:val="0"/>
          <w:w w:val="100"/>
          <w:kern w:val="0"/>
          <w:position w:val="0"/>
          <w:sz w:val="24"/>
          <w:highlight w:val="none"/>
          <w:u w:val="none" w:color="auto"/>
          <w:lang w:eastAsia="zh-CN"/>
        </w:rPr>
        <w:t>》、《湖南省森林公园条例》</w:t>
      </w:r>
      <w:r>
        <w:rPr>
          <w:rFonts w:hint="default" w:ascii="Times New Roman" w:hAnsi="Times New Roman" w:eastAsia="宋体" w:cs="Times New Roman"/>
          <w:color w:val="auto"/>
          <w:spacing w:val="0"/>
          <w:w w:val="100"/>
          <w:kern w:val="0"/>
          <w:position w:val="0"/>
          <w:sz w:val="24"/>
          <w:highlight w:val="none"/>
          <w:u w:val="none" w:color="auto"/>
        </w:rPr>
        <w:t>相关规定。</w:t>
      </w:r>
    </w:p>
    <w:p w14:paraId="13ED6C5B">
      <w:pPr>
        <w:numPr>
          <w:ilvl w:val="0"/>
          <w:numId w:val="0"/>
        </w:num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spacing w:val="0"/>
          <w:w w:val="100"/>
          <w:kern w:val="0"/>
          <w:position w:val="0"/>
          <w:sz w:val="24"/>
          <w:highlight w:val="none"/>
          <w:u w:val="none" w:color="auto"/>
        </w:rPr>
      </w:pPr>
      <w:r>
        <w:rPr>
          <w:rFonts w:hint="default" w:ascii="Times New Roman" w:hAnsi="Times New Roman" w:eastAsia="宋体" w:cs="Times New Roman"/>
          <w:b/>
          <w:bCs/>
          <w:color w:val="auto"/>
          <w:spacing w:val="0"/>
          <w:w w:val="100"/>
          <w:kern w:val="0"/>
          <w:position w:val="0"/>
          <w:sz w:val="24"/>
          <w:u w:val="none" w:color="auto"/>
          <w:lang w:val="en-US" w:eastAsia="zh-CN"/>
        </w:rPr>
        <w:t>（5）</w:t>
      </w:r>
      <w:r>
        <w:rPr>
          <w:rFonts w:hint="default" w:ascii="Times New Roman" w:hAnsi="Times New Roman" w:eastAsia="宋体" w:cs="Times New Roman"/>
          <w:b/>
          <w:bCs/>
          <w:color w:val="auto"/>
          <w:spacing w:val="0"/>
          <w:w w:val="100"/>
          <w:kern w:val="0"/>
          <w:position w:val="0"/>
          <w:sz w:val="24"/>
          <w:highlight w:val="none"/>
          <w:u w:val="none" w:color="auto"/>
        </w:rPr>
        <w:t>与《全国生态功能区划》</w:t>
      </w:r>
      <w:r>
        <w:rPr>
          <w:rFonts w:hint="default" w:ascii="Times New Roman" w:hAnsi="Times New Roman" w:eastAsia="宋体" w:cs="Times New Roman"/>
          <w:b/>
          <w:bCs/>
          <w:color w:val="auto"/>
          <w:spacing w:val="0"/>
          <w:w w:val="100"/>
          <w:kern w:val="0"/>
          <w:position w:val="0"/>
          <w:sz w:val="24"/>
          <w:highlight w:val="none"/>
          <w:u w:val="none" w:color="auto"/>
          <w:lang w:eastAsia="zh-CN"/>
        </w:rPr>
        <w:t>、</w:t>
      </w:r>
      <w:r>
        <w:rPr>
          <w:rFonts w:hint="default" w:ascii="Times New Roman" w:hAnsi="Times New Roman" w:eastAsia="宋体" w:cs="Times New Roman"/>
          <w:b/>
          <w:bCs/>
          <w:color w:val="auto"/>
          <w:spacing w:val="0"/>
          <w:w w:val="100"/>
          <w:kern w:val="0"/>
          <w:position w:val="0"/>
          <w:sz w:val="24"/>
          <w:highlight w:val="none"/>
          <w:u w:val="none" w:color="auto"/>
          <w:lang w:val="en-US" w:eastAsia="zh-CN"/>
        </w:rPr>
        <w:t>《湖南省主体功能区划》</w:t>
      </w:r>
      <w:r>
        <w:rPr>
          <w:rFonts w:hint="default" w:ascii="Times New Roman" w:hAnsi="Times New Roman" w:eastAsia="宋体" w:cs="Times New Roman"/>
          <w:b/>
          <w:bCs/>
          <w:color w:val="auto"/>
          <w:spacing w:val="0"/>
          <w:w w:val="100"/>
          <w:kern w:val="0"/>
          <w:position w:val="0"/>
          <w:sz w:val="24"/>
          <w:highlight w:val="none"/>
          <w:u w:val="none" w:color="auto"/>
        </w:rPr>
        <w:t>的符合性</w:t>
      </w:r>
      <w:r>
        <w:rPr>
          <w:rFonts w:hint="default" w:ascii="Times New Roman" w:hAnsi="Times New Roman" w:eastAsia="宋体" w:cs="Times New Roman"/>
          <w:b/>
          <w:bCs/>
          <w:color w:val="auto"/>
          <w:spacing w:val="0"/>
          <w:w w:val="100"/>
          <w:kern w:val="0"/>
          <w:position w:val="0"/>
          <w:sz w:val="24"/>
          <w:highlight w:val="none"/>
          <w:u w:val="none" w:color="auto"/>
          <w:lang w:eastAsia="zh-CN"/>
        </w:rPr>
        <w:t>分析</w:t>
      </w:r>
      <w:r>
        <w:rPr>
          <w:rFonts w:hint="default" w:ascii="Times New Roman" w:hAnsi="Times New Roman" w:eastAsia="宋体" w:cs="Times New Roman"/>
          <w:b/>
          <w:bCs/>
          <w:color w:val="auto"/>
          <w:spacing w:val="0"/>
          <w:w w:val="100"/>
          <w:kern w:val="0"/>
          <w:position w:val="0"/>
          <w:sz w:val="24"/>
          <w:highlight w:val="none"/>
          <w:u w:val="none" w:color="auto"/>
        </w:rPr>
        <w:t xml:space="preserve"> </w:t>
      </w:r>
    </w:p>
    <w:p w14:paraId="244C8391">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lang w:eastAsia="zh-CN"/>
        </w:rPr>
      </w:pPr>
      <w:r>
        <w:rPr>
          <w:rFonts w:hint="default" w:ascii="Times New Roman" w:hAnsi="Times New Roman" w:eastAsia="宋体" w:cs="Times New Roman"/>
          <w:color w:val="auto"/>
          <w:spacing w:val="0"/>
          <w:w w:val="100"/>
          <w:kern w:val="0"/>
          <w:position w:val="0"/>
          <w:sz w:val="24"/>
          <w:highlight w:val="none"/>
          <w:u w:val="none" w:color="auto"/>
        </w:rPr>
        <w:t>①</w:t>
      </w:r>
      <w:r>
        <w:rPr>
          <w:rFonts w:hint="default" w:ascii="Times New Roman" w:hAnsi="Times New Roman" w:eastAsia="宋体" w:cs="Times New Roman"/>
          <w:color w:val="auto"/>
          <w:spacing w:val="0"/>
          <w:w w:val="100"/>
          <w:kern w:val="0"/>
          <w:position w:val="0"/>
          <w:sz w:val="24"/>
          <w:highlight w:val="none"/>
          <w:u w:val="none" w:color="auto"/>
          <w:lang w:eastAsia="zh-CN"/>
        </w:rPr>
        <w:t>与《全国生态功能区划》符合性</w:t>
      </w:r>
    </w:p>
    <w:p w14:paraId="5C406866">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lang w:val="en-US" w:eastAsia="zh-CN"/>
        </w:rPr>
      </w:pPr>
      <w:r>
        <w:rPr>
          <w:rFonts w:hint="default" w:ascii="Times New Roman" w:hAnsi="Times New Roman" w:eastAsia="宋体" w:cs="Times New Roman"/>
          <w:color w:val="auto"/>
          <w:spacing w:val="0"/>
          <w:w w:val="100"/>
          <w:kern w:val="0"/>
          <w:position w:val="0"/>
          <w:sz w:val="24"/>
          <w:highlight w:val="none"/>
          <w:u w:val="none" w:color="auto"/>
        </w:rPr>
        <w:t>根据《全国生态功能区划》（修编版），全国生态功能区划包括生态功能区242个，其中生态调节功能区148个、产品提供功能区63个，人居保障功能区31</w:t>
      </w:r>
      <w:r>
        <w:rPr>
          <w:rFonts w:hint="default" w:ascii="Times New Roman" w:hAnsi="Times New Roman" w:eastAsia="宋体" w:cs="Times New Roman"/>
          <w:color w:val="auto"/>
          <w:spacing w:val="0"/>
          <w:w w:val="100"/>
          <w:kern w:val="0"/>
          <w:position w:val="0"/>
          <w:sz w:val="24"/>
          <w:highlight w:val="none"/>
          <w:u w:val="none" w:color="auto"/>
          <w:lang w:val="en-US" w:eastAsia="zh-CN"/>
        </w:rPr>
        <w:t>个。</w:t>
      </w:r>
    </w:p>
    <w:p w14:paraId="6751693B">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lang w:val="en-US" w:eastAsia="zh-CN"/>
        </w:rPr>
      </w:pPr>
      <w:r>
        <w:rPr>
          <w:rFonts w:hint="default" w:ascii="Times New Roman" w:hAnsi="Times New Roman" w:eastAsia="宋体" w:cs="Times New Roman"/>
          <w:color w:val="auto"/>
          <w:spacing w:val="0"/>
          <w:w w:val="100"/>
          <w:kern w:val="0"/>
          <w:position w:val="0"/>
          <w:sz w:val="24"/>
          <w:highlight w:val="none"/>
          <w:u w:val="none" w:color="auto"/>
          <w:lang w:val="en-US" w:eastAsia="zh-CN"/>
        </w:rPr>
        <w:t xml:space="preserve">本工程位于湖南省岳阳市，属于《全国生态功能区划》划定的洪水调蓄功能区——洞庭湖洪水调蓄与生物多样性保护功能区。该区是长江中游的天然洪水调蓄库，对长江流域的生态安全具有十分重要的作用；同时还是我国重要的水产品生产区。此外，区域内洲滩及湿地植物发育，是迁徙鸟类重要的越冬地，对生物多样性保护具有重要意义。 </w:t>
      </w:r>
    </w:p>
    <w:p w14:paraId="46851ED7">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lang w:val="en-US" w:eastAsia="zh-CN"/>
        </w:rPr>
        <w:t>本工程为华容县东山水库除险加固工程，工程建设</w:t>
      </w:r>
      <w:r>
        <w:rPr>
          <w:rFonts w:hint="default" w:ascii="Times New Roman" w:hAnsi="Times New Roman" w:eastAsia="宋体" w:cs="Times New Roman"/>
          <w:color w:val="auto"/>
          <w:spacing w:val="0"/>
          <w:w w:val="100"/>
          <w:kern w:val="0"/>
          <w:position w:val="0"/>
          <w:sz w:val="24"/>
          <w:u w:val="none" w:color="auto"/>
          <w:lang w:val="en-US" w:eastAsia="zh-CN"/>
        </w:rPr>
        <w:t>有利于水库库容的维持和水库安全运行，有利于水库对洪水的调蓄作用，对</w:t>
      </w:r>
      <w:r>
        <w:rPr>
          <w:rFonts w:hint="default" w:ascii="Times New Roman" w:hAnsi="Times New Roman" w:eastAsia="宋体" w:cs="Times New Roman"/>
          <w:color w:val="auto"/>
          <w:spacing w:val="0"/>
          <w:w w:val="100"/>
          <w:kern w:val="0"/>
          <w:position w:val="0"/>
          <w:sz w:val="24"/>
          <w:highlight w:val="none"/>
          <w:u w:val="none" w:color="auto"/>
          <w:lang w:val="en-US" w:eastAsia="zh-CN"/>
        </w:rPr>
        <w:t>长江流域的生态安全取到积极作用。</w:t>
      </w:r>
      <w:r>
        <w:rPr>
          <w:rFonts w:hint="default" w:ascii="Times New Roman" w:hAnsi="Times New Roman" w:eastAsia="宋体" w:cs="Times New Roman"/>
          <w:color w:val="auto"/>
          <w:spacing w:val="0"/>
          <w:w w:val="100"/>
          <w:kern w:val="0"/>
          <w:position w:val="0"/>
          <w:sz w:val="24"/>
          <w:highlight w:val="none"/>
          <w:u w:val="none" w:color="auto"/>
          <w:lang w:eastAsia="zh-CN"/>
        </w:rPr>
        <w:t>本</w:t>
      </w:r>
      <w:r>
        <w:rPr>
          <w:rFonts w:hint="default" w:ascii="Times New Roman" w:hAnsi="Times New Roman" w:eastAsia="宋体" w:cs="Times New Roman"/>
          <w:color w:val="auto"/>
          <w:spacing w:val="0"/>
          <w:w w:val="100"/>
          <w:kern w:val="0"/>
          <w:position w:val="0"/>
          <w:sz w:val="24"/>
          <w:highlight w:val="none"/>
          <w:u w:val="none" w:color="auto"/>
        </w:rPr>
        <w:t>工程</w:t>
      </w:r>
      <w:r>
        <w:rPr>
          <w:rFonts w:hint="default" w:ascii="Times New Roman" w:hAnsi="Times New Roman" w:eastAsia="宋体" w:cs="Times New Roman"/>
          <w:color w:val="auto"/>
          <w:spacing w:val="0"/>
          <w:w w:val="100"/>
          <w:kern w:val="0"/>
          <w:position w:val="0"/>
          <w:sz w:val="24"/>
          <w:highlight w:val="none"/>
          <w:u w:val="none" w:color="auto"/>
          <w:lang w:eastAsia="zh-CN"/>
        </w:rPr>
        <w:t>对水源地的保护有利于保护区域生物多样性。综上，本工程</w:t>
      </w:r>
      <w:r>
        <w:rPr>
          <w:rFonts w:hint="default" w:ascii="Times New Roman" w:hAnsi="Times New Roman" w:eastAsia="宋体" w:cs="Times New Roman"/>
          <w:color w:val="auto"/>
          <w:spacing w:val="0"/>
          <w:w w:val="100"/>
          <w:kern w:val="0"/>
          <w:position w:val="0"/>
          <w:sz w:val="24"/>
          <w:highlight w:val="none"/>
          <w:u w:val="none" w:color="auto"/>
        </w:rPr>
        <w:t>建设不会破坏原有生态功能，项目建设符合</w:t>
      </w:r>
      <w:r>
        <w:rPr>
          <w:rFonts w:hint="default" w:ascii="Times New Roman" w:hAnsi="Times New Roman" w:eastAsia="宋体" w:cs="Times New Roman"/>
          <w:color w:val="auto"/>
          <w:spacing w:val="0"/>
          <w:w w:val="100"/>
          <w:kern w:val="0"/>
          <w:position w:val="0"/>
          <w:sz w:val="24"/>
          <w:highlight w:val="none"/>
          <w:u w:val="none" w:color="auto"/>
          <w:lang w:eastAsia="zh-CN"/>
        </w:rPr>
        <w:t>全国</w:t>
      </w:r>
      <w:r>
        <w:rPr>
          <w:rFonts w:hint="default" w:ascii="Times New Roman" w:hAnsi="Times New Roman" w:eastAsia="宋体" w:cs="Times New Roman"/>
          <w:color w:val="auto"/>
          <w:spacing w:val="0"/>
          <w:w w:val="100"/>
          <w:kern w:val="0"/>
          <w:position w:val="0"/>
          <w:sz w:val="24"/>
          <w:highlight w:val="none"/>
          <w:u w:val="none" w:color="auto"/>
        </w:rPr>
        <w:t>生态功能区划要求。</w:t>
      </w:r>
    </w:p>
    <w:p w14:paraId="7C55A005">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lang w:val="en-US" w:eastAsia="zh-CN"/>
        </w:rPr>
      </w:pPr>
      <w:r>
        <w:rPr>
          <w:rFonts w:hint="default" w:ascii="Times New Roman" w:hAnsi="Times New Roman" w:eastAsia="宋体" w:cs="Times New Roman"/>
          <w:color w:val="auto"/>
          <w:spacing w:val="0"/>
          <w:w w:val="100"/>
          <w:kern w:val="0"/>
          <w:position w:val="0"/>
          <w:sz w:val="24"/>
          <w:highlight w:val="none"/>
          <w:u w:val="none" w:color="auto"/>
          <w:lang w:val="en-US" w:eastAsia="zh-CN"/>
        </w:rPr>
        <w:t>②与《湖南省主体功能区规划》符合性分析</w:t>
      </w:r>
    </w:p>
    <w:p w14:paraId="59E5C516">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lang w:val="en-US" w:eastAsia="zh-CN"/>
        </w:rPr>
        <w:t>2012年，湖南省人民政府公布实施了《湖南省主体功能区规划》。项目位于华容县东山镇，根据《湖南省主体功能区规划》，项目工程区域所在桃花山省级森林公园属于湖南省主体功能区规划中“禁止开发区域（禁止进行工业化城镇化开发的特定区域）”，主要包括：各级各类自然保护区、风景名胜区、森林公园、地质公园、重要湿地、历史文化自然遗产、基本农田、蓄滞洪区、重要水源地等）”。禁止开发区功能定位：</w:t>
      </w:r>
      <w:r>
        <w:rPr>
          <w:rFonts w:hint="default" w:ascii="Times New Roman" w:hAnsi="Times New Roman" w:eastAsia="宋体" w:cs="Times New Roman"/>
          <w:color w:val="auto"/>
          <w:spacing w:val="0"/>
          <w:w w:val="100"/>
          <w:kern w:val="0"/>
          <w:position w:val="0"/>
          <w:sz w:val="24"/>
          <w:highlight w:val="none"/>
          <w:u w:val="none" w:color="auto"/>
        </w:rPr>
        <w:t>保护自然文化资源的重要区域，点状分布的重要生态功能区，珍贵动植物基因资源保护地，防洪减灾、确保流域安全的重要区域。管制原则</w:t>
      </w:r>
      <w:r>
        <w:rPr>
          <w:rFonts w:hint="default" w:ascii="Times New Roman" w:hAnsi="Times New Roman" w:eastAsia="宋体" w:cs="Times New Roman"/>
          <w:color w:val="auto"/>
          <w:spacing w:val="0"/>
          <w:w w:val="100"/>
          <w:kern w:val="0"/>
          <w:position w:val="0"/>
          <w:sz w:val="24"/>
          <w:highlight w:val="none"/>
          <w:u w:val="none" w:color="auto"/>
          <w:lang w:eastAsia="zh-CN"/>
        </w:rPr>
        <w:t>：</w:t>
      </w:r>
      <w:r>
        <w:rPr>
          <w:rFonts w:hint="default" w:ascii="Times New Roman" w:hAnsi="Times New Roman" w:eastAsia="宋体" w:cs="Times New Roman"/>
          <w:color w:val="auto"/>
          <w:spacing w:val="0"/>
          <w:w w:val="100"/>
          <w:kern w:val="0"/>
          <w:position w:val="0"/>
          <w:sz w:val="24"/>
          <w:highlight w:val="none"/>
          <w:u w:val="none" w:color="auto"/>
        </w:rPr>
        <w:t>依据法律法规和相关规划实行强制性保护，控制人为因素对自然生态和文化自然遗产原真性、完整性的干扰，严禁不符合主体功能定位的各类开发活动，引导人口逐步有序转移，实行污染物“零排放”，提高环境质量。</w:t>
      </w:r>
    </w:p>
    <w:p w14:paraId="2C55F9E9">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lang w:val="en-US" w:eastAsia="zh-CN"/>
        </w:rPr>
      </w:pPr>
      <w:r>
        <w:rPr>
          <w:rFonts w:hint="default" w:ascii="Times New Roman" w:hAnsi="Times New Roman" w:eastAsia="宋体" w:cs="Times New Roman"/>
          <w:color w:val="auto"/>
          <w:spacing w:val="0"/>
          <w:w w:val="100"/>
          <w:kern w:val="0"/>
          <w:position w:val="0"/>
          <w:sz w:val="24"/>
          <w:highlight w:val="none"/>
          <w:u w:val="none" w:color="auto"/>
          <w:lang w:val="en-US" w:eastAsia="zh-CN"/>
        </w:rPr>
        <w:t>本项目属于水库除险加固工程，项目实施后有利于保障水库安全运行，对区域防洪减灾、确保流域安全具有重要意义。本工程实施不可避让桃花山省级森林公园，但不属于工业化城镇化开发活动，施工期将加强管理，尽量减少</w:t>
      </w:r>
      <w:r>
        <w:rPr>
          <w:rFonts w:hint="default" w:ascii="Times New Roman" w:hAnsi="Times New Roman" w:eastAsia="宋体" w:cs="Times New Roman"/>
          <w:color w:val="auto"/>
          <w:spacing w:val="0"/>
          <w:w w:val="100"/>
          <w:kern w:val="0"/>
          <w:position w:val="0"/>
          <w:sz w:val="24"/>
          <w:highlight w:val="none"/>
          <w:u w:val="none" w:color="auto"/>
        </w:rPr>
        <w:t>人为因素对自然生态和文化自然遗产原真性、完整性的干扰</w:t>
      </w:r>
      <w:r>
        <w:rPr>
          <w:rFonts w:hint="default" w:ascii="Times New Roman" w:hAnsi="Times New Roman" w:eastAsia="宋体" w:cs="Times New Roman"/>
          <w:color w:val="auto"/>
          <w:spacing w:val="0"/>
          <w:w w:val="100"/>
          <w:kern w:val="0"/>
          <w:position w:val="0"/>
          <w:sz w:val="24"/>
          <w:highlight w:val="none"/>
          <w:u w:val="none" w:color="auto"/>
          <w:lang w:val="en-US" w:eastAsia="zh-CN"/>
        </w:rPr>
        <w:t>，符合湖南省主体功能区规划中禁止开发区域功能定位和管制原则要求，且本项目建设已获得华容县林业局和桃花山森林公园管理处的同意。</w:t>
      </w:r>
    </w:p>
    <w:p w14:paraId="367B4999">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lang w:val="en-US" w:eastAsia="zh-CN"/>
        </w:rPr>
        <w:t xml:space="preserve">综上所述，项目建设符合《湖南省主体功能区规划》相关要求。 </w:t>
      </w:r>
    </w:p>
    <w:p w14:paraId="53A23906">
      <w:p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spacing w:val="0"/>
          <w:w w:val="100"/>
          <w:kern w:val="0"/>
          <w:position w:val="0"/>
          <w:sz w:val="24"/>
          <w:highlight w:val="none"/>
          <w:u w:val="none" w:color="auto"/>
          <w:lang w:eastAsia="zh-CN"/>
        </w:rPr>
      </w:pPr>
      <w:r>
        <w:rPr>
          <w:rFonts w:hint="default" w:ascii="Times New Roman" w:hAnsi="Times New Roman" w:eastAsia="宋体" w:cs="Times New Roman"/>
          <w:b/>
          <w:bCs/>
          <w:color w:val="auto"/>
          <w:spacing w:val="0"/>
          <w:w w:val="100"/>
          <w:kern w:val="0"/>
          <w:position w:val="0"/>
          <w:sz w:val="24"/>
          <w:highlight w:val="none"/>
          <w:u w:val="none" w:color="auto"/>
        </w:rPr>
        <w:t>（</w:t>
      </w:r>
      <w:r>
        <w:rPr>
          <w:rFonts w:hint="default" w:ascii="Times New Roman" w:hAnsi="Times New Roman" w:eastAsia="宋体" w:cs="Times New Roman"/>
          <w:b/>
          <w:bCs/>
          <w:color w:val="auto"/>
          <w:spacing w:val="0"/>
          <w:w w:val="100"/>
          <w:kern w:val="0"/>
          <w:position w:val="0"/>
          <w:sz w:val="24"/>
          <w:highlight w:val="none"/>
          <w:u w:val="none" w:color="auto"/>
          <w:lang w:val="en-US" w:eastAsia="zh-CN"/>
        </w:rPr>
        <w:t>6</w:t>
      </w:r>
      <w:r>
        <w:rPr>
          <w:rFonts w:hint="default" w:ascii="Times New Roman" w:hAnsi="Times New Roman" w:eastAsia="宋体" w:cs="Times New Roman"/>
          <w:b/>
          <w:bCs/>
          <w:color w:val="auto"/>
          <w:spacing w:val="0"/>
          <w:w w:val="100"/>
          <w:kern w:val="0"/>
          <w:position w:val="0"/>
          <w:sz w:val="24"/>
          <w:highlight w:val="none"/>
          <w:u w:val="none" w:color="auto"/>
        </w:rPr>
        <w:t>）与《长江流域综合规划》《长江流域防洪规划》的符合性</w:t>
      </w:r>
      <w:r>
        <w:rPr>
          <w:rFonts w:hint="default" w:ascii="Times New Roman" w:hAnsi="Times New Roman" w:eastAsia="宋体" w:cs="Times New Roman"/>
          <w:b/>
          <w:bCs/>
          <w:color w:val="auto"/>
          <w:spacing w:val="0"/>
          <w:w w:val="100"/>
          <w:kern w:val="0"/>
          <w:position w:val="0"/>
          <w:sz w:val="24"/>
          <w:highlight w:val="none"/>
          <w:u w:val="none" w:color="auto"/>
          <w:lang w:eastAsia="zh-CN"/>
        </w:rPr>
        <w:t>分析</w:t>
      </w:r>
    </w:p>
    <w:p w14:paraId="5E6EAEEA">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rPr>
        <w:t>《长江流域综合规划（2012-2030年）》“4.1.6防洪规划方案”中提出“继续对病险水库（闸）进行除险加固。巩固大中型病险水库除险加固成果，加快小型病险水库除险加固步伐，尽快消除水库安全隐患，恢复防洪库容，增强洪水调控能力；推进大中型病险水闸除险加固”。</w:t>
      </w:r>
    </w:p>
    <w:p w14:paraId="65C0A530">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rPr>
        <w:t xml:space="preserve">《长江流域防洪规划》在长江中下游防洪总体布局中提出，病险水库一旦失事，将会给其下游带来巨大的人员死亡和财产损失的毁灭性灾害，对环境也将带来不可估量的影响，因此对病险水库应区分重要性，分期分批进行除险加固，尽快消除隐患，充分发挥防洪效益，保障人民生命财产安全。规划远期水平年（2025年）水库除险加固的任务是全面完成大、中型及重要小型水库的除险加固。 </w:t>
      </w:r>
    </w:p>
    <w:p w14:paraId="65114D38">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lang w:eastAsia="zh-CN"/>
        </w:rPr>
        <w:t>东山</w:t>
      </w:r>
      <w:r>
        <w:rPr>
          <w:rFonts w:hint="default" w:ascii="Times New Roman" w:hAnsi="Times New Roman" w:eastAsia="宋体" w:cs="Times New Roman"/>
          <w:color w:val="auto"/>
          <w:spacing w:val="0"/>
          <w:w w:val="100"/>
          <w:kern w:val="0"/>
          <w:position w:val="0"/>
          <w:sz w:val="24"/>
          <w:highlight w:val="none"/>
          <w:u w:val="none" w:color="auto"/>
        </w:rPr>
        <w:t>水库除险加固工程通过采取工程措施对大坝维修加固，旨在消除大坝安全隐患，保障水库和流域防洪安全，确保枢纽工程安全可靠运行，符合《长江流域综合规划》《长江流域防洪规划》相关要求。</w:t>
      </w:r>
    </w:p>
    <w:p w14:paraId="570518CE">
      <w:p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spacing w:val="0"/>
          <w:w w:val="100"/>
          <w:kern w:val="0"/>
          <w:position w:val="0"/>
          <w:sz w:val="24"/>
          <w:highlight w:val="none"/>
          <w:u w:val="none" w:color="auto"/>
        </w:rPr>
      </w:pPr>
      <w:r>
        <w:rPr>
          <w:rFonts w:hint="default" w:ascii="Times New Roman" w:hAnsi="Times New Roman" w:eastAsia="宋体" w:cs="Times New Roman"/>
          <w:b/>
          <w:bCs/>
          <w:color w:val="auto"/>
          <w:spacing w:val="0"/>
          <w:w w:val="100"/>
          <w:kern w:val="0"/>
          <w:position w:val="0"/>
          <w:sz w:val="24"/>
          <w:highlight w:val="none"/>
          <w:u w:val="none" w:color="auto"/>
        </w:rPr>
        <w:t>（</w:t>
      </w:r>
      <w:r>
        <w:rPr>
          <w:rFonts w:hint="default" w:ascii="Times New Roman" w:hAnsi="Times New Roman" w:eastAsia="宋体" w:cs="Times New Roman"/>
          <w:b/>
          <w:bCs/>
          <w:color w:val="auto"/>
          <w:spacing w:val="0"/>
          <w:w w:val="100"/>
          <w:kern w:val="0"/>
          <w:position w:val="0"/>
          <w:sz w:val="24"/>
          <w:highlight w:val="none"/>
          <w:u w:val="none" w:color="auto"/>
          <w:lang w:val="en-US" w:eastAsia="zh-CN"/>
        </w:rPr>
        <w:t>7</w:t>
      </w:r>
      <w:r>
        <w:rPr>
          <w:rFonts w:hint="default" w:ascii="Times New Roman" w:hAnsi="Times New Roman" w:eastAsia="宋体" w:cs="Times New Roman"/>
          <w:b/>
          <w:bCs/>
          <w:color w:val="auto"/>
          <w:spacing w:val="0"/>
          <w:w w:val="100"/>
          <w:kern w:val="0"/>
          <w:position w:val="0"/>
          <w:sz w:val="24"/>
          <w:highlight w:val="none"/>
          <w:u w:val="none" w:color="auto"/>
        </w:rPr>
        <w:t>）与《长江经济带生态环境保护规划》的符合性</w:t>
      </w:r>
    </w:p>
    <w:p w14:paraId="2F570105">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rPr>
        <w:t>《长江经济带生态环境保护规划》规划目标为，到2030年，干支流生态水量充足，水环境质量、空气质量和水生态质量全面改善，生态系统服务功能显著增强，生态环境更加美好。</w:t>
      </w:r>
    </w:p>
    <w:p w14:paraId="58DEF66C">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rPr>
        <w:t>分区保护重点为中游区要加强丹江口库区及上游地区、湘资沅中游、赣江中上游等区域的水土流失治理与生态修复，重点协调江湖关系，保护水生生态系统，维护生物多样性，恢复沿江沿岸湿地，确保水质安全，优化和规范沿江产业发展，管控土壤环境风险，引导湖北磷矿、湖南有色金属、江西稀土等资源合理开发。</w:t>
      </w:r>
    </w:p>
    <w:p w14:paraId="2C8359C8">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lang w:eastAsia="zh-CN"/>
        </w:rPr>
        <w:t>东山</w:t>
      </w:r>
      <w:r>
        <w:rPr>
          <w:rFonts w:hint="default" w:ascii="Times New Roman" w:hAnsi="Times New Roman" w:eastAsia="宋体" w:cs="Times New Roman"/>
          <w:color w:val="auto"/>
          <w:spacing w:val="0"/>
          <w:w w:val="100"/>
          <w:kern w:val="0"/>
          <w:position w:val="0"/>
          <w:sz w:val="24"/>
          <w:highlight w:val="none"/>
          <w:u w:val="none" w:color="auto"/>
        </w:rPr>
        <w:t>水库除险加固工程施工期生产生活污水</w:t>
      </w:r>
      <w:r>
        <w:rPr>
          <w:rFonts w:hint="default" w:ascii="Times New Roman" w:hAnsi="Times New Roman" w:eastAsia="宋体" w:cs="Times New Roman"/>
          <w:color w:val="auto"/>
          <w:spacing w:val="0"/>
          <w:w w:val="100"/>
          <w:kern w:val="0"/>
          <w:position w:val="0"/>
          <w:sz w:val="24"/>
          <w:highlight w:val="none"/>
          <w:u w:val="none" w:color="auto"/>
          <w:lang w:eastAsia="zh-CN"/>
        </w:rPr>
        <w:t>经</w:t>
      </w:r>
      <w:r>
        <w:rPr>
          <w:rFonts w:hint="default" w:ascii="Times New Roman" w:hAnsi="Times New Roman" w:eastAsia="宋体" w:cs="Times New Roman"/>
          <w:color w:val="auto"/>
          <w:spacing w:val="0"/>
          <w:w w:val="100"/>
          <w:kern w:val="0"/>
          <w:position w:val="0"/>
          <w:sz w:val="24"/>
          <w:highlight w:val="none"/>
          <w:u w:val="none" w:color="auto"/>
        </w:rPr>
        <w:t>处理后回用，工程建设对周围水环境影响较小，施工结束后采取生态恢复等措施，将对生态环境影响降至最低。综上，</w:t>
      </w:r>
      <w:r>
        <w:rPr>
          <w:rFonts w:hint="default" w:ascii="Times New Roman" w:hAnsi="Times New Roman" w:eastAsia="宋体" w:cs="Times New Roman"/>
          <w:color w:val="auto"/>
          <w:spacing w:val="0"/>
          <w:w w:val="100"/>
          <w:kern w:val="0"/>
          <w:position w:val="0"/>
          <w:sz w:val="24"/>
          <w:highlight w:val="none"/>
          <w:u w:val="none" w:color="auto"/>
          <w:lang w:eastAsia="zh-CN"/>
        </w:rPr>
        <w:t>东山</w:t>
      </w:r>
      <w:r>
        <w:rPr>
          <w:rFonts w:hint="default" w:ascii="Times New Roman" w:hAnsi="Times New Roman" w:eastAsia="宋体" w:cs="Times New Roman"/>
          <w:color w:val="auto"/>
          <w:spacing w:val="0"/>
          <w:w w:val="100"/>
          <w:kern w:val="0"/>
          <w:position w:val="0"/>
          <w:sz w:val="24"/>
          <w:highlight w:val="none"/>
          <w:u w:val="none" w:color="auto"/>
        </w:rPr>
        <w:t>水库除险加固工程总体符合《长江经济带生态环境保护规划》</w:t>
      </w:r>
      <w:r>
        <w:rPr>
          <w:rFonts w:hint="default" w:ascii="Times New Roman" w:hAnsi="Times New Roman" w:eastAsia="宋体" w:cs="Times New Roman"/>
          <w:color w:val="auto"/>
          <w:spacing w:val="0"/>
          <w:w w:val="100"/>
          <w:kern w:val="0"/>
          <w:position w:val="0"/>
          <w:sz w:val="24"/>
          <w:highlight w:val="none"/>
          <w:u w:val="none" w:color="auto"/>
          <w:lang w:eastAsia="zh-CN"/>
        </w:rPr>
        <w:t>相关</w:t>
      </w:r>
      <w:r>
        <w:rPr>
          <w:rFonts w:hint="default" w:ascii="Times New Roman" w:hAnsi="Times New Roman" w:eastAsia="宋体" w:cs="Times New Roman"/>
          <w:color w:val="auto"/>
          <w:spacing w:val="0"/>
          <w:w w:val="100"/>
          <w:kern w:val="0"/>
          <w:position w:val="0"/>
          <w:sz w:val="24"/>
          <w:highlight w:val="none"/>
          <w:u w:val="none" w:color="auto"/>
        </w:rPr>
        <w:t>要求。</w:t>
      </w:r>
    </w:p>
    <w:p w14:paraId="729C527A">
      <w:p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spacing w:val="0"/>
          <w:w w:val="100"/>
          <w:kern w:val="0"/>
          <w:position w:val="0"/>
          <w:sz w:val="24"/>
          <w:highlight w:val="none"/>
          <w:u w:val="none" w:color="auto"/>
          <w:lang w:val="en-US" w:eastAsia="zh-CN"/>
        </w:rPr>
      </w:pPr>
      <w:r>
        <w:rPr>
          <w:rFonts w:hint="default" w:ascii="Times New Roman" w:hAnsi="Times New Roman" w:eastAsia="宋体" w:cs="Times New Roman"/>
          <w:b/>
          <w:bCs/>
          <w:color w:val="auto"/>
          <w:spacing w:val="0"/>
          <w:w w:val="100"/>
          <w:kern w:val="0"/>
          <w:position w:val="0"/>
          <w:sz w:val="24"/>
          <w:highlight w:val="none"/>
          <w:u w:val="none" w:color="auto"/>
          <w:lang w:val="en-US" w:eastAsia="zh-CN"/>
        </w:rPr>
        <w:t xml:space="preserve">（8）与《湖南省“十四五”生态环境保护规划》的符合性分析 </w:t>
      </w:r>
    </w:p>
    <w:p w14:paraId="6F490143">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lang w:val="en-US" w:eastAsia="zh-CN"/>
        </w:rPr>
      </w:pPr>
      <w:r>
        <w:rPr>
          <w:rFonts w:hint="default" w:ascii="Times New Roman" w:hAnsi="Times New Roman" w:eastAsia="宋体" w:cs="Times New Roman"/>
          <w:color w:val="auto"/>
          <w:spacing w:val="0"/>
          <w:w w:val="100"/>
          <w:kern w:val="0"/>
          <w:position w:val="0"/>
          <w:sz w:val="24"/>
          <w:highlight w:val="none"/>
          <w:u w:val="none" w:color="auto"/>
          <w:lang w:val="en-US" w:eastAsia="zh-CN"/>
        </w:rPr>
        <w:t xml:space="preserve">湖南省生态环境厅于2021年9月30日发布《湖南省“十四五”生态环境保护规划》（湘政办发[2021]61号），《规划》提出：“三、致力绿色低碳循环发展（一）优化国土空间保护格局。强化国土空间分区管控。统筹划定生态保护红线、永久基本农田和城镇开发边界三条控制线，合理安排生产、生活、生态空间，形成科学适度有序的国土空间布局体系，减少人类活动对自然空间的占用。生态保护红线内，自然保护地核心区原则上禁止人为活动，其他区域严禁开发性、生产性建设活动，在符合现行法律法规前提下，除国家重大战略项目外，仅允许对生态功能不造成破坏的有限人为活动，确保生态功能不降低、面积不减少、性质不改变。促进区域绿色发展。保障“一江一湖三山四水”生态安全，推动“长株潭、洞庭湖、湘南、大湘西”区域协调发展。洞庭湖区域突出抓好农业结构升级，减少农业面源污染，优化化工产业布局，提升水环境容量，加强湿地生物多样性保护。”“五、加强生态系统保护修复（一）构筑省域生态安全格局。筑牢生态安全屏障。加强“一江一湖三山四水”重要生态功能区域保护，统筹推进山水林田湖草沙系统保护修复。保障长江岸线、洞庭湖区域洪水调蓄、水源涵养、气候调节和生物多样性保护等生态功能，推动长江及其岸线生态恢复、洞庭湖及其内湖湿地生态系统修复，打造长江绿色生态廊道，改善江湖连通性，提升生态系统稳定性和生态服务功能，保护江豚、候鸟等珍稀濒危和区域代表性野生动植物栖息地及迁徙路线。” </w:t>
      </w:r>
    </w:p>
    <w:p w14:paraId="3A752507">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lang w:val="en-US" w:eastAsia="zh-CN"/>
        </w:rPr>
      </w:pPr>
      <w:r>
        <w:rPr>
          <w:rFonts w:hint="default" w:ascii="Times New Roman" w:hAnsi="Times New Roman" w:eastAsia="宋体" w:cs="Times New Roman"/>
          <w:color w:val="auto"/>
          <w:spacing w:val="0"/>
          <w:w w:val="100"/>
          <w:kern w:val="0"/>
          <w:position w:val="0"/>
          <w:sz w:val="24"/>
          <w:highlight w:val="none"/>
          <w:u w:val="none" w:color="auto"/>
          <w:lang w:val="en-US" w:eastAsia="zh-CN"/>
        </w:rPr>
        <w:t>本项目为东山水库除险加固工程，根据本项目“三区三线套合图”（附图），项目永久工程位于生态保护红线范围（临时工程不涉及），永久工程和临时工程均不涉及城镇开发边界和永久基本农田。本次除险加固工程虽然在生态保护红线，但属于自然资发〔2022〕142号所列“允许对生态功能不造成破坏的有限人为活动”。本工程实施有利于水库安全运行，施工期加强管理，严格控制施工范围和污染物排放，不会降低生态功能、减少面积、改变性质。东山水库是一座以灌溉为主，兼有防洪、供水等综合效益的中型水利工程，水库灌区灌溉面积3.1万亩。本工程的实施有利于保证下游3.5万亩农田生产，利于农业结构升级。本工程有利于水库洪水调蓄功能，对水源地的保护有利于生物多样性保护，对维护区域生态系统具有重要作用。</w:t>
      </w:r>
    </w:p>
    <w:p w14:paraId="29B1FA1A">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lang w:val="en-US" w:eastAsia="zh-CN"/>
        </w:rPr>
      </w:pPr>
      <w:r>
        <w:rPr>
          <w:rFonts w:hint="default" w:ascii="Times New Roman" w:hAnsi="Times New Roman" w:eastAsia="宋体" w:cs="Times New Roman"/>
          <w:color w:val="auto"/>
          <w:spacing w:val="0"/>
          <w:w w:val="100"/>
          <w:kern w:val="0"/>
          <w:position w:val="0"/>
          <w:sz w:val="24"/>
          <w:highlight w:val="none"/>
          <w:u w:val="none" w:color="auto"/>
          <w:lang w:val="en-US" w:eastAsia="zh-CN"/>
        </w:rPr>
        <w:t>综上，本工程符合《湖南省“十四五”生态环境保护规划》相关要求。</w:t>
      </w:r>
    </w:p>
    <w:p w14:paraId="0A739251">
      <w:p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spacing w:val="0"/>
          <w:w w:val="100"/>
          <w:kern w:val="0"/>
          <w:position w:val="0"/>
          <w:sz w:val="24"/>
          <w:highlight w:val="none"/>
          <w:u w:val="none" w:color="auto"/>
          <w:lang w:val="en-US" w:eastAsia="zh-CN"/>
        </w:rPr>
      </w:pPr>
      <w:r>
        <w:rPr>
          <w:rFonts w:hint="default" w:ascii="Times New Roman" w:hAnsi="Times New Roman" w:eastAsia="宋体" w:cs="Times New Roman"/>
          <w:b/>
          <w:bCs/>
          <w:color w:val="auto"/>
          <w:spacing w:val="0"/>
          <w:w w:val="100"/>
          <w:kern w:val="0"/>
          <w:position w:val="0"/>
          <w:sz w:val="24"/>
          <w:highlight w:val="none"/>
          <w:u w:val="none" w:color="auto"/>
          <w:lang w:val="en-US" w:eastAsia="zh-CN"/>
        </w:rPr>
        <w:t>（9）与《岳阳市“十四五”水资源配置规划》的符合性分析</w:t>
      </w:r>
    </w:p>
    <w:p w14:paraId="6546D840">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lang w:val="en-US" w:eastAsia="zh-CN"/>
        </w:rPr>
      </w:pPr>
      <w:r>
        <w:rPr>
          <w:rFonts w:hint="default" w:ascii="Times New Roman" w:hAnsi="Times New Roman" w:eastAsia="宋体" w:cs="Times New Roman"/>
          <w:color w:val="auto"/>
          <w:spacing w:val="0"/>
          <w:w w:val="100"/>
          <w:kern w:val="0"/>
          <w:position w:val="0"/>
          <w:sz w:val="24"/>
          <w:highlight w:val="none"/>
          <w:u w:val="none" w:color="auto"/>
          <w:lang w:val="en-US" w:eastAsia="zh-CN"/>
        </w:rPr>
        <w:t>根据长江勘测规划设计研究有限责任公司2021年编制的《岳阳市“十四五”水资源配置规划》，规划提出：二、实施防洪提升工程，保障防洪安全—6、持续推进病险水库（闸）及山塘除险加固工程，对全市病险水库进行除险加固，重点完成铁山水库和燎原、兰家洞、赛美、</w:t>
      </w:r>
      <w:r>
        <w:rPr>
          <w:rFonts w:hint="default" w:ascii="Times New Roman" w:hAnsi="Times New Roman" w:eastAsia="宋体" w:cs="Times New Roman"/>
          <w:b/>
          <w:bCs/>
          <w:color w:val="auto"/>
          <w:spacing w:val="0"/>
          <w:w w:val="100"/>
          <w:kern w:val="0"/>
          <w:position w:val="0"/>
          <w:sz w:val="24"/>
          <w:highlight w:val="none"/>
          <w:u w:val="single" w:color="auto"/>
          <w:lang w:val="en-US" w:eastAsia="zh-CN"/>
        </w:rPr>
        <w:t>东山</w:t>
      </w:r>
      <w:r>
        <w:rPr>
          <w:rFonts w:hint="default" w:ascii="Times New Roman" w:hAnsi="Times New Roman" w:eastAsia="宋体" w:cs="Times New Roman"/>
          <w:color w:val="auto"/>
          <w:spacing w:val="0"/>
          <w:w w:val="100"/>
          <w:kern w:val="0"/>
          <w:position w:val="0"/>
          <w:sz w:val="24"/>
          <w:highlight w:val="none"/>
          <w:u w:val="none" w:color="auto"/>
          <w:lang w:val="en-US" w:eastAsia="zh-CN"/>
        </w:rPr>
        <w:t>、岳坊、金凤、汨罗、双花、兰桥、团湾、北汊、九峰、向家洞、秋湖、白水、大江洞、徐家洞、黄金堰等18座中型病险水库除险加固，有序开展500余座小型病险水库除险加固；推进病险水闸除险加固，重点实施完成返修河水闸、龙须坝水闸、杨树坝水闸、营田闸、青潭垸泄洪闸、中洲垸六门闸、东风湖电排站、南津港电排站、鸭栏泄水闸、双江坝水闸、狮形山水闸、调弦口水闸等12座骨干水闸除险加固工程；加强水库和水闸安全监控，定期开展水闸、水库安全鉴定，对新出险的水库和水闸，鉴定1处实施1处，及时消除隐患。持续开展山塘整治工程，消除病险山塘安全隐患。</w:t>
      </w:r>
    </w:p>
    <w:p w14:paraId="6960DA64">
      <w:pPr>
        <w:pStyle w:val="105"/>
        <w:spacing w:line="360" w:lineRule="auto"/>
        <w:rPr>
          <w:rFonts w:hint="default" w:ascii="Times New Roman" w:hAnsi="Times New Roman" w:cs="Times New Roman"/>
          <w:color w:val="000000" w:themeColor="text1"/>
          <w:spacing w:val="0"/>
          <w:w w:val="100"/>
          <w:position w:val="0"/>
          <w:u w:val="none" w:color="auto"/>
          <w:lang w:val="en-US" w:eastAsia="zh-CN"/>
          <w14:textFill>
            <w14:solidFill>
              <w14:schemeClr w14:val="tx1"/>
            </w14:solidFill>
          </w14:textFill>
        </w:rPr>
      </w:pPr>
      <w:r>
        <w:rPr>
          <w:rFonts w:hint="default" w:ascii="Times New Roman" w:hAnsi="Times New Roman" w:cs="Times New Roman"/>
          <w:color w:val="000000" w:themeColor="text1"/>
          <w:spacing w:val="0"/>
          <w:w w:val="100"/>
          <w:position w:val="0"/>
          <w:u w:val="none" w:color="auto"/>
          <w:lang w:eastAsia="zh-CN"/>
          <w14:textFill>
            <w14:solidFill>
              <w14:schemeClr w14:val="tx1"/>
            </w14:solidFill>
          </w14:textFill>
        </w:rPr>
        <w:t>本项目为规划中提到的东山水库除险加固工程，因此本项目与《岳阳市“十四五”水资源配置规划》相符。</w:t>
      </w:r>
    </w:p>
    <w:p w14:paraId="6D13C7C8">
      <w:p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spacing w:val="0"/>
          <w:w w:val="100"/>
          <w:kern w:val="0"/>
          <w:position w:val="0"/>
          <w:sz w:val="24"/>
          <w:highlight w:val="none"/>
          <w:u w:val="none" w:color="auto"/>
          <w:lang w:eastAsia="zh-CN"/>
        </w:rPr>
      </w:pPr>
      <w:r>
        <w:rPr>
          <w:rFonts w:hint="default" w:ascii="Times New Roman" w:hAnsi="Times New Roman" w:eastAsia="宋体" w:cs="Times New Roman"/>
          <w:b/>
          <w:bCs/>
          <w:color w:val="auto"/>
          <w:spacing w:val="0"/>
          <w:w w:val="100"/>
          <w:kern w:val="0"/>
          <w:position w:val="0"/>
          <w:sz w:val="24"/>
          <w:highlight w:val="none"/>
          <w:u w:val="none" w:color="auto"/>
          <w:lang w:eastAsia="zh-CN"/>
        </w:rPr>
        <w:t>（</w:t>
      </w:r>
      <w:r>
        <w:rPr>
          <w:rFonts w:hint="default" w:ascii="Times New Roman" w:hAnsi="Times New Roman" w:eastAsia="宋体" w:cs="Times New Roman"/>
          <w:b/>
          <w:bCs/>
          <w:color w:val="auto"/>
          <w:spacing w:val="0"/>
          <w:w w:val="100"/>
          <w:kern w:val="0"/>
          <w:position w:val="0"/>
          <w:sz w:val="24"/>
          <w:highlight w:val="none"/>
          <w:u w:val="none" w:color="auto"/>
          <w:lang w:val="en-US" w:eastAsia="zh-CN"/>
        </w:rPr>
        <w:t>10</w:t>
      </w:r>
      <w:r>
        <w:rPr>
          <w:rFonts w:hint="default" w:ascii="Times New Roman" w:hAnsi="Times New Roman" w:eastAsia="宋体" w:cs="Times New Roman"/>
          <w:b/>
          <w:bCs/>
          <w:color w:val="auto"/>
          <w:spacing w:val="0"/>
          <w:w w:val="100"/>
          <w:kern w:val="0"/>
          <w:position w:val="0"/>
          <w:sz w:val="24"/>
          <w:highlight w:val="none"/>
          <w:u w:val="none" w:color="auto"/>
          <w:lang w:eastAsia="zh-CN"/>
        </w:rPr>
        <w:t>）与《湖南华容桃花山省级森林公园总体规划》（</w:t>
      </w:r>
      <w:r>
        <w:rPr>
          <w:rFonts w:hint="default" w:ascii="Times New Roman" w:hAnsi="Times New Roman" w:eastAsia="宋体" w:cs="Times New Roman"/>
          <w:b/>
          <w:bCs/>
          <w:color w:val="auto"/>
          <w:spacing w:val="0"/>
          <w:w w:val="100"/>
          <w:kern w:val="0"/>
          <w:position w:val="0"/>
          <w:sz w:val="24"/>
          <w:highlight w:val="none"/>
          <w:u w:val="none" w:color="auto"/>
          <w:lang w:val="en-US" w:eastAsia="zh-CN"/>
        </w:rPr>
        <w:t>2017-2025年</w:t>
      </w:r>
      <w:r>
        <w:rPr>
          <w:rFonts w:hint="default" w:ascii="Times New Roman" w:hAnsi="Times New Roman" w:eastAsia="宋体" w:cs="Times New Roman"/>
          <w:b/>
          <w:bCs/>
          <w:color w:val="auto"/>
          <w:spacing w:val="0"/>
          <w:w w:val="100"/>
          <w:kern w:val="0"/>
          <w:position w:val="0"/>
          <w:sz w:val="24"/>
          <w:highlight w:val="none"/>
          <w:u w:val="none" w:color="auto"/>
          <w:lang w:eastAsia="zh-CN"/>
        </w:rPr>
        <w:t>）符合性分析</w:t>
      </w:r>
    </w:p>
    <w:p w14:paraId="43EF82BD">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lang w:val="en-US" w:eastAsia="zh-CN"/>
        </w:rPr>
      </w:pPr>
      <w:r>
        <w:rPr>
          <w:rFonts w:hint="default" w:ascii="Times New Roman" w:hAnsi="Times New Roman" w:eastAsia="宋体" w:cs="Times New Roman"/>
          <w:color w:val="auto"/>
          <w:spacing w:val="0"/>
          <w:w w:val="100"/>
          <w:kern w:val="0"/>
          <w:position w:val="0"/>
          <w:sz w:val="24"/>
          <w:highlight w:val="none"/>
          <w:u w:val="none" w:color="auto"/>
          <w:lang w:val="en-US" w:eastAsia="zh-CN"/>
        </w:rPr>
        <w:t>根据《湖南华容桃花山省级森林公园总体规划》（2017-2025年），依据公园内部保护对象的区位条件和景观价值，从生态保护角度出发，分别从地区生态敏感性、用地适宜度和区划的完整性综合考虑，将规划区划分为以下功能区：生态保育区、核心景观区（包括白果树景区）、一般游憩区(包括七女峰景区、东山湖景区)、管理服务区（包括农林村管理服务区、仙鹅寺管理服务区、桃花山管理服务区）；在生态保育区和核心景观区以保护为主，在一般游憩区和管理服务区布局了旅游项目。</w:t>
      </w:r>
    </w:p>
    <w:p w14:paraId="010165B7">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lang w:val="en-US" w:eastAsia="zh-CN"/>
        </w:rPr>
      </w:pPr>
      <w:r>
        <w:rPr>
          <w:rFonts w:hint="default" w:ascii="Times New Roman" w:hAnsi="Times New Roman" w:eastAsia="宋体" w:cs="Times New Roman"/>
          <w:color w:val="auto"/>
          <w:spacing w:val="0"/>
          <w:w w:val="100"/>
          <w:kern w:val="0"/>
          <w:position w:val="0"/>
          <w:sz w:val="24"/>
          <w:highlight w:val="none"/>
          <w:u w:val="none" w:color="auto"/>
          <w:lang w:val="en-US" w:eastAsia="zh-CN"/>
        </w:rPr>
        <w:t>本项目所处位置属于森林公园中的一般游憩区。根据规划内容，一般游憩区规划少量旅游公路、停车场、宣教设施、娱乐设施、景区管护站及小规模的餐饮点、购物亭等。该区块还要把旅游与景观生态相结合，促进整体生态上的平衡，环境达到零污染。</w:t>
      </w:r>
    </w:p>
    <w:p w14:paraId="0437F842">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lang w:val="en-US" w:eastAsia="zh-CN"/>
        </w:rPr>
        <w:t xml:space="preserve"> 本项目为东山水库除险加固工程，施工期</w:t>
      </w:r>
      <w:r>
        <w:rPr>
          <w:rFonts w:hint="default" w:ascii="Times New Roman" w:hAnsi="Times New Roman" w:eastAsia="宋体" w:cs="Times New Roman"/>
          <w:color w:val="auto"/>
          <w:spacing w:val="0"/>
          <w:w w:val="100"/>
          <w:kern w:val="0"/>
          <w:position w:val="0"/>
          <w:sz w:val="24"/>
          <w:highlight w:val="none"/>
          <w:u w:val="none" w:color="auto"/>
        </w:rPr>
        <w:t>生产生活污水</w:t>
      </w:r>
      <w:r>
        <w:rPr>
          <w:rFonts w:hint="default" w:ascii="Times New Roman" w:hAnsi="Times New Roman" w:eastAsia="宋体" w:cs="Times New Roman"/>
          <w:color w:val="auto"/>
          <w:spacing w:val="0"/>
          <w:w w:val="100"/>
          <w:kern w:val="0"/>
          <w:position w:val="0"/>
          <w:sz w:val="24"/>
          <w:highlight w:val="none"/>
          <w:u w:val="none" w:color="auto"/>
          <w:lang w:eastAsia="zh-CN"/>
        </w:rPr>
        <w:t>经</w:t>
      </w:r>
      <w:r>
        <w:rPr>
          <w:rFonts w:hint="default" w:ascii="Times New Roman" w:hAnsi="Times New Roman" w:eastAsia="宋体" w:cs="Times New Roman"/>
          <w:color w:val="auto"/>
          <w:spacing w:val="0"/>
          <w:w w:val="100"/>
          <w:kern w:val="0"/>
          <w:position w:val="0"/>
          <w:sz w:val="24"/>
          <w:highlight w:val="none"/>
          <w:u w:val="none" w:color="auto"/>
        </w:rPr>
        <w:t>处理后回用，工程建设对周围水环境影响较小，施工结束后采取生态恢复等措施，将对生态环境影响降至最低。</w:t>
      </w:r>
      <w:r>
        <w:rPr>
          <w:rFonts w:hint="default" w:ascii="Times New Roman" w:hAnsi="Times New Roman" w:eastAsia="宋体" w:cs="Times New Roman"/>
          <w:color w:val="auto"/>
          <w:spacing w:val="0"/>
          <w:w w:val="100"/>
          <w:kern w:val="0"/>
          <w:position w:val="0"/>
          <w:sz w:val="24"/>
          <w:highlight w:val="none"/>
          <w:u w:val="none" w:color="auto"/>
          <w:lang w:eastAsia="zh-CN"/>
        </w:rPr>
        <w:t>本项目</w:t>
      </w:r>
      <w:r>
        <w:rPr>
          <w:rFonts w:hint="default" w:ascii="Times New Roman" w:hAnsi="Times New Roman" w:eastAsia="宋体" w:cs="Times New Roman"/>
          <w:color w:val="auto"/>
          <w:spacing w:val="0"/>
          <w:w w:val="100"/>
          <w:kern w:val="0"/>
          <w:position w:val="0"/>
          <w:sz w:val="24"/>
          <w:highlight w:val="none"/>
          <w:u w:val="none" w:color="auto"/>
        </w:rPr>
        <w:t>总体符合《</w:t>
      </w:r>
      <w:r>
        <w:rPr>
          <w:rFonts w:hint="default" w:ascii="Times New Roman" w:hAnsi="Times New Roman" w:eastAsia="宋体" w:cs="Times New Roman"/>
          <w:color w:val="auto"/>
          <w:spacing w:val="0"/>
          <w:w w:val="100"/>
          <w:kern w:val="0"/>
          <w:position w:val="0"/>
          <w:sz w:val="24"/>
          <w:highlight w:val="none"/>
          <w:u w:val="none" w:color="auto"/>
          <w:lang w:val="en-US" w:eastAsia="zh-CN"/>
        </w:rPr>
        <w:t>湖南华容桃花山省级森林公园总体规划</w:t>
      </w:r>
      <w:r>
        <w:rPr>
          <w:rFonts w:hint="default" w:ascii="Times New Roman" w:hAnsi="Times New Roman" w:eastAsia="宋体" w:cs="Times New Roman"/>
          <w:color w:val="auto"/>
          <w:spacing w:val="0"/>
          <w:w w:val="100"/>
          <w:kern w:val="0"/>
          <w:position w:val="0"/>
          <w:sz w:val="24"/>
          <w:highlight w:val="none"/>
          <w:u w:val="none" w:color="auto"/>
        </w:rPr>
        <w:t>》</w:t>
      </w:r>
      <w:r>
        <w:rPr>
          <w:rFonts w:hint="default" w:ascii="Times New Roman" w:hAnsi="Times New Roman" w:eastAsia="宋体" w:cs="Times New Roman"/>
          <w:color w:val="auto"/>
          <w:spacing w:val="0"/>
          <w:w w:val="100"/>
          <w:kern w:val="0"/>
          <w:position w:val="0"/>
          <w:sz w:val="24"/>
          <w:highlight w:val="none"/>
          <w:u w:val="none" w:color="auto"/>
          <w:lang w:eastAsia="zh-CN"/>
        </w:rPr>
        <w:t>相关</w:t>
      </w:r>
      <w:r>
        <w:rPr>
          <w:rFonts w:hint="default" w:ascii="Times New Roman" w:hAnsi="Times New Roman" w:eastAsia="宋体" w:cs="Times New Roman"/>
          <w:color w:val="auto"/>
          <w:spacing w:val="0"/>
          <w:w w:val="100"/>
          <w:kern w:val="0"/>
          <w:position w:val="0"/>
          <w:sz w:val="24"/>
          <w:highlight w:val="none"/>
          <w:u w:val="none" w:color="auto"/>
        </w:rPr>
        <w:t>要求。</w:t>
      </w:r>
    </w:p>
    <w:p w14:paraId="599D0AD0">
      <w:pPr>
        <w:autoSpaceDE w:val="0"/>
        <w:autoSpaceDN w:val="0"/>
        <w:adjustRightInd w:val="0"/>
        <w:snapToGrid w:val="0"/>
        <w:spacing w:line="360" w:lineRule="auto"/>
        <w:ind w:firstLine="482" w:firstLineChars="200"/>
        <w:rPr>
          <w:rFonts w:hint="default" w:ascii="Times New Roman" w:hAnsi="Times New Roman" w:eastAsia="宋体" w:cs="Times New Roman"/>
          <w:b/>
          <w:bCs/>
          <w:color w:val="auto"/>
          <w:spacing w:val="0"/>
          <w:w w:val="100"/>
          <w:kern w:val="0"/>
          <w:position w:val="0"/>
          <w:sz w:val="24"/>
          <w:highlight w:val="none"/>
          <w:u w:val="none" w:color="auto"/>
        </w:rPr>
      </w:pPr>
      <w:r>
        <w:rPr>
          <w:rFonts w:hint="default" w:ascii="Times New Roman" w:hAnsi="Times New Roman" w:eastAsia="宋体" w:cs="Times New Roman"/>
          <w:b/>
          <w:bCs/>
          <w:color w:val="auto"/>
          <w:spacing w:val="0"/>
          <w:w w:val="100"/>
          <w:kern w:val="0"/>
          <w:position w:val="0"/>
          <w:sz w:val="24"/>
          <w:highlight w:val="none"/>
          <w:u w:val="none" w:color="auto"/>
          <w:lang w:val="en-US" w:eastAsia="zh-CN"/>
        </w:rPr>
        <w:t xml:space="preserve"> （11）</w:t>
      </w:r>
      <w:r>
        <w:rPr>
          <w:rFonts w:hint="default" w:ascii="Times New Roman" w:hAnsi="Times New Roman" w:eastAsia="宋体" w:cs="Times New Roman"/>
          <w:b/>
          <w:bCs/>
          <w:color w:val="auto"/>
          <w:spacing w:val="0"/>
          <w:w w:val="100"/>
          <w:kern w:val="0"/>
          <w:position w:val="0"/>
          <w:sz w:val="24"/>
          <w:highlight w:val="none"/>
          <w:u w:val="none" w:color="auto"/>
          <w:lang w:eastAsia="zh-CN"/>
        </w:rPr>
        <w:t>与《</w:t>
      </w:r>
      <w:r>
        <w:rPr>
          <w:rFonts w:hint="default" w:ascii="Times New Roman" w:hAnsi="Times New Roman" w:eastAsia="宋体" w:cs="Times New Roman"/>
          <w:b/>
          <w:bCs/>
          <w:color w:val="auto"/>
          <w:spacing w:val="0"/>
          <w:w w:val="100"/>
          <w:kern w:val="0"/>
          <w:position w:val="0"/>
          <w:sz w:val="24"/>
          <w:highlight w:val="none"/>
          <w:u w:val="none" w:color="auto"/>
        </w:rPr>
        <w:t>关于加强生态保护红线管理的通知（试行）</w:t>
      </w:r>
      <w:r>
        <w:rPr>
          <w:rFonts w:hint="default" w:ascii="Times New Roman" w:hAnsi="Times New Roman" w:eastAsia="宋体" w:cs="Times New Roman"/>
          <w:b/>
          <w:bCs/>
          <w:color w:val="auto"/>
          <w:spacing w:val="0"/>
          <w:w w:val="100"/>
          <w:kern w:val="0"/>
          <w:position w:val="0"/>
          <w:sz w:val="24"/>
          <w:highlight w:val="none"/>
          <w:u w:val="none" w:color="auto"/>
          <w:lang w:eastAsia="zh-CN"/>
        </w:rPr>
        <w:t>》（</w:t>
      </w:r>
      <w:r>
        <w:rPr>
          <w:rFonts w:hint="default" w:ascii="Times New Roman" w:hAnsi="Times New Roman" w:eastAsia="宋体" w:cs="Times New Roman"/>
          <w:b/>
          <w:bCs/>
          <w:color w:val="auto"/>
          <w:spacing w:val="0"/>
          <w:w w:val="100"/>
          <w:kern w:val="0"/>
          <w:position w:val="0"/>
          <w:sz w:val="24"/>
          <w:highlight w:val="none"/>
          <w:u w:val="none" w:color="auto"/>
        </w:rPr>
        <w:t>自然资发〔2022〕142号</w:t>
      </w:r>
      <w:r>
        <w:rPr>
          <w:rFonts w:hint="default" w:ascii="Times New Roman" w:hAnsi="Times New Roman" w:eastAsia="宋体" w:cs="Times New Roman"/>
          <w:b/>
          <w:bCs/>
          <w:color w:val="auto"/>
          <w:spacing w:val="0"/>
          <w:w w:val="100"/>
          <w:kern w:val="0"/>
          <w:position w:val="0"/>
          <w:sz w:val="24"/>
          <w:highlight w:val="none"/>
          <w:u w:val="none" w:color="auto"/>
          <w:lang w:eastAsia="zh-CN"/>
        </w:rPr>
        <w:t>）符合性分析</w:t>
      </w:r>
    </w:p>
    <w:p w14:paraId="71F1895C">
      <w:pPr>
        <w:autoSpaceDE w:val="0"/>
        <w:autoSpaceDN w:val="0"/>
        <w:adjustRightInd w:val="0"/>
        <w:snapToGrid w:val="0"/>
        <w:spacing w:line="360" w:lineRule="auto"/>
        <w:ind w:firstLine="480" w:firstLineChars="200"/>
        <w:rPr>
          <w:rFonts w:hint="default" w:ascii="Times New Roman" w:hAnsi="Times New Roman" w:eastAsia="宋体" w:cs="Times New Roman"/>
          <w:b w:val="0"/>
          <w:bCs w:val="0"/>
          <w:color w:val="auto"/>
          <w:spacing w:val="0"/>
          <w:w w:val="100"/>
          <w:kern w:val="0"/>
          <w:position w:val="0"/>
          <w:sz w:val="24"/>
          <w:highlight w:val="none"/>
          <w:u w:val="none" w:color="auto"/>
          <w:lang w:eastAsia="zh-CN"/>
        </w:rPr>
      </w:pPr>
      <w:r>
        <w:rPr>
          <w:rFonts w:hint="default" w:ascii="Times New Roman" w:hAnsi="Times New Roman" w:eastAsia="宋体" w:cs="Times New Roman"/>
          <w:b w:val="0"/>
          <w:bCs w:val="0"/>
          <w:color w:val="auto"/>
          <w:spacing w:val="0"/>
          <w:w w:val="100"/>
          <w:kern w:val="0"/>
          <w:position w:val="0"/>
          <w:sz w:val="24"/>
          <w:highlight w:val="none"/>
          <w:u w:val="none" w:color="auto"/>
          <w:lang w:eastAsia="zh-CN"/>
        </w:rPr>
        <w:t>《</w:t>
      </w:r>
      <w:r>
        <w:rPr>
          <w:rFonts w:hint="default" w:ascii="Times New Roman" w:hAnsi="Times New Roman" w:eastAsia="宋体" w:cs="Times New Roman"/>
          <w:b w:val="0"/>
          <w:bCs w:val="0"/>
          <w:color w:val="auto"/>
          <w:spacing w:val="0"/>
          <w:w w:val="100"/>
          <w:kern w:val="0"/>
          <w:position w:val="0"/>
          <w:sz w:val="24"/>
          <w:highlight w:val="none"/>
          <w:u w:val="none" w:color="auto"/>
        </w:rPr>
        <w:t>关于加强生态保护红线管理的通知（试行）</w:t>
      </w:r>
      <w:r>
        <w:rPr>
          <w:rFonts w:hint="default" w:ascii="Times New Roman" w:hAnsi="Times New Roman" w:eastAsia="宋体" w:cs="Times New Roman"/>
          <w:b w:val="0"/>
          <w:bCs w:val="0"/>
          <w:color w:val="auto"/>
          <w:spacing w:val="0"/>
          <w:w w:val="100"/>
          <w:kern w:val="0"/>
          <w:position w:val="0"/>
          <w:sz w:val="24"/>
          <w:highlight w:val="none"/>
          <w:u w:val="none" w:color="auto"/>
          <w:lang w:eastAsia="zh-CN"/>
        </w:rPr>
        <w:t>》（</w:t>
      </w:r>
      <w:r>
        <w:rPr>
          <w:rFonts w:hint="default" w:ascii="Times New Roman" w:hAnsi="Times New Roman" w:eastAsia="宋体" w:cs="Times New Roman"/>
          <w:b w:val="0"/>
          <w:bCs w:val="0"/>
          <w:color w:val="auto"/>
          <w:spacing w:val="0"/>
          <w:w w:val="100"/>
          <w:kern w:val="0"/>
          <w:position w:val="0"/>
          <w:sz w:val="24"/>
          <w:highlight w:val="none"/>
          <w:u w:val="none" w:color="auto"/>
        </w:rPr>
        <w:t>自然资发〔2022〕142号</w:t>
      </w:r>
      <w:r>
        <w:rPr>
          <w:rFonts w:hint="default" w:ascii="Times New Roman" w:hAnsi="Times New Roman" w:eastAsia="宋体" w:cs="Times New Roman"/>
          <w:b w:val="0"/>
          <w:bCs w:val="0"/>
          <w:color w:val="auto"/>
          <w:spacing w:val="0"/>
          <w:w w:val="100"/>
          <w:kern w:val="0"/>
          <w:position w:val="0"/>
          <w:sz w:val="24"/>
          <w:highlight w:val="none"/>
          <w:u w:val="none" w:color="auto"/>
          <w:lang w:eastAsia="zh-CN"/>
        </w:rPr>
        <w:t>）第一条“</w:t>
      </w:r>
      <w:r>
        <w:rPr>
          <w:rFonts w:hint="default" w:ascii="Times New Roman" w:hAnsi="Times New Roman" w:eastAsia="宋体" w:cs="Times New Roman"/>
          <w:b w:val="0"/>
          <w:bCs w:val="0"/>
          <w:color w:val="auto"/>
          <w:spacing w:val="0"/>
          <w:w w:val="100"/>
          <w:kern w:val="0"/>
          <w:position w:val="0"/>
          <w:sz w:val="24"/>
          <w:highlight w:val="none"/>
          <w:u w:val="none" w:color="auto"/>
        </w:rPr>
        <w:t>加强人为活动管控</w:t>
      </w:r>
      <w:r>
        <w:rPr>
          <w:rFonts w:hint="default" w:ascii="Times New Roman" w:hAnsi="Times New Roman" w:eastAsia="宋体" w:cs="Times New Roman"/>
          <w:b w:val="0"/>
          <w:bCs w:val="0"/>
          <w:color w:val="auto"/>
          <w:spacing w:val="0"/>
          <w:w w:val="100"/>
          <w:kern w:val="0"/>
          <w:position w:val="0"/>
          <w:sz w:val="24"/>
          <w:highlight w:val="none"/>
          <w:u w:val="none" w:color="auto"/>
          <w:lang w:eastAsia="zh-CN"/>
        </w:rPr>
        <w:t>”要求：</w:t>
      </w:r>
    </w:p>
    <w:p w14:paraId="293BC131">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rPr>
        <w:t>规范管控对生态功能不造成破坏的有限人为活动。生态保护红线是国土空间规划中的重要管控边界，生态保护红线内自然保护地核心保护区外，禁止开发性、生产性建设活动，在符合法律法规的前提下，仅允许以下对生态功能不造成破坏的有限人为活动。生态保护红线内自然保护区、风景名胜区、饮用水水源保护区等区域，依照法律法规执行。</w:t>
      </w:r>
    </w:p>
    <w:p w14:paraId="297C7115">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微软雅黑" w:cs="Times New Roman"/>
          <w:color w:val="auto"/>
          <w:spacing w:val="0"/>
          <w:w w:val="100"/>
          <w:kern w:val="0"/>
          <w:position w:val="0"/>
          <w:sz w:val="24"/>
          <w:highlight w:val="none"/>
          <w:u w:val="none" w:color="auto"/>
        </w:rPr>
        <w:t>①</w:t>
      </w:r>
      <w:r>
        <w:rPr>
          <w:rFonts w:hint="default" w:ascii="Times New Roman" w:hAnsi="Times New Roman" w:eastAsia="宋体" w:cs="Times New Roman"/>
          <w:color w:val="auto"/>
          <w:spacing w:val="0"/>
          <w:w w:val="100"/>
          <w:kern w:val="0"/>
          <w:position w:val="0"/>
          <w:sz w:val="24"/>
          <w:highlight w:val="none"/>
          <w:u w:val="none" w:color="auto"/>
        </w:rPr>
        <w:t>管护巡护、保护执法、科学研究、调查监测、测绘导航、防灾减灾救灾、军事国防、疫情防控等活动及相关的必要设施修筑。</w:t>
      </w:r>
    </w:p>
    <w:p w14:paraId="02A3EAC1">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微软雅黑" w:cs="Times New Roman"/>
          <w:color w:val="auto"/>
          <w:spacing w:val="0"/>
          <w:w w:val="100"/>
          <w:kern w:val="0"/>
          <w:position w:val="0"/>
          <w:sz w:val="24"/>
          <w:highlight w:val="none"/>
          <w:u w:val="none" w:color="auto"/>
        </w:rPr>
        <w:t>②</w:t>
      </w:r>
      <w:r>
        <w:rPr>
          <w:rFonts w:hint="default" w:ascii="Times New Roman" w:hAnsi="Times New Roman" w:eastAsia="宋体" w:cs="Times New Roman"/>
          <w:color w:val="auto"/>
          <w:spacing w:val="0"/>
          <w:w w:val="100"/>
          <w:kern w:val="0"/>
          <w:position w:val="0"/>
          <w:sz w:val="24"/>
          <w:highlight w:val="none"/>
          <w:u w:val="none" w:color="auto"/>
        </w:rPr>
        <w:t>原住居民和其他合法权益主体，允许在不扩大现有建设用地、用海用岛、耕地、水产养殖规模和放牧强度（符合草畜平衡管理规定）的前提下，开展种植、放牧、捕捞、养殖（不包括投礁型海洋牧场、围海养殖）等活动，修筑生产生活设施。</w:t>
      </w:r>
    </w:p>
    <w:p w14:paraId="053395C9">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微软雅黑" w:cs="Times New Roman"/>
          <w:color w:val="auto"/>
          <w:spacing w:val="0"/>
          <w:w w:val="100"/>
          <w:kern w:val="0"/>
          <w:position w:val="0"/>
          <w:sz w:val="24"/>
          <w:highlight w:val="none"/>
          <w:u w:val="none" w:color="auto"/>
        </w:rPr>
        <w:t>③</w:t>
      </w:r>
      <w:r>
        <w:rPr>
          <w:rFonts w:hint="default" w:ascii="Times New Roman" w:hAnsi="Times New Roman" w:eastAsia="宋体" w:cs="Times New Roman"/>
          <w:color w:val="auto"/>
          <w:spacing w:val="0"/>
          <w:w w:val="100"/>
          <w:kern w:val="0"/>
          <w:position w:val="0"/>
          <w:sz w:val="24"/>
          <w:highlight w:val="none"/>
          <w:u w:val="none" w:color="auto"/>
        </w:rPr>
        <w:t>经依法批准的考古调查发掘、古生物化石调查发掘、标本采集和文物保护活动。</w:t>
      </w:r>
    </w:p>
    <w:p w14:paraId="3EB48DEF">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szCs w:val="24"/>
          <w:highlight w:val="none"/>
          <w:u w:val="none" w:color="auto"/>
        </w:rPr>
      </w:pPr>
      <w:r>
        <w:rPr>
          <w:rFonts w:hint="default" w:ascii="Times New Roman" w:hAnsi="Times New Roman" w:eastAsia="微软雅黑" w:cs="Times New Roman"/>
          <w:color w:val="auto"/>
          <w:spacing w:val="0"/>
          <w:w w:val="100"/>
          <w:kern w:val="0"/>
          <w:position w:val="0"/>
          <w:sz w:val="24"/>
          <w:highlight w:val="none"/>
          <w:u w:val="none" w:color="auto"/>
        </w:rPr>
        <w:t>④</w:t>
      </w:r>
      <w:r>
        <w:rPr>
          <w:rFonts w:hint="default" w:ascii="Times New Roman" w:hAnsi="Times New Roman" w:eastAsia="宋体" w:cs="Times New Roman"/>
          <w:color w:val="auto"/>
          <w:spacing w:val="0"/>
          <w:w w:val="100"/>
          <w:kern w:val="0"/>
          <w:position w:val="0"/>
          <w:sz w:val="24"/>
          <w:highlight w:val="none"/>
          <w:u w:val="none" w:color="auto"/>
        </w:rPr>
        <w:t>按规定对人工商品林进行抚育采伐，或以提升森林质量、优化栖息地、建设</w:t>
      </w:r>
      <w:r>
        <w:rPr>
          <w:rFonts w:hint="default" w:ascii="Times New Roman" w:hAnsi="Times New Roman" w:eastAsia="宋体" w:cs="Times New Roman"/>
          <w:color w:val="auto"/>
          <w:spacing w:val="0"/>
          <w:w w:val="100"/>
          <w:kern w:val="0"/>
          <w:position w:val="0"/>
          <w:sz w:val="24"/>
          <w:szCs w:val="24"/>
          <w:highlight w:val="none"/>
          <w:u w:val="none" w:color="auto"/>
        </w:rPr>
        <w:t>生物防火隔离带等为目的的树种更新，依法开展的竹林采伐经营。</w:t>
      </w:r>
    </w:p>
    <w:p w14:paraId="75F03B3D">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szCs w:val="24"/>
          <w:highlight w:val="none"/>
          <w:u w:val="none" w:color="auto"/>
        </w:rPr>
      </w:pPr>
      <w:r>
        <w:rPr>
          <w:rFonts w:hint="default" w:ascii="Times New Roman" w:hAnsi="Times New Roman" w:eastAsia="微软雅黑" w:cs="Times New Roman"/>
          <w:color w:val="auto"/>
          <w:spacing w:val="0"/>
          <w:w w:val="100"/>
          <w:kern w:val="0"/>
          <w:position w:val="0"/>
          <w:sz w:val="24"/>
          <w:szCs w:val="24"/>
          <w:highlight w:val="none"/>
          <w:u w:val="none" w:color="auto"/>
        </w:rPr>
        <w:t>⑤</w:t>
      </w:r>
      <w:r>
        <w:rPr>
          <w:rFonts w:hint="default" w:ascii="Times New Roman" w:hAnsi="Times New Roman" w:eastAsia="宋体" w:cs="Times New Roman"/>
          <w:color w:val="auto"/>
          <w:spacing w:val="0"/>
          <w:w w:val="100"/>
          <w:kern w:val="0"/>
          <w:position w:val="0"/>
          <w:sz w:val="24"/>
          <w:szCs w:val="24"/>
          <w:highlight w:val="none"/>
          <w:u w:val="none" w:color="auto"/>
        </w:rPr>
        <w:t>不破坏生态功能的适度参观旅游、科普宣教及符合相关规划的配套性服务设施和相关的必要公共设施建设及维护。</w:t>
      </w:r>
    </w:p>
    <w:p w14:paraId="145F9CF3">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szCs w:val="24"/>
          <w:highlight w:val="none"/>
          <w:u w:val="none" w:color="auto"/>
        </w:rPr>
      </w:pPr>
      <w:r>
        <w:rPr>
          <w:rFonts w:hint="default" w:ascii="Times New Roman" w:hAnsi="Times New Roman" w:eastAsia="微软雅黑" w:cs="Times New Roman"/>
          <w:color w:val="auto"/>
          <w:spacing w:val="0"/>
          <w:w w:val="100"/>
          <w:kern w:val="0"/>
          <w:position w:val="0"/>
          <w:sz w:val="24"/>
          <w:szCs w:val="24"/>
          <w:highlight w:val="none"/>
          <w:u w:val="none" w:color="auto"/>
        </w:rPr>
        <w:t>⑥</w:t>
      </w:r>
      <w:r>
        <w:rPr>
          <w:rFonts w:hint="default" w:ascii="Times New Roman" w:hAnsi="Times New Roman" w:eastAsia="宋体" w:cs="Times New Roman"/>
          <w:color w:val="auto"/>
          <w:spacing w:val="0"/>
          <w:w w:val="100"/>
          <w:kern w:val="0"/>
          <w:position w:val="0"/>
          <w:sz w:val="24"/>
          <w:szCs w:val="24"/>
          <w:highlight w:val="none"/>
          <w:u w:val="none" w:color="auto"/>
        </w:rPr>
        <w:t>必须且无法避让、符合县级以上国土空间规划的线性基础设施、通讯和防洪、供水设施建设和船舶航行、航道疏浚清淤等活动；已有的合法水利、交通运输等设施运行维护改造。</w:t>
      </w:r>
    </w:p>
    <w:p w14:paraId="0825A444">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szCs w:val="24"/>
          <w:highlight w:val="none"/>
          <w:u w:val="none" w:color="auto"/>
        </w:rPr>
      </w:pPr>
      <w:r>
        <w:rPr>
          <w:rFonts w:hint="default" w:ascii="Times New Roman" w:hAnsi="Times New Roman" w:eastAsia="微软雅黑" w:cs="Times New Roman"/>
          <w:color w:val="auto"/>
          <w:spacing w:val="0"/>
          <w:w w:val="100"/>
          <w:kern w:val="0"/>
          <w:position w:val="0"/>
          <w:sz w:val="24"/>
          <w:szCs w:val="24"/>
          <w:highlight w:val="none"/>
          <w:u w:val="none" w:color="auto"/>
        </w:rPr>
        <w:t>⑦</w:t>
      </w:r>
      <w:r>
        <w:rPr>
          <w:rFonts w:hint="default" w:ascii="Times New Roman" w:hAnsi="Times New Roman" w:eastAsia="宋体" w:cs="Times New Roman"/>
          <w:color w:val="auto"/>
          <w:spacing w:val="0"/>
          <w:w w:val="100"/>
          <w:kern w:val="0"/>
          <w:position w:val="0"/>
          <w:sz w:val="24"/>
          <w:szCs w:val="24"/>
          <w:highlight w:val="none"/>
          <w:u w:val="none" w:color="auto"/>
        </w:rPr>
        <w:t>地质调查与矿产资源勘查开采。</w:t>
      </w:r>
    </w:p>
    <w:p w14:paraId="1AFFEE93">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szCs w:val="24"/>
          <w:highlight w:val="none"/>
          <w:u w:val="none" w:color="auto"/>
        </w:rPr>
      </w:pPr>
      <w:r>
        <w:rPr>
          <w:rFonts w:hint="default" w:ascii="Times New Roman" w:hAnsi="Times New Roman" w:eastAsia="宋体" w:cs="Times New Roman"/>
          <w:color w:val="auto"/>
          <w:spacing w:val="0"/>
          <w:w w:val="100"/>
          <w:kern w:val="0"/>
          <w:position w:val="0"/>
          <w:sz w:val="24"/>
          <w:szCs w:val="24"/>
          <w:highlight w:val="none"/>
          <w:u w:val="none" w:color="auto"/>
        </w:rPr>
        <w:fldChar w:fldCharType="begin"/>
      </w:r>
      <w:r>
        <w:rPr>
          <w:rFonts w:hint="default" w:ascii="Times New Roman" w:hAnsi="Times New Roman" w:eastAsia="宋体" w:cs="Times New Roman"/>
          <w:color w:val="auto"/>
          <w:spacing w:val="0"/>
          <w:w w:val="100"/>
          <w:kern w:val="0"/>
          <w:position w:val="0"/>
          <w:sz w:val="24"/>
          <w:szCs w:val="24"/>
          <w:highlight w:val="none"/>
          <w:u w:val="none" w:color="auto"/>
        </w:rPr>
        <w:instrText xml:space="preserve"> = 8 \* GB3 \* MERGEFORMAT </w:instrText>
      </w:r>
      <w:r>
        <w:rPr>
          <w:rFonts w:hint="default" w:ascii="Times New Roman" w:hAnsi="Times New Roman" w:eastAsia="宋体" w:cs="Times New Roman"/>
          <w:color w:val="auto"/>
          <w:spacing w:val="0"/>
          <w:w w:val="100"/>
          <w:kern w:val="0"/>
          <w:position w:val="0"/>
          <w:sz w:val="24"/>
          <w:szCs w:val="24"/>
          <w:highlight w:val="none"/>
          <w:u w:val="none" w:color="auto"/>
        </w:rPr>
        <w:fldChar w:fldCharType="separate"/>
      </w:r>
      <w:r>
        <w:rPr>
          <w:rFonts w:hint="default" w:ascii="Times New Roman" w:hAnsi="Times New Roman" w:cs="Times New Roman"/>
          <w:spacing w:val="0"/>
          <w:w w:val="100"/>
          <w:position w:val="0"/>
          <w:sz w:val="24"/>
          <w:szCs w:val="24"/>
        </w:rPr>
        <w:t>⑧</w:t>
      </w:r>
      <w:r>
        <w:rPr>
          <w:rFonts w:hint="default" w:ascii="Times New Roman" w:hAnsi="Times New Roman" w:eastAsia="宋体" w:cs="Times New Roman"/>
          <w:color w:val="auto"/>
          <w:spacing w:val="0"/>
          <w:w w:val="100"/>
          <w:kern w:val="0"/>
          <w:position w:val="0"/>
          <w:sz w:val="24"/>
          <w:szCs w:val="24"/>
          <w:highlight w:val="none"/>
          <w:u w:val="none" w:color="auto"/>
        </w:rPr>
        <w:fldChar w:fldCharType="end"/>
      </w:r>
      <w:r>
        <w:rPr>
          <w:rFonts w:hint="default" w:ascii="Times New Roman" w:hAnsi="Times New Roman" w:eastAsia="宋体" w:cs="Times New Roman"/>
          <w:color w:val="auto"/>
          <w:spacing w:val="0"/>
          <w:w w:val="100"/>
          <w:kern w:val="0"/>
          <w:position w:val="0"/>
          <w:sz w:val="24"/>
          <w:szCs w:val="24"/>
          <w:highlight w:val="none"/>
          <w:u w:val="none" w:color="auto"/>
        </w:rPr>
        <w:t>依据县级以上国土空间规划和生态保护修复专项规划开展的生态修复。</w:t>
      </w:r>
    </w:p>
    <w:p w14:paraId="49E6C26F">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szCs w:val="24"/>
          <w:highlight w:val="none"/>
          <w:u w:val="none" w:color="auto"/>
        </w:rPr>
      </w:pPr>
      <w:r>
        <w:rPr>
          <w:rFonts w:hint="default" w:ascii="Times New Roman" w:hAnsi="Times New Roman" w:eastAsia="宋体" w:cs="Times New Roman"/>
          <w:color w:val="auto"/>
          <w:spacing w:val="0"/>
          <w:w w:val="100"/>
          <w:kern w:val="0"/>
          <w:position w:val="0"/>
          <w:sz w:val="24"/>
          <w:szCs w:val="24"/>
          <w:highlight w:val="none"/>
          <w:u w:val="none" w:color="auto"/>
        </w:rPr>
        <w:fldChar w:fldCharType="begin"/>
      </w:r>
      <w:r>
        <w:rPr>
          <w:rFonts w:hint="default" w:ascii="Times New Roman" w:hAnsi="Times New Roman" w:eastAsia="宋体" w:cs="Times New Roman"/>
          <w:color w:val="auto"/>
          <w:spacing w:val="0"/>
          <w:w w:val="100"/>
          <w:kern w:val="0"/>
          <w:position w:val="0"/>
          <w:sz w:val="24"/>
          <w:szCs w:val="24"/>
          <w:highlight w:val="none"/>
          <w:u w:val="none" w:color="auto"/>
        </w:rPr>
        <w:instrText xml:space="preserve"> = 9 \* GB3 \* MERGEFORMAT </w:instrText>
      </w:r>
      <w:r>
        <w:rPr>
          <w:rFonts w:hint="default" w:ascii="Times New Roman" w:hAnsi="Times New Roman" w:eastAsia="宋体" w:cs="Times New Roman"/>
          <w:color w:val="auto"/>
          <w:spacing w:val="0"/>
          <w:w w:val="100"/>
          <w:kern w:val="0"/>
          <w:position w:val="0"/>
          <w:sz w:val="24"/>
          <w:szCs w:val="24"/>
          <w:highlight w:val="none"/>
          <w:u w:val="none" w:color="auto"/>
        </w:rPr>
        <w:fldChar w:fldCharType="separate"/>
      </w:r>
      <w:r>
        <w:rPr>
          <w:rFonts w:hint="default" w:ascii="Times New Roman" w:hAnsi="Times New Roman" w:cs="Times New Roman"/>
          <w:spacing w:val="0"/>
          <w:w w:val="100"/>
          <w:position w:val="0"/>
          <w:sz w:val="24"/>
          <w:szCs w:val="24"/>
        </w:rPr>
        <w:t>⑨</w:t>
      </w:r>
      <w:r>
        <w:rPr>
          <w:rFonts w:hint="default" w:ascii="Times New Roman" w:hAnsi="Times New Roman" w:eastAsia="宋体" w:cs="Times New Roman"/>
          <w:color w:val="auto"/>
          <w:spacing w:val="0"/>
          <w:w w:val="100"/>
          <w:kern w:val="0"/>
          <w:position w:val="0"/>
          <w:sz w:val="24"/>
          <w:szCs w:val="24"/>
          <w:highlight w:val="none"/>
          <w:u w:val="none" w:color="auto"/>
        </w:rPr>
        <w:fldChar w:fldCharType="end"/>
      </w:r>
      <w:r>
        <w:rPr>
          <w:rFonts w:hint="default" w:ascii="Times New Roman" w:hAnsi="Times New Roman" w:eastAsia="宋体" w:cs="Times New Roman"/>
          <w:color w:val="auto"/>
          <w:spacing w:val="0"/>
          <w:w w:val="100"/>
          <w:kern w:val="0"/>
          <w:position w:val="0"/>
          <w:sz w:val="24"/>
          <w:szCs w:val="24"/>
          <w:highlight w:val="none"/>
          <w:u w:val="none" w:color="auto"/>
        </w:rPr>
        <w:t>根据我国相关法律法规和与邻国签署的国界管理制度协定（条约）开展的边界边境通视道清理以及界务工程的修建、维护和拆除工作。</w:t>
      </w:r>
    </w:p>
    <w:p w14:paraId="1184546F">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szCs w:val="24"/>
          <w:highlight w:val="none"/>
          <w:u w:val="none" w:color="auto"/>
        </w:rPr>
        <w:fldChar w:fldCharType="begin"/>
      </w:r>
      <w:r>
        <w:rPr>
          <w:rFonts w:hint="default" w:ascii="Times New Roman" w:hAnsi="Times New Roman" w:eastAsia="宋体" w:cs="Times New Roman"/>
          <w:color w:val="auto"/>
          <w:spacing w:val="0"/>
          <w:w w:val="100"/>
          <w:kern w:val="0"/>
          <w:position w:val="0"/>
          <w:sz w:val="24"/>
          <w:szCs w:val="24"/>
          <w:highlight w:val="none"/>
          <w:u w:val="none" w:color="auto"/>
        </w:rPr>
        <w:instrText xml:space="preserve"> = 10 \* GB3 \* MERGEFORMAT </w:instrText>
      </w:r>
      <w:r>
        <w:rPr>
          <w:rFonts w:hint="default" w:ascii="Times New Roman" w:hAnsi="Times New Roman" w:eastAsia="宋体" w:cs="Times New Roman"/>
          <w:color w:val="auto"/>
          <w:spacing w:val="0"/>
          <w:w w:val="100"/>
          <w:kern w:val="0"/>
          <w:position w:val="0"/>
          <w:sz w:val="24"/>
          <w:szCs w:val="24"/>
          <w:highlight w:val="none"/>
          <w:u w:val="none" w:color="auto"/>
        </w:rPr>
        <w:fldChar w:fldCharType="separate"/>
      </w:r>
      <w:r>
        <w:rPr>
          <w:rFonts w:hint="default" w:ascii="Times New Roman" w:hAnsi="Times New Roman" w:cs="Times New Roman"/>
          <w:spacing w:val="0"/>
          <w:w w:val="100"/>
          <w:position w:val="0"/>
          <w:sz w:val="24"/>
          <w:szCs w:val="24"/>
        </w:rPr>
        <w:t>⑩</w:t>
      </w:r>
      <w:r>
        <w:rPr>
          <w:rFonts w:hint="default" w:ascii="Times New Roman" w:hAnsi="Times New Roman" w:eastAsia="宋体" w:cs="Times New Roman"/>
          <w:color w:val="auto"/>
          <w:spacing w:val="0"/>
          <w:w w:val="100"/>
          <w:kern w:val="0"/>
          <w:position w:val="0"/>
          <w:sz w:val="24"/>
          <w:szCs w:val="24"/>
          <w:highlight w:val="none"/>
          <w:u w:val="none" w:color="auto"/>
        </w:rPr>
        <w:fldChar w:fldCharType="end"/>
      </w:r>
      <w:r>
        <w:rPr>
          <w:rFonts w:hint="default" w:ascii="Times New Roman" w:hAnsi="Times New Roman" w:eastAsia="宋体" w:cs="Times New Roman"/>
          <w:color w:val="auto"/>
          <w:spacing w:val="0"/>
          <w:w w:val="100"/>
          <w:kern w:val="0"/>
          <w:position w:val="0"/>
          <w:sz w:val="24"/>
          <w:szCs w:val="24"/>
          <w:highlight w:val="none"/>
          <w:u w:val="none" w:color="auto"/>
        </w:rPr>
        <w:t>法律法规规定允许的其他人为活</w:t>
      </w:r>
      <w:r>
        <w:rPr>
          <w:rFonts w:hint="default" w:ascii="Times New Roman" w:hAnsi="Times New Roman" w:eastAsia="宋体" w:cs="Times New Roman"/>
          <w:color w:val="auto"/>
          <w:spacing w:val="0"/>
          <w:w w:val="100"/>
          <w:kern w:val="0"/>
          <w:position w:val="0"/>
          <w:sz w:val="24"/>
          <w:highlight w:val="none"/>
          <w:u w:val="none" w:color="auto"/>
        </w:rPr>
        <w:t>动。</w:t>
      </w:r>
    </w:p>
    <w:p w14:paraId="3B22518A">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rPr>
        <w:t>开展上述活动时禁止新增填海造地和新增围海。上述活动涉及利用无居民海岛的，原则上仅允许按照相关规定对海岛自然岸线、表面积、岛体、植被改变轻微的低影响利用方式。</w:t>
      </w:r>
    </w:p>
    <w:p w14:paraId="0DA7C56C">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lang w:eastAsia="zh-CN"/>
        </w:rPr>
        <w:t>本项目位于岳阳市</w:t>
      </w:r>
      <w:r>
        <w:rPr>
          <w:rFonts w:hint="default" w:ascii="Times New Roman" w:hAnsi="Times New Roman" w:eastAsia="宋体" w:cs="Times New Roman"/>
          <w:color w:val="auto"/>
          <w:spacing w:val="0"/>
          <w:w w:val="100"/>
          <w:kern w:val="0"/>
          <w:position w:val="0"/>
          <w:sz w:val="24"/>
          <w:highlight w:val="none"/>
          <w:u w:val="none" w:color="auto"/>
        </w:rPr>
        <w:t>生态保护红线</w:t>
      </w:r>
      <w:r>
        <w:rPr>
          <w:rFonts w:hint="default" w:ascii="Times New Roman" w:hAnsi="Times New Roman" w:eastAsia="宋体" w:cs="Times New Roman"/>
          <w:color w:val="auto"/>
          <w:spacing w:val="0"/>
          <w:w w:val="100"/>
          <w:kern w:val="0"/>
          <w:position w:val="0"/>
          <w:sz w:val="24"/>
          <w:highlight w:val="none"/>
          <w:u w:val="none" w:color="auto"/>
          <w:lang w:eastAsia="zh-CN"/>
        </w:rPr>
        <w:t>范围内，</w:t>
      </w:r>
      <w:r>
        <w:rPr>
          <w:rFonts w:hint="default" w:ascii="Times New Roman" w:hAnsi="Times New Roman" w:eastAsia="宋体" w:cs="Times New Roman"/>
          <w:color w:val="auto"/>
          <w:spacing w:val="0"/>
          <w:w w:val="100"/>
          <w:kern w:val="0"/>
          <w:position w:val="0"/>
          <w:sz w:val="24"/>
          <w:highlight w:val="none"/>
          <w:u w:val="none" w:color="auto"/>
          <w:lang w:val="en-US" w:eastAsia="zh-CN"/>
        </w:rPr>
        <w:t xml:space="preserve">该工程属于“对生态功能不造成破坏的有限人为活动”中“6、必须且无法避让、符合县级以上国土空间规划的线性基础设施、通讯和防洪、供水设施建设和船舶航行、航道疏浚清淤等活动；已有的合法水利、交通运输等设施运行维护改造”类，项目不涉及新增建设用地，符合《自然资源部 生态环境部 国家林业和草原局关于加强生态保护红线管理的通知（试行）》（自然资发〔2022〕142号）要求。 </w:t>
      </w:r>
    </w:p>
    <w:p w14:paraId="26196454">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lang w:val="en-US" w:eastAsia="zh-CN"/>
        </w:rPr>
      </w:pPr>
      <w:r>
        <w:rPr>
          <w:rFonts w:hint="default" w:ascii="Times New Roman" w:hAnsi="Times New Roman" w:eastAsia="宋体" w:cs="Times New Roman"/>
          <w:color w:val="auto"/>
          <w:spacing w:val="0"/>
          <w:w w:val="100"/>
          <w:kern w:val="0"/>
          <w:position w:val="0"/>
          <w:sz w:val="24"/>
          <w:highlight w:val="none"/>
          <w:u w:val="none" w:color="auto"/>
          <w:lang w:eastAsia="zh-CN"/>
        </w:rPr>
        <w:t>综上，本项目建设符合</w:t>
      </w:r>
      <w:r>
        <w:rPr>
          <w:rFonts w:hint="default" w:ascii="Times New Roman" w:hAnsi="Times New Roman" w:eastAsia="宋体" w:cs="Times New Roman"/>
          <w:b w:val="0"/>
          <w:bCs w:val="0"/>
          <w:color w:val="auto"/>
          <w:spacing w:val="0"/>
          <w:w w:val="100"/>
          <w:kern w:val="0"/>
          <w:position w:val="0"/>
          <w:sz w:val="24"/>
          <w:highlight w:val="none"/>
          <w:u w:val="none" w:color="auto"/>
          <w:lang w:eastAsia="zh-CN"/>
        </w:rPr>
        <w:t>《</w:t>
      </w:r>
      <w:r>
        <w:rPr>
          <w:rFonts w:hint="default" w:ascii="Times New Roman" w:hAnsi="Times New Roman" w:eastAsia="宋体" w:cs="Times New Roman"/>
          <w:b w:val="0"/>
          <w:bCs w:val="0"/>
          <w:color w:val="auto"/>
          <w:spacing w:val="0"/>
          <w:w w:val="100"/>
          <w:kern w:val="0"/>
          <w:position w:val="0"/>
          <w:sz w:val="24"/>
          <w:highlight w:val="none"/>
          <w:u w:val="none" w:color="auto"/>
        </w:rPr>
        <w:t>关于加强生态保护红线管理的通知（试行）</w:t>
      </w:r>
      <w:r>
        <w:rPr>
          <w:rFonts w:hint="default" w:ascii="Times New Roman" w:hAnsi="Times New Roman" w:eastAsia="宋体" w:cs="Times New Roman"/>
          <w:b w:val="0"/>
          <w:bCs w:val="0"/>
          <w:color w:val="auto"/>
          <w:spacing w:val="0"/>
          <w:w w:val="100"/>
          <w:kern w:val="0"/>
          <w:position w:val="0"/>
          <w:sz w:val="24"/>
          <w:highlight w:val="none"/>
          <w:u w:val="none" w:color="auto"/>
          <w:lang w:eastAsia="zh-CN"/>
        </w:rPr>
        <w:t>》（</w:t>
      </w:r>
      <w:r>
        <w:rPr>
          <w:rFonts w:hint="default" w:ascii="Times New Roman" w:hAnsi="Times New Roman" w:eastAsia="宋体" w:cs="Times New Roman"/>
          <w:b w:val="0"/>
          <w:bCs w:val="0"/>
          <w:color w:val="auto"/>
          <w:spacing w:val="0"/>
          <w:w w:val="100"/>
          <w:kern w:val="0"/>
          <w:position w:val="0"/>
          <w:sz w:val="24"/>
          <w:highlight w:val="none"/>
          <w:u w:val="none" w:color="auto"/>
        </w:rPr>
        <w:t>自然资发〔2022〕142号</w:t>
      </w:r>
      <w:r>
        <w:rPr>
          <w:rFonts w:hint="default" w:ascii="Times New Roman" w:hAnsi="Times New Roman" w:eastAsia="宋体" w:cs="Times New Roman"/>
          <w:b w:val="0"/>
          <w:bCs w:val="0"/>
          <w:color w:val="auto"/>
          <w:spacing w:val="0"/>
          <w:w w:val="100"/>
          <w:kern w:val="0"/>
          <w:position w:val="0"/>
          <w:sz w:val="24"/>
          <w:highlight w:val="none"/>
          <w:u w:val="none" w:color="auto"/>
          <w:lang w:eastAsia="zh-CN"/>
        </w:rPr>
        <w:t>）</w:t>
      </w:r>
      <w:r>
        <w:rPr>
          <w:rFonts w:hint="default" w:ascii="Times New Roman" w:hAnsi="Times New Roman" w:eastAsia="宋体" w:cs="Times New Roman"/>
          <w:color w:val="auto"/>
          <w:spacing w:val="0"/>
          <w:w w:val="100"/>
          <w:kern w:val="0"/>
          <w:position w:val="0"/>
          <w:sz w:val="24"/>
          <w:highlight w:val="none"/>
          <w:u w:val="none" w:color="auto"/>
          <w:lang w:eastAsia="zh-CN"/>
        </w:rPr>
        <w:t>要求。</w:t>
      </w:r>
    </w:p>
    <w:p w14:paraId="2B511356">
      <w:pPr>
        <w:autoSpaceDE w:val="0"/>
        <w:autoSpaceDN w:val="0"/>
        <w:adjustRightInd w:val="0"/>
        <w:snapToGrid w:val="0"/>
        <w:spacing w:line="360" w:lineRule="auto"/>
        <w:ind w:firstLine="482" w:firstLineChars="200"/>
        <w:rPr>
          <w:rFonts w:hint="default" w:ascii="Times New Roman" w:hAnsi="Times New Roman" w:eastAsia="宋体" w:cs="Times New Roman"/>
          <w:b/>
          <w:bCs/>
          <w:caps w:val="0"/>
          <w:smallCaps w:val="0"/>
          <w:color w:val="auto"/>
          <w:spacing w:val="0"/>
          <w:w w:val="100"/>
          <w:kern w:val="0"/>
          <w:position w:val="0"/>
          <w:sz w:val="24"/>
          <w:szCs w:val="24"/>
          <w:u w:val="none" w:color="auto"/>
        </w:rPr>
      </w:pPr>
      <w:r>
        <w:rPr>
          <w:rFonts w:hint="default" w:ascii="Times New Roman" w:hAnsi="Times New Roman" w:eastAsia="宋体" w:cs="Times New Roman"/>
          <w:b/>
          <w:bCs/>
          <w:color w:val="auto"/>
          <w:spacing w:val="0"/>
          <w:w w:val="100"/>
          <w:kern w:val="0"/>
          <w:position w:val="0"/>
          <w:sz w:val="24"/>
          <w:highlight w:val="none"/>
          <w:u w:val="none" w:color="auto"/>
          <w:lang w:eastAsia="zh-CN"/>
        </w:rPr>
        <w:t>（</w:t>
      </w:r>
      <w:r>
        <w:rPr>
          <w:rFonts w:hint="default" w:ascii="Times New Roman" w:hAnsi="Times New Roman" w:eastAsia="宋体" w:cs="Times New Roman"/>
          <w:b/>
          <w:bCs/>
          <w:color w:val="auto"/>
          <w:spacing w:val="0"/>
          <w:w w:val="100"/>
          <w:kern w:val="0"/>
          <w:position w:val="0"/>
          <w:sz w:val="24"/>
          <w:highlight w:val="none"/>
          <w:u w:val="none" w:color="auto"/>
          <w:lang w:val="en-US" w:eastAsia="zh-CN"/>
        </w:rPr>
        <w:t>12</w:t>
      </w:r>
      <w:r>
        <w:rPr>
          <w:rFonts w:hint="default" w:ascii="Times New Roman" w:hAnsi="Times New Roman" w:eastAsia="宋体" w:cs="Times New Roman"/>
          <w:b/>
          <w:bCs/>
          <w:color w:val="auto"/>
          <w:spacing w:val="0"/>
          <w:w w:val="100"/>
          <w:kern w:val="0"/>
          <w:position w:val="0"/>
          <w:sz w:val="24"/>
          <w:highlight w:val="none"/>
          <w:u w:val="none" w:color="auto"/>
          <w:lang w:eastAsia="zh-CN"/>
        </w:rPr>
        <w:t>）</w:t>
      </w:r>
      <w:bookmarkStart w:id="13" w:name="bookmark21"/>
      <w:bookmarkStart w:id="14" w:name="bookmark20"/>
      <w:r>
        <w:rPr>
          <w:rFonts w:hint="default" w:ascii="Times New Roman" w:hAnsi="Times New Roman" w:eastAsia="宋体" w:cs="Times New Roman"/>
          <w:b/>
          <w:bCs/>
          <w:caps w:val="0"/>
          <w:smallCaps w:val="0"/>
          <w:color w:val="auto"/>
          <w:spacing w:val="0"/>
          <w:w w:val="100"/>
          <w:kern w:val="0"/>
          <w:position w:val="0"/>
          <w:sz w:val="24"/>
          <w:szCs w:val="24"/>
          <w:u w:val="none" w:color="auto"/>
        </w:rPr>
        <w:t>与“三线一单”符合性分析</w:t>
      </w:r>
      <w:bookmarkEnd w:id="13"/>
      <w:bookmarkEnd w:id="14"/>
    </w:p>
    <w:p w14:paraId="6B13CC10">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1）</w:t>
      </w:r>
      <w:r>
        <w:rPr>
          <w:rFonts w:hint="default" w:ascii="Times New Roman" w:hAnsi="Times New Roman" w:eastAsia="宋体" w:cs="Times New Roman"/>
          <w:caps w:val="0"/>
          <w:smallCaps w:val="0"/>
          <w:color w:val="auto"/>
          <w:spacing w:val="0"/>
          <w:w w:val="100"/>
          <w:kern w:val="0"/>
          <w:position w:val="0"/>
          <w:sz w:val="24"/>
          <w:szCs w:val="24"/>
          <w:u w:val="none" w:color="auto"/>
        </w:rPr>
        <w:t>与</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生态红线</w:t>
      </w:r>
      <w:r>
        <w:rPr>
          <w:rFonts w:hint="default" w:ascii="Times New Roman" w:hAnsi="Times New Roman" w:eastAsia="宋体" w:cs="Times New Roman"/>
          <w:caps w:val="0"/>
          <w:smallCaps w:val="0"/>
          <w:color w:val="auto"/>
          <w:spacing w:val="0"/>
          <w:w w:val="100"/>
          <w:kern w:val="0"/>
          <w:position w:val="0"/>
          <w:sz w:val="24"/>
          <w:szCs w:val="24"/>
          <w:u w:val="none" w:color="auto"/>
        </w:rPr>
        <w:t>相符性分析</w:t>
      </w:r>
    </w:p>
    <w:p w14:paraId="6283E471">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FF0000"/>
          <w:spacing w:val="0"/>
          <w:w w:val="100"/>
          <w:kern w:val="0"/>
          <w:position w:val="0"/>
          <w:sz w:val="24"/>
          <w:szCs w:val="24"/>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东山水库除险加固工程涉及洞庭湖区生物多样性保护、洪水调蓄生态保护红线，项目永久工程处于生态保护红线范围内，永久用地涉及生态保护红线9.473hm</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vertAlign w:val="superscript"/>
          <w:lang w:val="en-US" w:eastAsia="zh-CN"/>
        </w:rPr>
        <w:t>2</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；临时用地不涉及生态保护红线。本工程属于已有的合法水利设施运行维护改造，不属于开发性、生产性建设活动，不新增用地。根据前文分析可知，本工程符合《自然资源部 生态环境部 国家林业和草原局 关于加强生态保护红线管理的通知（试行）》（自然资发〔2022〕142号）的管控要求。</w:t>
      </w:r>
    </w:p>
    <w:p w14:paraId="08DCBF63">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highlight w:val="none"/>
          <w:u w:val="none" w:color="auto"/>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工程实施有利于消除大坝安全隐患，保障水库和流域防洪安全。本项目符合生态保护红线相关管理办法的规定。</w:t>
      </w:r>
    </w:p>
    <w:p w14:paraId="070A1BA6">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highlight w:val="none"/>
          <w:u w:val="none" w:color="auto"/>
        </w:rPr>
      </w:pPr>
      <w:r>
        <w:rPr>
          <w:rFonts w:hint="default" w:ascii="Times New Roman" w:hAnsi="Times New Roman" w:eastAsia="宋体" w:cs="Times New Roman"/>
          <w:caps w:val="0"/>
          <w:smallCaps w:val="0"/>
          <w:color w:val="FF0000"/>
          <w:spacing w:val="0"/>
          <w:w w:val="100"/>
          <w:kern w:val="0"/>
          <w:position w:val="0"/>
          <w:sz w:val="24"/>
          <w:szCs w:val="24"/>
          <w:highlight w:val="none"/>
          <w:u w:val="none" w:color="auto"/>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2）</w:t>
      </w:r>
      <w:r>
        <w:rPr>
          <w:rFonts w:hint="default" w:ascii="Times New Roman" w:hAnsi="Times New Roman" w:eastAsia="宋体" w:cs="Times New Roman"/>
          <w:caps w:val="0"/>
          <w:smallCaps w:val="0"/>
          <w:color w:val="auto"/>
          <w:spacing w:val="0"/>
          <w:w w:val="100"/>
          <w:kern w:val="0"/>
          <w:position w:val="0"/>
          <w:sz w:val="24"/>
          <w:szCs w:val="24"/>
          <w:u w:val="none" w:color="auto"/>
        </w:rPr>
        <w:t>与</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环境质量底线</w:t>
      </w:r>
      <w:r>
        <w:rPr>
          <w:rFonts w:hint="default" w:ascii="Times New Roman" w:hAnsi="Times New Roman" w:eastAsia="宋体" w:cs="Times New Roman"/>
          <w:caps w:val="0"/>
          <w:smallCaps w:val="0"/>
          <w:color w:val="auto"/>
          <w:spacing w:val="0"/>
          <w:w w:val="100"/>
          <w:kern w:val="0"/>
          <w:position w:val="0"/>
          <w:sz w:val="24"/>
          <w:szCs w:val="24"/>
          <w:u w:val="none" w:color="auto"/>
        </w:rPr>
        <w:t>相符性分析</w:t>
      </w:r>
    </w:p>
    <w:p w14:paraId="7A90B586">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根据环境现状监测结果，项目拟建区域目前环境空气、地表水、地下水、声环境、土壤环境均都能达到相应质量标准要求。项目施工期采取相应环保措施后，对周边影响较小。因此项目的建设不会突破项目所在地的环境质量底线。 </w:t>
      </w:r>
    </w:p>
    <w:p w14:paraId="2CF1F4ED">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3）与资源利用上线相符性分析</w:t>
      </w:r>
    </w:p>
    <w:p w14:paraId="0B1B6F56">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本工程为水库除险加固工程，不属于高能耗、高消耗工业项目。项目主要使用资源为电，通过当地供电电网接线供给，使用量较少，可满足本工程需要。工程不新增用地，施工期用水量少，不会突破区域资源利用上线。</w:t>
      </w:r>
    </w:p>
    <w:p w14:paraId="025A1A8D">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4）</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与</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生态环境准入及管控要求</w:t>
      </w:r>
      <w:r>
        <w:rPr>
          <w:rFonts w:hint="default" w:ascii="Times New Roman" w:hAnsi="Times New Roman" w:eastAsia="宋体" w:cs="Times New Roman"/>
          <w:caps w:val="0"/>
          <w:smallCaps w:val="0"/>
          <w:color w:val="auto"/>
          <w:spacing w:val="0"/>
          <w:w w:val="100"/>
          <w:kern w:val="0"/>
          <w:position w:val="0"/>
          <w:sz w:val="24"/>
          <w:szCs w:val="24"/>
          <w:u w:val="none" w:color="auto"/>
        </w:rPr>
        <w:t>清单</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相符性分析</w:t>
      </w:r>
    </w:p>
    <w:p w14:paraId="3881F50B">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olor w:val="000000"/>
          <w:spacing w:val="0"/>
          <w:w w:val="100"/>
          <w:kern w:val="2"/>
          <w:position w:val="0"/>
          <w:sz w:val="24"/>
          <w:szCs w:val="24"/>
          <w:u w:val="none" w:color="auto"/>
          <w:lang w:val="en-US" w:eastAsia="zh-CN" w:bidi="ar"/>
        </w:rPr>
      </w:pPr>
      <w:r>
        <w:rPr>
          <w:rFonts w:hint="default" w:ascii="Times New Roman" w:hAnsi="Times New Roman" w:eastAsia="宋体" w:cs="Times New Roman"/>
          <w:color w:val="000000"/>
          <w:spacing w:val="0"/>
          <w:w w:val="100"/>
          <w:kern w:val="2"/>
          <w:position w:val="0"/>
          <w:sz w:val="24"/>
          <w:szCs w:val="24"/>
          <w:u w:val="none" w:color="auto"/>
          <w:lang w:val="en-US" w:eastAsia="zh-CN" w:bidi="ar"/>
        </w:rPr>
        <w:t>根据《岳阳市人民政府关于实施岳阳市“三线一单”生态环境分区管控的意见》（岳政发〔2021〕2号），本项目位于岳阳市华容县东山镇范围内，为优先保护单元。</w:t>
      </w:r>
      <w:r>
        <w:rPr>
          <w:rFonts w:hint="default" w:ascii="Times New Roman" w:hAnsi="Times New Roman" w:eastAsia="宋体" w:cs="Times New Roman"/>
          <w:caps w:val="0"/>
          <w:smallCaps w:val="0"/>
          <w:color w:val="auto"/>
          <w:spacing w:val="0"/>
          <w:w w:val="100"/>
          <w:kern w:val="0"/>
          <w:position w:val="0"/>
          <w:sz w:val="24"/>
          <w:szCs w:val="24"/>
          <w:u w:val="none" w:color="auto"/>
        </w:rPr>
        <w:t>工程属于《产业结构调整指导目录（20</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24</w:t>
      </w:r>
      <w:r>
        <w:rPr>
          <w:rFonts w:hint="default" w:ascii="Times New Roman" w:hAnsi="Times New Roman" w:eastAsia="宋体" w:cs="Times New Roman"/>
          <w:caps w:val="0"/>
          <w:smallCaps w:val="0"/>
          <w:color w:val="auto"/>
          <w:spacing w:val="0"/>
          <w:w w:val="100"/>
          <w:kern w:val="0"/>
          <w:position w:val="0"/>
          <w:sz w:val="24"/>
          <w:szCs w:val="24"/>
          <w:u w:val="none" w:color="auto"/>
        </w:rPr>
        <w:t>年本）》中的鼓励类项目，项目建设符合</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岳阳市生态环境准入及管控要求</w:t>
      </w:r>
      <w:r>
        <w:rPr>
          <w:rFonts w:hint="default" w:ascii="Times New Roman" w:hAnsi="Times New Roman" w:eastAsia="宋体" w:cs="Times New Roman"/>
          <w:caps w:val="0"/>
          <w:smallCaps w:val="0"/>
          <w:color w:val="auto"/>
          <w:spacing w:val="0"/>
          <w:w w:val="100"/>
          <w:kern w:val="0"/>
          <w:position w:val="0"/>
          <w:sz w:val="24"/>
          <w:szCs w:val="24"/>
          <w:u w:val="none" w:color="auto"/>
        </w:rPr>
        <w:t>清单的要求。</w:t>
      </w:r>
      <w:r>
        <w:rPr>
          <w:rFonts w:hint="default" w:ascii="Times New Roman" w:hAnsi="Times New Roman" w:eastAsia="宋体" w:cs="Times New Roman"/>
          <w:color w:val="000000"/>
          <w:spacing w:val="0"/>
          <w:w w:val="100"/>
          <w:kern w:val="2"/>
          <w:position w:val="0"/>
          <w:sz w:val="24"/>
          <w:szCs w:val="24"/>
          <w:u w:val="none" w:color="auto"/>
          <w:lang w:val="en-US" w:eastAsia="zh-CN" w:bidi="ar"/>
        </w:rPr>
        <w:t>本项目与“三线一单”符合性分析具体如下：</w:t>
      </w:r>
    </w:p>
    <w:p w14:paraId="33CF22FC">
      <w:pPr>
        <w:pStyle w:val="36"/>
        <w:keepNext w:val="0"/>
        <w:keepLines w:val="0"/>
        <w:widowControl w:val="0"/>
        <w:suppressLineNumbers w:val="0"/>
        <w:spacing w:before="0" w:beforeAutospacing="0" w:after="0" w:afterAutospacing="0"/>
        <w:ind w:left="0" w:right="0" w:firstLine="482"/>
        <w:jc w:val="center"/>
        <w:rPr>
          <w:rFonts w:hint="default" w:ascii="Times New Roman" w:hAnsi="Times New Roman" w:eastAsia="宋体" w:cs="Times New Roman"/>
          <w:b/>
          <w:bCs/>
          <w:color w:val="000000"/>
          <w:spacing w:val="0"/>
          <w:w w:val="100"/>
          <w:position w:val="0"/>
          <w:sz w:val="24"/>
          <w:szCs w:val="24"/>
          <w:u w:val="none" w:color="auto"/>
          <w:lang w:val="en-US"/>
        </w:rPr>
      </w:pPr>
      <w:r>
        <w:rPr>
          <w:rFonts w:hint="default" w:ascii="Times New Roman" w:hAnsi="Times New Roman" w:eastAsia="宋体" w:cs="Times New Roman"/>
          <w:b/>
          <w:bCs/>
          <w:color w:val="000000"/>
          <w:spacing w:val="0"/>
          <w:w w:val="100"/>
          <w:kern w:val="2"/>
          <w:position w:val="0"/>
          <w:sz w:val="24"/>
          <w:szCs w:val="24"/>
          <w:u w:val="none" w:color="auto"/>
          <w:lang w:val="en-US" w:eastAsia="zh-CN" w:bidi="ar"/>
        </w:rPr>
        <w:t>表1  项目与岳政发〔2021〕2号符合性一览表</w:t>
      </w:r>
    </w:p>
    <w:tbl>
      <w:tblPr>
        <w:tblStyle w:val="39"/>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62"/>
        <w:gridCol w:w="1084"/>
        <w:gridCol w:w="968"/>
        <w:gridCol w:w="1591"/>
        <w:gridCol w:w="2007"/>
        <w:gridCol w:w="1303"/>
      </w:tblGrid>
      <w:tr w14:paraId="74DF63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17" w:type="pct"/>
            <w:tcBorders>
              <w:top w:val="single" w:color="auto" w:sz="12" w:space="0"/>
              <w:left w:val="single" w:color="auto" w:sz="12" w:space="0"/>
              <w:bottom w:val="single" w:color="auto" w:sz="6" w:space="0"/>
              <w:right w:val="single" w:color="auto" w:sz="6" w:space="0"/>
            </w:tcBorders>
            <w:noWrap w:val="0"/>
            <w:vAlign w:val="center"/>
          </w:tcPr>
          <w:p w14:paraId="01763032">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000000"/>
                <w:spacing w:val="0"/>
                <w:w w:val="100"/>
                <w:kern w:val="0"/>
                <w:position w:val="0"/>
                <w:u w:val="none" w:color="auto"/>
                <w:lang w:val="en-US" w:bidi="ar"/>
              </w:rPr>
            </w:pPr>
            <w:r>
              <w:rPr>
                <w:rFonts w:hint="default" w:ascii="Times New Roman" w:hAnsi="Times New Roman" w:eastAsia="宋体" w:cs="Times New Roman"/>
                <w:b/>
                <w:bCs w:val="0"/>
                <w:color w:val="000000"/>
                <w:spacing w:val="0"/>
                <w:w w:val="100"/>
                <w:kern w:val="0"/>
                <w:position w:val="0"/>
                <w:sz w:val="21"/>
                <w:szCs w:val="24"/>
                <w:u w:val="none" w:color="auto"/>
                <w:lang w:val="en-US" w:eastAsia="zh-CN" w:bidi="ar"/>
              </w:rPr>
              <w:t>环境管控单元编码</w:t>
            </w:r>
          </w:p>
        </w:tc>
        <w:tc>
          <w:tcPr>
            <w:tcW w:w="636" w:type="pct"/>
            <w:tcBorders>
              <w:top w:val="single" w:color="auto" w:sz="12" w:space="0"/>
              <w:left w:val="single" w:color="auto" w:sz="6" w:space="0"/>
              <w:bottom w:val="single" w:color="auto" w:sz="6" w:space="0"/>
              <w:right w:val="single" w:color="auto" w:sz="6" w:space="0"/>
            </w:tcBorders>
            <w:noWrap w:val="0"/>
            <w:vAlign w:val="center"/>
          </w:tcPr>
          <w:p w14:paraId="5CD522D1">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000000"/>
                <w:spacing w:val="0"/>
                <w:w w:val="100"/>
                <w:kern w:val="0"/>
                <w:position w:val="0"/>
                <w:u w:val="none" w:color="auto"/>
                <w:lang w:val="en-US" w:bidi="ar"/>
              </w:rPr>
            </w:pPr>
            <w:r>
              <w:rPr>
                <w:rFonts w:hint="default" w:ascii="Times New Roman" w:hAnsi="Times New Roman" w:eastAsia="宋体" w:cs="Times New Roman"/>
                <w:b/>
                <w:bCs w:val="0"/>
                <w:color w:val="000000"/>
                <w:spacing w:val="0"/>
                <w:w w:val="100"/>
                <w:kern w:val="0"/>
                <w:position w:val="0"/>
                <w:sz w:val="21"/>
                <w:szCs w:val="24"/>
                <w:u w:val="none" w:color="auto"/>
                <w:lang w:val="en-US" w:eastAsia="zh-CN" w:bidi="ar"/>
              </w:rPr>
              <w:t>单元名称</w:t>
            </w:r>
          </w:p>
        </w:tc>
        <w:tc>
          <w:tcPr>
            <w:tcW w:w="568" w:type="pct"/>
            <w:tcBorders>
              <w:top w:val="single" w:color="auto" w:sz="12" w:space="0"/>
              <w:left w:val="single" w:color="auto" w:sz="6" w:space="0"/>
              <w:bottom w:val="single" w:color="auto" w:sz="6" w:space="0"/>
              <w:right w:val="single" w:color="auto" w:sz="6" w:space="0"/>
            </w:tcBorders>
            <w:noWrap w:val="0"/>
            <w:vAlign w:val="center"/>
          </w:tcPr>
          <w:p w14:paraId="085A9041">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000000"/>
                <w:spacing w:val="0"/>
                <w:w w:val="100"/>
                <w:kern w:val="0"/>
                <w:position w:val="0"/>
                <w:sz w:val="21"/>
                <w:szCs w:val="24"/>
                <w:u w:val="none" w:color="auto"/>
                <w:lang w:val="en-US" w:eastAsia="zh-CN" w:bidi="ar"/>
              </w:rPr>
            </w:pPr>
            <w:r>
              <w:rPr>
                <w:rFonts w:hint="default" w:ascii="Times New Roman" w:hAnsi="Times New Roman" w:eastAsia="宋体" w:cs="Times New Roman"/>
                <w:b/>
                <w:bCs w:val="0"/>
                <w:color w:val="000000"/>
                <w:spacing w:val="0"/>
                <w:w w:val="100"/>
                <w:kern w:val="0"/>
                <w:position w:val="0"/>
                <w:sz w:val="21"/>
                <w:szCs w:val="24"/>
                <w:u w:val="none" w:color="auto"/>
                <w:lang w:val="en-US" w:eastAsia="zh-CN" w:bidi="ar"/>
              </w:rPr>
              <w:t>单元</w:t>
            </w:r>
          </w:p>
          <w:p w14:paraId="46BF63C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000000"/>
                <w:spacing w:val="0"/>
                <w:w w:val="100"/>
                <w:kern w:val="0"/>
                <w:position w:val="0"/>
                <w:u w:val="none" w:color="auto"/>
                <w:lang w:val="en-US" w:bidi="ar"/>
              </w:rPr>
            </w:pPr>
            <w:r>
              <w:rPr>
                <w:rFonts w:hint="default" w:ascii="Times New Roman" w:hAnsi="Times New Roman" w:eastAsia="宋体" w:cs="Times New Roman"/>
                <w:b/>
                <w:bCs w:val="0"/>
                <w:color w:val="000000"/>
                <w:spacing w:val="0"/>
                <w:w w:val="100"/>
                <w:kern w:val="0"/>
                <w:position w:val="0"/>
                <w:sz w:val="21"/>
                <w:szCs w:val="24"/>
                <w:u w:val="none" w:color="auto"/>
                <w:lang w:val="en-US" w:eastAsia="zh-CN" w:bidi="ar"/>
              </w:rPr>
              <w:t>分类</w:t>
            </w:r>
          </w:p>
        </w:tc>
        <w:tc>
          <w:tcPr>
            <w:tcW w:w="934" w:type="pct"/>
            <w:tcBorders>
              <w:top w:val="single" w:color="auto" w:sz="12" w:space="0"/>
              <w:left w:val="single" w:color="auto" w:sz="6" w:space="0"/>
              <w:bottom w:val="single" w:color="auto" w:sz="6" w:space="0"/>
              <w:right w:val="single" w:color="auto" w:sz="6" w:space="0"/>
            </w:tcBorders>
            <w:noWrap w:val="0"/>
            <w:vAlign w:val="center"/>
          </w:tcPr>
          <w:p w14:paraId="12FAA7E0">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000000"/>
                <w:spacing w:val="0"/>
                <w:w w:val="100"/>
                <w:kern w:val="0"/>
                <w:position w:val="0"/>
                <w:u w:val="none" w:color="auto"/>
                <w:lang w:val="en-US" w:bidi="ar"/>
              </w:rPr>
            </w:pPr>
            <w:r>
              <w:rPr>
                <w:rFonts w:hint="default" w:ascii="Times New Roman" w:hAnsi="Times New Roman" w:eastAsia="宋体" w:cs="Times New Roman"/>
                <w:b/>
                <w:bCs w:val="0"/>
                <w:color w:val="000000"/>
                <w:spacing w:val="0"/>
                <w:w w:val="100"/>
                <w:kern w:val="0"/>
                <w:position w:val="0"/>
                <w:sz w:val="21"/>
                <w:szCs w:val="24"/>
                <w:u w:val="none" w:color="auto"/>
                <w:lang w:val="en-US" w:eastAsia="zh-CN" w:bidi="ar"/>
              </w:rPr>
              <w:t>单元面积</w:t>
            </w:r>
          </w:p>
        </w:tc>
        <w:tc>
          <w:tcPr>
            <w:tcW w:w="1178" w:type="pct"/>
            <w:tcBorders>
              <w:top w:val="single" w:color="auto" w:sz="12" w:space="0"/>
              <w:left w:val="single" w:color="auto" w:sz="6" w:space="0"/>
              <w:bottom w:val="single" w:color="auto" w:sz="6" w:space="0"/>
              <w:right w:val="single" w:color="auto" w:sz="6" w:space="0"/>
            </w:tcBorders>
            <w:noWrap w:val="0"/>
            <w:vAlign w:val="center"/>
          </w:tcPr>
          <w:p w14:paraId="549880B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000000"/>
                <w:spacing w:val="0"/>
                <w:w w:val="100"/>
                <w:kern w:val="0"/>
                <w:position w:val="0"/>
                <w:u w:val="none" w:color="auto"/>
                <w:lang w:val="en-US" w:bidi="ar"/>
              </w:rPr>
            </w:pPr>
            <w:r>
              <w:rPr>
                <w:rFonts w:hint="default" w:ascii="Times New Roman" w:hAnsi="Times New Roman" w:eastAsia="宋体" w:cs="Times New Roman"/>
                <w:b/>
                <w:bCs w:val="0"/>
                <w:color w:val="000000"/>
                <w:spacing w:val="0"/>
                <w:w w:val="100"/>
                <w:kern w:val="0"/>
                <w:position w:val="0"/>
                <w:sz w:val="21"/>
                <w:szCs w:val="24"/>
                <w:u w:val="none" w:color="auto"/>
                <w:lang w:val="en-US" w:eastAsia="zh-CN" w:bidi="ar"/>
              </w:rPr>
              <w:t>经济产业布局</w:t>
            </w:r>
          </w:p>
        </w:tc>
        <w:tc>
          <w:tcPr>
            <w:tcW w:w="765" w:type="pct"/>
            <w:tcBorders>
              <w:top w:val="single" w:color="auto" w:sz="12" w:space="0"/>
              <w:left w:val="single" w:color="auto" w:sz="6" w:space="0"/>
              <w:bottom w:val="single" w:color="auto" w:sz="6" w:space="0"/>
              <w:right w:val="single" w:color="auto" w:sz="12" w:space="0"/>
            </w:tcBorders>
            <w:noWrap w:val="0"/>
            <w:vAlign w:val="center"/>
          </w:tcPr>
          <w:p w14:paraId="35BD04A8">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val="0"/>
                <w:color w:val="000000"/>
                <w:spacing w:val="0"/>
                <w:w w:val="100"/>
                <w:kern w:val="0"/>
                <w:position w:val="0"/>
                <w:u w:val="none" w:color="auto"/>
                <w:lang w:val="en-US" w:bidi="ar"/>
              </w:rPr>
            </w:pPr>
            <w:r>
              <w:rPr>
                <w:rFonts w:hint="default" w:ascii="Times New Roman" w:hAnsi="Times New Roman" w:eastAsia="宋体" w:cs="Times New Roman"/>
                <w:b/>
                <w:bCs w:val="0"/>
                <w:color w:val="000000"/>
                <w:spacing w:val="0"/>
                <w:w w:val="100"/>
                <w:kern w:val="0"/>
                <w:position w:val="0"/>
                <w:sz w:val="21"/>
                <w:szCs w:val="24"/>
                <w:u w:val="none" w:color="auto"/>
                <w:lang w:val="en-US" w:eastAsia="zh-CN" w:bidi="ar"/>
              </w:rPr>
              <w:t>主要环境问题</w:t>
            </w:r>
          </w:p>
        </w:tc>
      </w:tr>
      <w:tr w14:paraId="57DFD6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17" w:type="pct"/>
            <w:tcBorders>
              <w:top w:val="single" w:color="auto" w:sz="6" w:space="0"/>
              <w:left w:val="single" w:color="auto" w:sz="12" w:space="0"/>
              <w:bottom w:val="single" w:color="auto" w:sz="6" w:space="0"/>
              <w:right w:val="single" w:color="auto" w:sz="6" w:space="0"/>
            </w:tcBorders>
            <w:noWrap w:val="0"/>
            <w:vAlign w:val="center"/>
          </w:tcPr>
          <w:p w14:paraId="25AC2D41">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pacing w:val="0"/>
                <w:w w:val="100"/>
                <w:position w:val="0"/>
                <w:u w:val="none" w:color="auto"/>
                <w:lang w:val="en-US"/>
              </w:rPr>
            </w:pPr>
            <w:r>
              <w:rPr>
                <w:rFonts w:hint="default" w:ascii="Times New Roman" w:hAnsi="Times New Roman" w:eastAsia="宋体" w:cs="Times New Roman"/>
                <w:color w:val="000000"/>
                <w:spacing w:val="0"/>
                <w:w w:val="100"/>
                <w:kern w:val="2"/>
                <w:position w:val="0"/>
                <w:sz w:val="21"/>
                <w:szCs w:val="24"/>
                <w:u w:val="none" w:color="auto"/>
                <w:lang w:val="en-US" w:eastAsia="zh-CN" w:bidi="ar"/>
              </w:rPr>
              <w:t>ZH430623</w:t>
            </w:r>
          </w:p>
          <w:p w14:paraId="088CD695">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pacing w:val="0"/>
                <w:w w:val="100"/>
                <w:position w:val="0"/>
                <w:u w:val="none" w:color="auto"/>
                <w:lang w:val="en-US"/>
              </w:rPr>
            </w:pPr>
            <w:r>
              <w:rPr>
                <w:rFonts w:hint="default" w:ascii="Times New Roman" w:hAnsi="Times New Roman" w:eastAsia="宋体" w:cs="Times New Roman"/>
                <w:color w:val="000000"/>
                <w:spacing w:val="0"/>
                <w:w w:val="100"/>
                <w:kern w:val="2"/>
                <w:position w:val="0"/>
                <w:sz w:val="21"/>
                <w:szCs w:val="24"/>
                <w:u w:val="none" w:color="auto"/>
                <w:lang w:val="en-US" w:eastAsia="zh-CN" w:bidi="ar"/>
              </w:rPr>
              <w:t>10001</w:t>
            </w:r>
          </w:p>
        </w:tc>
        <w:tc>
          <w:tcPr>
            <w:tcW w:w="636" w:type="pct"/>
            <w:tcBorders>
              <w:top w:val="single" w:color="auto" w:sz="6" w:space="0"/>
              <w:left w:val="single" w:color="auto" w:sz="6" w:space="0"/>
              <w:bottom w:val="single" w:color="auto" w:sz="6" w:space="0"/>
              <w:right w:val="single" w:color="auto" w:sz="6" w:space="0"/>
            </w:tcBorders>
            <w:noWrap w:val="0"/>
            <w:vAlign w:val="center"/>
          </w:tcPr>
          <w:p w14:paraId="06115A0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pacing w:val="0"/>
                <w:w w:val="100"/>
                <w:position w:val="0"/>
                <w:u w:val="none" w:color="auto"/>
                <w:lang w:val="en-US"/>
              </w:rPr>
            </w:pPr>
            <w:r>
              <w:rPr>
                <w:rFonts w:hint="default" w:ascii="Times New Roman" w:hAnsi="Times New Roman" w:eastAsia="宋体" w:cs="Times New Roman"/>
                <w:color w:val="000000"/>
                <w:spacing w:val="0"/>
                <w:w w:val="100"/>
                <w:kern w:val="2"/>
                <w:position w:val="0"/>
                <w:sz w:val="21"/>
                <w:szCs w:val="24"/>
                <w:u w:val="none" w:color="auto"/>
                <w:lang w:val="en-US" w:eastAsia="zh-CN" w:bidi="ar"/>
              </w:rPr>
              <w:t>东山镇</w:t>
            </w:r>
          </w:p>
        </w:tc>
        <w:tc>
          <w:tcPr>
            <w:tcW w:w="568" w:type="pct"/>
            <w:tcBorders>
              <w:top w:val="single" w:color="auto" w:sz="6" w:space="0"/>
              <w:left w:val="single" w:color="auto" w:sz="6" w:space="0"/>
              <w:bottom w:val="single" w:color="auto" w:sz="6" w:space="0"/>
              <w:right w:val="single" w:color="auto" w:sz="6" w:space="0"/>
            </w:tcBorders>
            <w:noWrap w:val="0"/>
            <w:vAlign w:val="center"/>
          </w:tcPr>
          <w:p w14:paraId="5B6C827C">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spacing w:val="0"/>
                <w:w w:val="100"/>
                <w:kern w:val="0"/>
                <w:position w:val="0"/>
                <w:u w:val="none" w:color="auto"/>
                <w:lang w:val="en-US" w:bidi="ar"/>
              </w:rPr>
            </w:pPr>
            <w:r>
              <w:rPr>
                <w:rFonts w:hint="default" w:ascii="Times New Roman" w:hAnsi="Times New Roman" w:eastAsia="宋体" w:cs="Times New Roman"/>
                <w:bCs/>
                <w:color w:val="000000"/>
                <w:spacing w:val="0"/>
                <w:w w:val="100"/>
                <w:kern w:val="0"/>
                <w:position w:val="0"/>
                <w:sz w:val="21"/>
                <w:szCs w:val="24"/>
                <w:u w:val="none" w:color="auto"/>
                <w:lang w:val="en-US" w:eastAsia="zh-CN" w:bidi="ar"/>
              </w:rPr>
              <w:t>优先保护单元</w:t>
            </w:r>
          </w:p>
        </w:tc>
        <w:tc>
          <w:tcPr>
            <w:tcW w:w="934" w:type="pct"/>
            <w:tcBorders>
              <w:top w:val="single" w:color="auto" w:sz="6" w:space="0"/>
              <w:left w:val="single" w:color="auto" w:sz="6" w:space="0"/>
              <w:bottom w:val="single" w:color="auto" w:sz="6" w:space="0"/>
              <w:right w:val="single" w:color="auto" w:sz="6" w:space="0"/>
            </w:tcBorders>
            <w:noWrap w:val="0"/>
            <w:vAlign w:val="center"/>
          </w:tcPr>
          <w:p w14:paraId="2389CD5B">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spacing w:val="0"/>
                <w:w w:val="100"/>
                <w:kern w:val="0"/>
                <w:position w:val="0"/>
                <w:u w:val="none" w:color="auto"/>
                <w:vertAlign w:val="superscript"/>
                <w:lang w:val="en-US" w:bidi="ar"/>
              </w:rPr>
            </w:pPr>
            <w:r>
              <w:rPr>
                <w:rFonts w:hint="default" w:ascii="Times New Roman" w:hAnsi="Times New Roman" w:eastAsia="宋体" w:cs="Times New Roman"/>
                <w:bCs/>
                <w:color w:val="000000"/>
                <w:spacing w:val="0"/>
                <w:w w:val="100"/>
                <w:kern w:val="0"/>
                <w:position w:val="0"/>
                <w:sz w:val="21"/>
                <w:szCs w:val="24"/>
                <w:u w:val="none" w:color="auto"/>
                <w:lang w:val="en-US" w:eastAsia="zh-CN" w:bidi="ar"/>
              </w:rPr>
              <w:t>339.95km</w:t>
            </w:r>
            <w:r>
              <w:rPr>
                <w:rFonts w:hint="default" w:ascii="Times New Roman" w:hAnsi="Times New Roman" w:eastAsia="宋体" w:cs="Times New Roman"/>
                <w:bCs/>
                <w:color w:val="000000"/>
                <w:spacing w:val="0"/>
                <w:w w:val="100"/>
                <w:kern w:val="0"/>
                <w:position w:val="0"/>
                <w:sz w:val="21"/>
                <w:szCs w:val="24"/>
                <w:u w:val="none" w:color="auto"/>
                <w:vertAlign w:val="superscript"/>
                <w:lang w:val="en-US" w:eastAsia="zh-CN" w:bidi="ar"/>
              </w:rPr>
              <w:t>2</w:t>
            </w:r>
          </w:p>
        </w:tc>
        <w:tc>
          <w:tcPr>
            <w:tcW w:w="1178" w:type="pct"/>
            <w:tcBorders>
              <w:top w:val="single" w:color="auto" w:sz="6" w:space="0"/>
              <w:left w:val="single" w:color="auto" w:sz="6" w:space="0"/>
              <w:bottom w:val="single" w:color="auto" w:sz="6" w:space="0"/>
              <w:right w:val="single" w:color="auto" w:sz="6" w:space="0"/>
            </w:tcBorders>
            <w:noWrap w:val="0"/>
            <w:vAlign w:val="center"/>
          </w:tcPr>
          <w:p w14:paraId="4177BFA9">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spacing w:val="0"/>
                <w:w w:val="100"/>
                <w:kern w:val="0"/>
                <w:position w:val="0"/>
                <w:u w:val="none" w:color="auto"/>
                <w:lang w:val="en-US" w:bidi="ar"/>
              </w:rPr>
            </w:pPr>
            <w:r>
              <w:rPr>
                <w:rFonts w:hint="default" w:ascii="Times New Roman" w:hAnsi="Times New Roman" w:eastAsia="宋体" w:cs="Times New Roman"/>
                <w:bCs/>
                <w:color w:val="000000"/>
                <w:spacing w:val="0"/>
                <w:w w:val="100"/>
                <w:kern w:val="0"/>
                <w:position w:val="0"/>
                <w:u w:val="none" w:color="auto"/>
                <w:lang w:val="en-US" w:bidi="ar"/>
              </w:rPr>
              <w:t>发展绿色能源产业基地、休闲旅游、电子产业，重点推进华容煤炭铁水联运储备基地和神华国华岳阳电厂等相关能源经济项目建设</w:t>
            </w:r>
          </w:p>
        </w:tc>
        <w:tc>
          <w:tcPr>
            <w:tcW w:w="765" w:type="pct"/>
            <w:tcBorders>
              <w:top w:val="single" w:color="auto" w:sz="6" w:space="0"/>
              <w:left w:val="single" w:color="auto" w:sz="6" w:space="0"/>
              <w:bottom w:val="single" w:color="auto" w:sz="6" w:space="0"/>
              <w:right w:val="single" w:color="auto" w:sz="12" w:space="0"/>
            </w:tcBorders>
            <w:noWrap w:val="0"/>
            <w:vAlign w:val="center"/>
          </w:tcPr>
          <w:p w14:paraId="533A0659">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000000"/>
                <w:spacing w:val="0"/>
                <w:w w:val="100"/>
                <w:kern w:val="0"/>
                <w:position w:val="0"/>
                <w:u w:val="none" w:color="auto"/>
                <w:lang w:val="en-US" w:bidi="ar"/>
              </w:rPr>
            </w:pPr>
            <w:r>
              <w:rPr>
                <w:rFonts w:hint="default" w:ascii="Times New Roman" w:hAnsi="Times New Roman" w:eastAsia="宋体" w:cs="Times New Roman"/>
                <w:bCs/>
                <w:color w:val="000000"/>
                <w:spacing w:val="0"/>
                <w:w w:val="100"/>
                <w:kern w:val="0"/>
                <w:position w:val="0"/>
                <w:u w:val="none" w:color="auto"/>
                <w:lang w:val="en-US" w:bidi="ar"/>
              </w:rPr>
              <w:t>长江岸线深填修复问题；关停矿山、采石场产生的生态破坏；畜禽养殖等农业面源污染</w:t>
            </w:r>
          </w:p>
        </w:tc>
      </w:tr>
      <w:tr w14:paraId="2353D6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17" w:type="pct"/>
            <w:tcBorders>
              <w:top w:val="single" w:color="auto" w:sz="6" w:space="0"/>
              <w:left w:val="single" w:color="auto" w:sz="12" w:space="0"/>
              <w:bottom w:val="single" w:color="auto" w:sz="6" w:space="0"/>
              <w:right w:val="single" w:color="auto" w:sz="6" w:space="0"/>
            </w:tcBorders>
            <w:noWrap w:val="0"/>
            <w:vAlign w:val="center"/>
          </w:tcPr>
          <w:p w14:paraId="5166D359">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000000"/>
                <w:spacing w:val="0"/>
                <w:w w:val="100"/>
                <w:kern w:val="2"/>
                <w:position w:val="0"/>
                <w:sz w:val="21"/>
                <w:szCs w:val="24"/>
                <w:u w:val="none" w:color="auto"/>
                <w:lang w:val="en-US" w:eastAsia="zh-CN" w:bidi="ar"/>
              </w:rPr>
            </w:pPr>
            <w:r>
              <w:rPr>
                <w:rFonts w:hint="default" w:ascii="Times New Roman" w:hAnsi="Times New Roman" w:eastAsia="宋体" w:cs="Times New Roman"/>
                <w:b/>
                <w:bCs/>
                <w:color w:val="000000"/>
                <w:spacing w:val="0"/>
                <w:w w:val="100"/>
                <w:kern w:val="2"/>
                <w:position w:val="0"/>
                <w:sz w:val="21"/>
                <w:szCs w:val="24"/>
                <w:u w:val="none" w:color="auto"/>
                <w:lang w:val="en-US" w:eastAsia="zh-CN" w:bidi="ar"/>
              </w:rPr>
              <w:t>管控维度</w:t>
            </w:r>
          </w:p>
        </w:tc>
        <w:tc>
          <w:tcPr>
            <w:tcW w:w="2139" w:type="pct"/>
            <w:gridSpan w:val="3"/>
            <w:tcBorders>
              <w:top w:val="single" w:color="auto" w:sz="6" w:space="0"/>
              <w:left w:val="single" w:color="auto" w:sz="6" w:space="0"/>
              <w:bottom w:val="single" w:color="auto" w:sz="6" w:space="0"/>
              <w:right w:val="single" w:color="auto" w:sz="6" w:space="0"/>
            </w:tcBorders>
            <w:noWrap w:val="0"/>
            <w:vAlign w:val="center"/>
          </w:tcPr>
          <w:p w14:paraId="0867A9CB">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000000"/>
                <w:spacing w:val="0"/>
                <w:w w:val="100"/>
                <w:kern w:val="0"/>
                <w:position w:val="0"/>
                <w:sz w:val="21"/>
                <w:szCs w:val="24"/>
                <w:u w:val="none" w:color="auto"/>
                <w:lang w:val="en-US" w:eastAsia="zh-CN" w:bidi="ar"/>
              </w:rPr>
            </w:pPr>
            <w:r>
              <w:rPr>
                <w:rFonts w:hint="default" w:ascii="Times New Roman" w:hAnsi="Times New Roman" w:eastAsia="宋体" w:cs="Times New Roman"/>
                <w:b/>
                <w:bCs/>
                <w:color w:val="000000"/>
                <w:spacing w:val="0"/>
                <w:w w:val="100"/>
                <w:kern w:val="0"/>
                <w:position w:val="0"/>
                <w:sz w:val="21"/>
                <w:szCs w:val="24"/>
                <w:u w:val="none" w:color="auto"/>
                <w:lang w:val="en-US" w:eastAsia="zh-CN" w:bidi="ar"/>
              </w:rPr>
              <w:t>管控要求</w:t>
            </w:r>
          </w:p>
        </w:tc>
        <w:tc>
          <w:tcPr>
            <w:tcW w:w="1178" w:type="pct"/>
            <w:tcBorders>
              <w:top w:val="single" w:color="auto" w:sz="6" w:space="0"/>
              <w:left w:val="single" w:color="auto" w:sz="6" w:space="0"/>
              <w:bottom w:val="single" w:color="auto" w:sz="6" w:space="0"/>
              <w:right w:val="single" w:color="auto" w:sz="6" w:space="0"/>
            </w:tcBorders>
            <w:noWrap w:val="0"/>
            <w:vAlign w:val="center"/>
          </w:tcPr>
          <w:p w14:paraId="5FADFD21">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000000"/>
                <w:spacing w:val="0"/>
                <w:w w:val="100"/>
                <w:kern w:val="0"/>
                <w:position w:val="0"/>
                <w:u w:val="none" w:color="auto"/>
                <w:lang w:val="en-US" w:eastAsia="zh-CN" w:bidi="ar"/>
              </w:rPr>
            </w:pPr>
            <w:r>
              <w:rPr>
                <w:rFonts w:hint="default" w:ascii="Times New Roman" w:hAnsi="Times New Roman" w:eastAsia="宋体" w:cs="Times New Roman"/>
                <w:b/>
                <w:bCs/>
                <w:color w:val="000000"/>
                <w:spacing w:val="0"/>
                <w:w w:val="100"/>
                <w:kern w:val="0"/>
                <w:position w:val="0"/>
                <w:u w:val="none" w:color="auto"/>
                <w:lang w:val="en-US" w:eastAsia="zh-CN" w:bidi="ar"/>
              </w:rPr>
              <w:t>本项目情况</w:t>
            </w:r>
          </w:p>
        </w:tc>
        <w:tc>
          <w:tcPr>
            <w:tcW w:w="765" w:type="pct"/>
            <w:tcBorders>
              <w:top w:val="single" w:color="auto" w:sz="6" w:space="0"/>
              <w:left w:val="single" w:color="auto" w:sz="6" w:space="0"/>
              <w:bottom w:val="single" w:color="auto" w:sz="6" w:space="0"/>
              <w:right w:val="single" w:color="auto" w:sz="12" w:space="0"/>
            </w:tcBorders>
            <w:noWrap w:val="0"/>
            <w:vAlign w:val="center"/>
          </w:tcPr>
          <w:p w14:paraId="3886D813">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000000"/>
                <w:spacing w:val="0"/>
                <w:w w:val="100"/>
                <w:kern w:val="0"/>
                <w:position w:val="0"/>
                <w:u w:val="none" w:color="auto"/>
                <w:lang w:val="en-US" w:eastAsia="zh-CN" w:bidi="ar"/>
              </w:rPr>
            </w:pPr>
            <w:r>
              <w:rPr>
                <w:rFonts w:hint="default" w:ascii="Times New Roman" w:hAnsi="Times New Roman" w:eastAsia="宋体" w:cs="Times New Roman"/>
                <w:b/>
                <w:bCs/>
                <w:color w:val="000000"/>
                <w:spacing w:val="0"/>
                <w:w w:val="100"/>
                <w:kern w:val="0"/>
                <w:position w:val="0"/>
                <w:u w:val="none" w:color="auto"/>
                <w:lang w:val="en-US" w:eastAsia="zh-CN" w:bidi="ar"/>
              </w:rPr>
              <w:t>是否符合</w:t>
            </w:r>
          </w:p>
        </w:tc>
      </w:tr>
      <w:tr w14:paraId="3CAD3A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17" w:type="pct"/>
            <w:tcBorders>
              <w:top w:val="single" w:color="auto" w:sz="6" w:space="0"/>
              <w:left w:val="single" w:color="auto" w:sz="12" w:space="0"/>
              <w:bottom w:val="single" w:color="auto" w:sz="6" w:space="0"/>
              <w:right w:val="single" w:color="auto" w:sz="6" w:space="0"/>
            </w:tcBorders>
            <w:noWrap w:val="0"/>
            <w:vAlign w:val="center"/>
          </w:tcPr>
          <w:p w14:paraId="7F1D95D5">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eastAsia="宋体" w:cs="Times New Roman"/>
                <w:color w:val="000000"/>
                <w:spacing w:val="0"/>
                <w:w w:val="100"/>
                <w:position w:val="0"/>
                <w:u w:val="none" w:color="auto"/>
                <w:lang w:val="en-US"/>
              </w:rPr>
            </w:pPr>
            <w:r>
              <w:rPr>
                <w:rFonts w:hint="default" w:ascii="Times New Roman" w:hAnsi="Times New Roman" w:eastAsia="宋体" w:cs="Times New Roman"/>
                <w:bCs/>
                <w:color w:val="000000"/>
                <w:spacing w:val="0"/>
                <w:w w:val="100"/>
                <w:kern w:val="0"/>
                <w:position w:val="0"/>
                <w:sz w:val="21"/>
                <w:szCs w:val="24"/>
                <w:u w:val="none" w:color="auto"/>
                <w:lang w:val="en-US" w:eastAsia="zh-CN" w:bidi="ar"/>
              </w:rPr>
              <w:t>空间布局约束</w:t>
            </w:r>
          </w:p>
        </w:tc>
        <w:tc>
          <w:tcPr>
            <w:tcW w:w="2139" w:type="pct"/>
            <w:gridSpan w:val="3"/>
            <w:tcBorders>
              <w:top w:val="single" w:color="auto" w:sz="6" w:space="0"/>
              <w:left w:val="single" w:color="auto" w:sz="6" w:space="0"/>
              <w:bottom w:val="single" w:color="auto" w:sz="6" w:space="0"/>
              <w:right w:val="single" w:color="auto" w:sz="6" w:space="0"/>
            </w:tcBorders>
            <w:noWrap w:val="0"/>
            <w:vAlign w:val="center"/>
          </w:tcPr>
          <w:p w14:paraId="51081705">
            <w:pPr>
              <w:keepNext w:val="0"/>
              <w:keepLines w:val="0"/>
              <w:widowControl/>
              <w:suppressLineNumbers w:val="0"/>
              <w:adjustRightInd w:val="0"/>
              <w:snapToGrid w:val="0"/>
              <w:spacing w:before="0" w:beforeAutospacing="0" w:after="0" w:afterAutospacing="0"/>
              <w:ind w:left="0" w:right="0"/>
              <w:jc w:val="both"/>
              <w:rPr>
                <w:rFonts w:hint="default" w:ascii="Times New Roman" w:hAnsi="Times New Roman" w:eastAsia="宋体" w:cs="Times New Roman"/>
                <w:bCs/>
                <w:color w:val="000000"/>
                <w:spacing w:val="0"/>
                <w:w w:val="100"/>
                <w:position w:val="0"/>
                <w:u w:val="none" w:color="auto"/>
                <w:lang w:val="en-US"/>
              </w:rPr>
            </w:pPr>
            <w:r>
              <w:rPr>
                <w:rFonts w:hint="default" w:ascii="Times New Roman" w:hAnsi="Times New Roman" w:eastAsia="宋体" w:cs="Times New Roman"/>
                <w:bCs/>
                <w:color w:val="000000"/>
                <w:spacing w:val="0"/>
                <w:w w:val="100"/>
                <w:position w:val="0"/>
                <w:u w:val="none" w:color="auto"/>
                <w:lang w:val="en-US"/>
              </w:rPr>
              <w:t>1.1在湖南集成麋鹿自然保护区内：①严禁擅自进入保护区的核心区、缓冲区从事生产生活活动；②严禁在保护区实施畜禽养殖；③严禁在保护区构建矮围、网围；④严禁在保护区内非法开垦、挖沟、筑坝、堆山、挖砂、取土等破坏保护区地形地貌的行为，未经审批实施的各类项目建设一律停建并自行拆除；⑤严禁在保护区捕捞、猎捕野生动物、捡拾鸟卵、买卖野生动物及其制品，破坏野生珍贵稀有植物和文物古迹</w:t>
            </w:r>
          </w:p>
          <w:p w14:paraId="4C65C940">
            <w:pPr>
              <w:keepNext w:val="0"/>
              <w:keepLines w:val="0"/>
              <w:widowControl/>
              <w:suppressLineNumbers w:val="0"/>
              <w:adjustRightInd w:val="0"/>
              <w:snapToGrid w:val="0"/>
              <w:spacing w:before="0" w:beforeAutospacing="0" w:after="0" w:afterAutospacing="0"/>
              <w:ind w:left="0" w:right="0"/>
              <w:jc w:val="both"/>
              <w:rPr>
                <w:rFonts w:hint="default" w:ascii="Times New Roman" w:hAnsi="Times New Roman" w:eastAsia="宋体" w:cs="Times New Roman"/>
                <w:bCs/>
                <w:color w:val="000000"/>
                <w:spacing w:val="0"/>
                <w:w w:val="100"/>
                <w:position w:val="0"/>
                <w:u w:val="none" w:color="auto"/>
                <w:lang w:val="en-US"/>
              </w:rPr>
            </w:pPr>
            <w:r>
              <w:rPr>
                <w:rFonts w:hint="default" w:ascii="Times New Roman" w:hAnsi="Times New Roman" w:eastAsia="宋体" w:cs="Times New Roman"/>
                <w:bCs/>
                <w:color w:val="000000"/>
                <w:spacing w:val="0"/>
                <w:w w:val="100"/>
                <w:position w:val="0"/>
                <w:u w:val="none" w:color="auto"/>
                <w:lang w:val="en-US"/>
              </w:rPr>
              <w:t>1.2依法划定畜禽养殖禁养区，依法处理违规畜禽养殖行为</w:t>
            </w:r>
          </w:p>
          <w:p w14:paraId="434DFB57">
            <w:pPr>
              <w:keepNext w:val="0"/>
              <w:keepLines w:val="0"/>
              <w:widowControl/>
              <w:suppressLineNumbers w:val="0"/>
              <w:adjustRightInd w:val="0"/>
              <w:snapToGrid w:val="0"/>
              <w:spacing w:before="0" w:beforeAutospacing="0" w:after="0" w:afterAutospacing="0"/>
              <w:ind w:left="0" w:right="0"/>
              <w:jc w:val="both"/>
              <w:rPr>
                <w:rFonts w:hint="default" w:ascii="Times New Roman" w:hAnsi="Times New Roman" w:eastAsia="宋体" w:cs="Times New Roman"/>
                <w:bCs/>
                <w:color w:val="000000"/>
                <w:spacing w:val="0"/>
                <w:w w:val="100"/>
                <w:position w:val="0"/>
                <w:u w:val="none" w:color="auto"/>
                <w:lang w:val="en-US"/>
              </w:rPr>
            </w:pPr>
            <w:r>
              <w:rPr>
                <w:rFonts w:hint="default" w:ascii="Times New Roman" w:hAnsi="Times New Roman" w:eastAsia="宋体" w:cs="Times New Roman"/>
                <w:bCs/>
                <w:color w:val="000000"/>
                <w:spacing w:val="0"/>
                <w:w w:val="100"/>
                <w:position w:val="0"/>
                <w:u w:val="none" w:color="auto"/>
                <w:lang w:val="en-US"/>
              </w:rPr>
              <w:t>1.3严格禁养区管理，禁养区内禁止新建畜禽规模养殖场（小区）和养殖专业户</w:t>
            </w:r>
          </w:p>
        </w:tc>
        <w:tc>
          <w:tcPr>
            <w:tcW w:w="1178" w:type="pct"/>
            <w:tcBorders>
              <w:top w:val="single" w:color="auto" w:sz="6" w:space="0"/>
              <w:left w:val="single" w:color="auto" w:sz="6" w:space="0"/>
              <w:bottom w:val="single" w:color="auto" w:sz="6" w:space="0"/>
              <w:right w:val="single" w:color="auto" w:sz="6" w:space="0"/>
            </w:tcBorders>
            <w:noWrap w:val="0"/>
            <w:vAlign w:val="center"/>
          </w:tcPr>
          <w:p w14:paraId="439FAC21">
            <w:pPr>
              <w:keepNext w:val="0"/>
              <w:keepLines w:val="0"/>
              <w:widowControl/>
              <w:suppressLineNumbers w:val="0"/>
              <w:adjustRightInd w:val="0"/>
              <w:snapToGrid w:val="0"/>
              <w:spacing w:before="0" w:beforeAutospacing="0" w:after="0" w:afterAutospacing="0"/>
              <w:ind w:left="0" w:right="0"/>
              <w:jc w:val="both"/>
              <w:rPr>
                <w:rFonts w:hint="default" w:ascii="Times New Roman" w:hAnsi="Times New Roman" w:eastAsia="宋体" w:cs="Times New Roman"/>
                <w:bCs/>
                <w:color w:val="000000"/>
                <w:spacing w:val="0"/>
                <w:w w:val="100"/>
                <w:position w:val="0"/>
                <w:u w:val="none" w:color="auto"/>
                <w:lang w:val="en-US"/>
              </w:rPr>
            </w:pPr>
            <w:r>
              <w:rPr>
                <w:rFonts w:hint="default" w:ascii="Times New Roman" w:hAnsi="Times New Roman" w:eastAsia="宋体" w:cs="Times New Roman"/>
                <w:bCs/>
                <w:color w:val="000000"/>
                <w:spacing w:val="0"/>
                <w:w w:val="100"/>
                <w:kern w:val="2"/>
                <w:position w:val="0"/>
                <w:sz w:val="21"/>
                <w:szCs w:val="24"/>
                <w:u w:val="none" w:color="auto"/>
                <w:lang w:val="en-US" w:eastAsia="zh-CN" w:bidi="ar"/>
              </w:rPr>
              <w:t>本项目位于华容县东山镇仙鹅寺村，属于现有东山水库除险加固工程，不属于</w:t>
            </w:r>
            <w:r>
              <w:rPr>
                <w:rFonts w:hint="default" w:ascii="Times New Roman" w:hAnsi="Times New Roman" w:eastAsia="宋体" w:cs="Times New Roman"/>
                <w:bCs/>
                <w:color w:val="000000"/>
                <w:spacing w:val="0"/>
                <w:w w:val="100"/>
                <w:position w:val="0"/>
                <w:u w:val="none" w:color="auto"/>
                <w:lang w:val="en-US"/>
              </w:rPr>
              <w:t>湖南集成麋鹿自然保护区内</w:t>
            </w:r>
            <w:r>
              <w:rPr>
                <w:rFonts w:hint="default" w:ascii="Times New Roman" w:hAnsi="Times New Roman" w:eastAsia="宋体" w:cs="Times New Roman"/>
                <w:bCs/>
                <w:color w:val="000000"/>
                <w:spacing w:val="0"/>
                <w:w w:val="100"/>
                <w:position w:val="0"/>
                <w:u w:val="none" w:color="auto"/>
                <w:lang w:val="en-US" w:eastAsia="zh-CN"/>
              </w:rPr>
              <w:t>，不属于养殖项目。</w:t>
            </w:r>
          </w:p>
        </w:tc>
        <w:tc>
          <w:tcPr>
            <w:tcW w:w="765" w:type="pct"/>
            <w:tcBorders>
              <w:top w:val="single" w:color="auto" w:sz="6" w:space="0"/>
              <w:left w:val="single" w:color="auto" w:sz="6" w:space="0"/>
              <w:bottom w:val="single" w:color="auto" w:sz="6" w:space="0"/>
              <w:right w:val="single" w:color="auto" w:sz="12" w:space="0"/>
            </w:tcBorders>
            <w:noWrap w:val="0"/>
            <w:vAlign w:val="center"/>
          </w:tcPr>
          <w:p w14:paraId="1FB270B6">
            <w:pPr>
              <w:pStyle w:val="36"/>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0"/>
                <w:w w:val="100"/>
                <w:position w:val="0"/>
                <w:sz w:val="21"/>
                <w:szCs w:val="21"/>
                <w:u w:val="none" w:color="auto"/>
                <w:lang w:val="en-US"/>
              </w:rPr>
            </w:pPr>
            <w:r>
              <w:rPr>
                <w:rFonts w:hint="default" w:ascii="Times New Roman" w:hAnsi="Times New Roman" w:eastAsia="宋体" w:cs="Times New Roman"/>
                <w:bCs/>
                <w:color w:val="000000"/>
                <w:spacing w:val="0"/>
                <w:w w:val="100"/>
                <w:kern w:val="2"/>
                <w:position w:val="0"/>
                <w:sz w:val="21"/>
                <w:szCs w:val="21"/>
                <w:u w:val="none" w:color="auto"/>
                <w:lang w:val="en-US" w:eastAsia="zh-CN" w:bidi="ar"/>
              </w:rPr>
              <w:t>符合</w:t>
            </w:r>
          </w:p>
        </w:tc>
      </w:tr>
      <w:tr w14:paraId="06A1CE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17" w:type="pct"/>
            <w:tcBorders>
              <w:top w:val="single" w:color="auto" w:sz="6" w:space="0"/>
              <w:left w:val="single" w:color="auto" w:sz="12" w:space="0"/>
              <w:bottom w:val="single" w:color="auto" w:sz="6" w:space="0"/>
              <w:right w:val="single" w:color="auto" w:sz="6" w:space="0"/>
            </w:tcBorders>
            <w:noWrap w:val="0"/>
            <w:vAlign w:val="center"/>
          </w:tcPr>
          <w:p w14:paraId="7E907B08">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eastAsia="宋体" w:cs="Times New Roman"/>
                <w:bCs/>
                <w:color w:val="000000"/>
                <w:spacing w:val="0"/>
                <w:w w:val="100"/>
                <w:kern w:val="0"/>
                <w:position w:val="0"/>
                <w:u w:val="none" w:color="auto"/>
                <w:lang w:val="en-US" w:bidi="ar"/>
              </w:rPr>
            </w:pPr>
            <w:r>
              <w:rPr>
                <w:rFonts w:hint="default" w:ascii="Times New Roman" w:hAnsi="Times New Roman" w:eastAsia="宋体" w:cs="Times New Roman"/>
                <w:bCs/>
                <w:color w:val="000000"/>
                <w:spacing w:val="0"/>
                <w:w w:val="100"/>
                <w:kern w:val="0"/>
                <w:position w:val="0"/>
                <w:sz w:val="21"/>
                <w:szCs w:val="24"/>
                <w:u w:val="none" w:color="auto"/>
                <w:lang w:val="en-US" w:eastAsia="zh-CN" w:bidi="ar"/>
              </w:rPr>
              <w:t>污染物排放管控</w:t>
            </w:r>
          </w:p>
        </w:tc>
        <w:tc>
          <w:tcPr>
            <w:tcW w:w="2139" w:type="pct"/>
            <w:gridSpan w:val="3"/>
            <w:tcBorders>
              <w:top w:val="single" w:color="auto" w:sz="6" w:space="0"/>
              <w:left w:val="single" w:color="auto" w:sz="6" w:space="0"/>
              <w:bottom w:val="single" w:color="auto" w:sz="6" w:space="0"/>
              <w:right w:val="single" w:color="auto" w:sz="6" w:space="0"/>
            </w:tcBorders>
            <w:noWrap w:val="0"/>
            <w:vAlign w:val="center"/>
          </w:tcPr>
          <w:p w14:paraId="160C7791">
            <w:pPr>
              <w:keepNext w:val="0"/>
              <w:keepLines w:val="0"/>
              <w:widowControl/>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000000"/>
                <w:spacing w:val="0"/>
                <w:w w:val="100"/>
                <w:position w:val="0"/>
                <w:u w:val="none" w:color="auto"/>
                <w:lang w:val="en-US"/>
              </w:rPr>
            </w:pPr>
            <w:r>
              <w:rPr>
                <w:rFonts w:hint="default" w:ascii="Times New Roman" w:hAnsi="Times New Roman" w:eastAsia="宋体" w:cs="Times New Roman"/>
                <w:color w:val="000000"/>
                <w:spacing w:val="0"/>
                <w:w w:val="100"/>
                <w:kern w:val="2"/>
                <w:position w:val="0"/>
                <w:sz w:val="21"/>
                <w:szCs w:val="24"/>
                <w:u w:val="none" w:color="auto"/>
                <w:lang w:val="en-US" w:eastAsia="zh-CN" w:bidi="ar"/>
              </w:rPr>
              <w:t>2.1加快推进规模化畜禽养殖场（小区）配套建设畜禽粪污贮存、处理、利用设施。全面推动畜禽养殖废弃物资源化利用</w:t>
            </w:r>
          </w:p>
          <w:p w14:paraId="51C31CA4">
            <w:pPr>
              <w:keepNext w:val="0"/>
              <w:keepLines w:val="0"/>
              <w:widowControl/>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000000"/>
                <w:spacing w:val="0"/>
                <w:w w:val="100"/>
                <w:position w:val="0"/>
                <w:u w:val="none" w:color="auto"/>
                <w:lang w:val="en-US"/>
              </w:rPr>
            </w:pPr>
            <w:r>
              <w:rPr>
                <w:rFonts w:hint="default" w:ascii="Times New Roman" w:hAnsi="Times New Roman" w:eastAsia="宋体" w:cs="Times New Roman"/>
                <w:color w:val="000000"/>
                <w:spacing w:val="0"/>
                <w:w w:val="100"/>
                <w:kern w:val="2"/>
                <w:position w:val="0"/>
                <w:sz w:val="21"/>
                <w:szCs w:val="24"/>
                <w:u w:val="none" w:color="auto"/>
                <w:lang w:val="en-US" w:eastAsia="zh-CN" w:bidi="ar"/>
              </w:rPr>
              <w:t>2.2推广测土配方施肥、绿肥种植、水肥一体化、有机肥替代等技术，减少化肥施用量；推广低毒、低残留农药使用补助试点经验，开展农作物病虫害绿色防控和统防统治</w:t>
            </w:r>
          </w:p>
        </w:tc>
        <w:tc>
          <w:tcPr>
            <w:tcW w:w="1178" w:type="pct"/>
            <w:tcBorders>
              <w:top w:val="single" w:color="auto" w:sz="6" w:space="0"/>
              <w:left w:val="single" w:color="auto" w:sz="6" w:space="0"/>
              <w:bottom w:val="single" w:color="auto" w:sz="6" w:space="0"/>
              <w:right w:val="single" w:color="auto" w:sz="6" w:space="0"/>
            </w:tcBorders>
            <w:noWrap w:val="0"/>
            <w:vAlign w:val="center"/>
          </w:tcPr>
          <w:p w14:paraId="54AB21AC">
            <w:pPr>
              <w:keepNext w:val="0"/>
              <w:keepLines w:val="0"/>
              <w:widowControl/>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000000"/>
                <w:spacing w:val="0"/>
                <w:w w:val="100"/>
                <w:position w:val="0"/>
                <w:u w:val="none" w:color="auto"/>
                <w:lang w:val="en-US"/>
              </w:rPr>
            </w:pPr>
            <w:r>
              <w:rPr>
                <w:rFonts w:hint="default" w:ascii="Times New Roman" w:hAnsi="Times New Roman" w:eastAsia="宋体" w:cs="Times New Roman"/>
                <w:color w:val="000000"/>
                <w:spacing w:val="0"/>
                <w:w w:val="100"/>
                <w:kern w:val="2"/>
                <w:position w:val="0"/>
                <w:sz w:val="21"/>
                <w:szCs w:val="24"/>
                <w:u w:val="none" w:color="auto"/>
                <w:lang w:val="en-US" w:eastAsia="zh-CN" w:bidi="ar"/>
              </w:rPr>
              <w:t>本项目</w:t>
            </w:r>
            <w:r>
              <w:rPr>
                <w:rFonts w:hint="default" w:ascii="Times New Roman" w:hAnsi="Times New Roman" w:eastAsia="宋体" w:cs="Times New Roman"/>
                <w:bCs/>
                <w:color w:val="000000"/>
                <w:spacing w:val="0"/>
                <w:w w:val="100"/>
                <w:position w:val="0"/>
                <w:u w:val="none" w:color="auto"/>
                <w:lang w:val="en-US" w:eastAsia="zh-CN"/>
              </w:rPr>
              <w:t>不属于养殖项目，不涉及投肥养殖。</w:t>
            </w:r>
          </w:p>
        </w:tc>
        <w:tc>
          <w:tcPr>
            <w:tcW w:w="765" w:type="pct"/>
            <w:tcBorders>
              <w:top w:val="single" w:color="auto" w:sz="6" w:space="0"/>
              <w:left w:val="single" w:color="auto" w:sz="6" w:space="0"/>
              <w:bottom w:val="single" w:color="auto" w:sz="6" w:space="0"/>
              <w:right w:val="single" w:color="auto" w:sz="12" w:space="0"/>
            </w:tcBorders>
            <w:noWrap w:val="0"/>
            <w:vAlign w:val="center"/>
          </w:tcPr>
          <w:p w14:paraId="5496E7A4">
            <w:pPr>
              <w:pStyle w:val="36"/>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0"/>
                <w:w w:val="100"/>
                <w:position w:val="0"/>
                <w:sz w:val="21"/>
                <w:szCs w:val="21"/>
                <w:u w:val="none" w:color="auto"/>
                <w:lang w:val="en-US"/>
              </w:rPr>
            </w:pPr>
            <w:r>
              <w:rPr>
                <w:rFonts w:hint="default" w:ascii="Times New Roman" w:hAnsi="Times New Roman" w:eastAsia="宋体" w:cs="Times New Roman"/>
                <w:bCs/>
                <w:color w:val="000000"/>
                <w:spacing w:val="0"/>
                <w:w w:val="100"/>
                <w:kern w:val="2"/>
                <w:position w:val="0"/>
                <w:sz w:val="21"/>
                <w:szCs w:val="21"/>
                <w:u w:val="none" w:color="auto"/>
                <w:lang w:val="en-US" w:eastAsia="zh-CN" w:bidi="ar"/>
              </w:rPr>
              <w:t>符合</w:t>
            </w:r>
          </w:p>
        </w:tc>
      </w:tr>
      <w:tr w14:paraId="1F50EC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17" w:type="pct"/>
            <w:tcBorders>
              <w:top w:val="single" w:color="auto" w:sz="6" w:space="0"/>
              <w:left w:val="single" w:color="auto" w:sz="12" w:space="0"/>
              <w:bottom w:val="single" w:color="auto" w:sz="6" w:space="0"/>
              <w:right w:val="single" w:color="auto" w:sz="6" w:space="0"/>
            </w:tcBorders>
            <w:noWrap w:val="0"/>
            <w:vAlign w:val="center"/>
          </w:tcPr>
          <w:p w14:paraId="7D275591">
            <w:pPr>
              <w:pStyle w:val="36"/>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0"/>
                <w:w w:val="100"/>
                <w:position w:val="0"/>
                <w:sz w:val="21"/>
                <w:szCs w:val="21"/>
                <w:u w:val="none" w:color="auto"/>
                <w:lang w:val="en-US"/>
              </w:rPr>
            </w:pPr>
            <w:r>
              <w:rPr>
                <w:rFonts w:hint="default" w:ascii="Times New Roman" w:hAnsi="Times New Roman" w:eastAsia="宋体" w:cs="Times New Roman"/>
                <w:bCs/>
                <w:color w:val="000000"/>
                <w:spacing w:val="0"/>
                <w:w w:val="100"/>
                <w:kern w:val="2"/>
                <w:position w:val="0"/>
                <w:sz w:val="21"/>
                <w:szCs w:val="21"/>
                <w:u w:val="none" w:color="auto"/>
                <w:lang w:val="en-US" w:eastAsia="zh-CN" w:bidi="ar"/>
              </w:rPr>
              <w:t>环境风险防控</w:t>
            </w:r>
          </w:p>
        </w:tc>
        <w:tc>
          <w:tcPr>
            <w:tcW w:w="2139" w:type="pct"/>
            <w:gridSpan w:val="3"/>
            <w:tcBorders>
              <w:top w:val="single" w:color="auto" w:sz="6" w:space="0"/>
              <w:left w:val="single" w:color="auto" w:sz="6" w:space="0"/>
              <w:bottom w:val="single" w:color="auto" w:sz="6" w:space="0"/>
              <w:right w:val="single" w:color="auto" w:sz="6" w:space="0"/>
            </w:tcBorders>
            <w:noWrap w:val="0"/>
            <w:vAlign w:val="center"/>
          </w:tcPr>
          <w:p w14:paraId="21ECB818">
            <w:pPr>
              <w:keepNext w:val="0"/>
              <w:keepLines w:val="0"/>
              <w:widowControl/>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000000"/>
                <w:spacing w:val="0"/>
                <w:w w:val="100"/>
                <w:position w:val="0"/>
                <w:u w:val="none" w:color="auto"/>
                <w:lang w:val="en-US"/>
              </w:rPr>
            </w:pPr>
            <w:r>
              <w:rPr>
                <w:rFonts w:hint="default" w:ascii="Times New Roman" w:hAnsi="Times New Roman" w:eastAsia="宋体" w:cs="Times New Roman"/>
                <w:color w:val="000000"/>
                <w:spacing w:val="0"/>
                <w:w w:val="100"/>
                <w:kern w:val="2"/>
                <w:position w:val="0"/>
                <w:sz w:val="21"/>
                <w:szCs w:val="24"/>
                <w:u w:val="none" w:color="auto"/>
                <w:lang w:val="en-US" w:eastAsia="zh-CN" w:bidi="ar"/>
              </w:rPr>
              <w:t>3加强农业农村生态环境监测体系建设，加强对农村集中式饮用水水源、日处理能力20吨以上的农村生活污水处理设施出水和畜禽规模养殖场排污口的水质监测，建立农村环境监测信息发布制度</w:t>
            </w:r>
          </w:p>
        </w:tc>
        <w:tc>
          <w:tcPr>
            <w:tcW w:w="1178" w:type="pct"/>
            <w:tcBorders>
              <w:top w:val="single" w:color="auto" w:sz="6" w:space="0"/>
              <w:left w:val="single" w:color="auto" w:sz="6" w:space="0"/>
              <w:bottom w:val="single" w:color="auto" w:sz="6" w:space="0"/>
              <w:right w:val="single" w:color="auto" w:sz="6" w:space="0"/>
            </w:tcBorders>
            <w:noWrap w:val="0"/>
            <w:vAlign w:val="center"/>
          </w:tcPr>
          <w:p w14:paraId="715FC8A2">
            <w:pPr>
              <w:pStyle w:val="36"/>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0"/>
                <w:w w:val="100"/>
                <w:position w:val="0"/>
                <w:sz w:val="21"/>
                <w:szCs w:val="21"/>
                <w:u w:val="none" w:color="auto"/>
                <w:lang w:val="en-US"/>
              </w:rPr>
            </w:pPr>
            <w:r>
              <w:rPr>
                <w:rFonts w:hint="default" w:ascii="Times New Roman" w:hAnsi="Times New Roman" w:eastAsia="宋体" w:cs="Times New Roman"/>
                <w:bCs/>
                <w:color w:val="auto"/>
                <w:spacing w:val="0"/>
                <w:w w:val="100"/>
                <w:kern w:val="2"/>
                <w:position w:val="0"/>
                <w:sz w:val="21"/>
                <w:szCs w:val="21"/>
                <w:u w:val="none" w:color="auto"/>
                <w:lang w:val="en-US" w:eastAsia="zh-CN" w:bidi="ar"/>
              </w:rPr>
              <w:t>本项目为</w:t>
            </w:r>
            <w:r>
              <w:rPr>
                <w:rFonts w:hint="default" w:ascii="Times New Roman" w:hAnsi="Times New Roman" w:eastAsia="宋体" w:cs="Times New Roman"/>
                <w:bCs/>
                <w:color w:val="auto"/>
                <w:spacing w:val="0"/>
                <w:w w:val="100"/>
                <w:kern w:val="2"/>
                <w:position w:val="0"/>
                <w:sz w:val="21"/>
                <w:szCs w:val="24"/>
                <w:u w:val="none" w:color="auto"/>
                <w:lang w:val="en-US" w:eastAsia="zh-CN" w:bidi="ar"/>
              </w:rPr>
              <w:t>东山水库除险加固工程，工程涉及</w:t>
            </w:r>
            <w:r>
              <w:rPr>
                <w:rFonts w:hint="default" w:ascii="Times New Roman" w:hAnsi="Times New Roman" w:eastAsia="宋体" w:cs="Times New Roman"/>
                <w:color w:val="auto"/>
                <w:spacing w:val="0"/>
                <w:w w:val="100"/>
                <w:kern w:val="0"/>
                <w:position w:val="0"/>
                <w:sz w:val="21"/>
                <w:szCs w:val="21"/>
                <w:u w:val="none" w:color="auto"/>
                <w:lang w:val="en-US" w:eastAsia="zh-CN"/>
              </w:rPr>
              <w:t>华容县东山镇东山水库饮用水水源保护区</w:t>
            </w:r>
            <w:r>
              <w:rPr>
                <w:rFonts w:hint="eastAsia" w:ascii="Times New Roman" w:hAnsi="Times New Roman" w:eastAsia="宋体" w:cs="Times New Roman"/>
                <w:color w:val="auto"/>
                <w:spacing w:val="0"/>
                <w:w w:val="100"/>
                <w:kern w:val="0"/>
                <w:position w:val="0"/>
                <w:sz w:val="21"/>
                <w:szCs w:val="21"/>
                <w:u w:val="none" w:color="auto"/>
                <w:lang w:val="en-US" w:eastAsia="zh-CN"/>
              </w:rPr>
              <w:t>,</w:t>
            </w:r>
            <w:r>
              <w:rPr>
                <w:rFonts w:hint="default" w:ascii="Times New Roman" w:hAnsi="Times New Roman" w:eastAsia="宋体" w:cs="Times New Roman"/>
                <w:color w:val="auto"/>
                <w:spacing w:val="0"/>
                <w:w w:val="100"/>
                <w:kern w:val="0"/>
                <w:position w:val="0"/>
                <w:sz w:val="21"/>
                <w:szCs w:val="21"/>
                <w:u w:val="none" w:color="auto"/>
                <w:lang w:val="en-US" w:eastAsia="zh-CN"/>
              </w:rPr>
              <w:t>项目施工无法避让饮用水水源保护区。项目实施有利于水库库容的维持和水库安全运行，有利于饮用水水源水量的保障，对保护水源具有积极作用。</w:t>
            </w:r>
            <w:r>
              <w:rPr>
                <w:rFonts w:hint="default" w:ascii="Times New Roman" w:hAnsi="Times New Roman" w:eastAsia="宋体" w:cs="Times New Roman"/>
                <w:bCs/>
                <w:color w:val="auto"/>
                <w:spacing w:val="0"/>
                <w:w w:val="100"/>
                <w:kern w:val="2"/>
                <w:position w:val="0"/>
                <w:sz w:val="21"/>
                <w:szCs w:val="21"/>
                <w:u w:val="none" w:color="auto"/>
                <w:lang w:val="en-US" w:eastAsia="zh-CN" w:bidi="ar"/>
              </w:rPr>
              <w:t>项目施工期应加强管理，严禁向水体排放废水、倾倒固体废物等，水厂加强施工期水质监测，确保居民饮水安全。</w:t>
            </w:r>
          </w:p>
        </w:tc>
        <w:tc>
          <w:tcPr>
            <w:tcW w:w="765" w:type="pct"/>
            <w:tcBorders>
              <w:top w:val="single" w:color="auto" w:sz="6" w:space="0"/>
              <w:left w:val="single" w:color="auto" w:sz="6" w:space="0"/>
              <w:bottom w:val="single" w:color="auto" w:sz="6" w:space="0"/>
              <w:right w:val="single" w:color="auto" w:sz="12" w:space="0"/>
            </w:tcBorders>
            <w:noWrap w:val="0"/>
            <w:vAlign w:val="center"/>
          </w:tcPr>
          <w:p w14:paraId="44890573">
            <w:pPr>
              <w:pStyle w:val="36"/>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0"/>
                <w:w w:val="100"/>
                <w:position w:val="0"/>
                <w:sz w:val="21"/>
                <w:szCs w:val="21"/>
                <w:u w:val="none" w:color="auto"/>
                <w:lang w:val="en-US"/>
              </w:rPr>
            </w:pPr>
            <w:r>
              <w:rPr>
                <w:rFonts w:hint="default" w:ascii="Times New Roman" w:hAnsi="Times New Roman" w:eastAsia="宋体" w:cs="Times New Roman"/>
                <w:bCs/>
                <w:color w:val="000000"/>
                <w:spacing w:val="0"/>
                <w:w w:val="100"/>
                <w:kern w:val="2"/>
                <w:position w:val="0"/>
                <w:sz w:val="21"/>
                <w:szCs w:val="21"/>
                <w:u w:val="none" w:color="auto"/>
                <w:lang w:val="en-US" w:eastAsia="zh-CN" w:bidi="ar"/>
              </w:rPr>
              <w:t>符合</w:t>
            </w:r>
          </w:p>
        </w:tc>
      </w:tr>
      <w:tr w14:paraId="0D3C19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17" w:type="pct"/>
            <w:tcBorders>
              <w:top w:val="single" w:color="auto" w:sz="6" w:space="0"/>
              <w:left w:val="single" w:color="auto" w:sz="12" w:space="0"/>
              <w:bottom w:val="single" w:color="auto" w:sz="12" w:space="0"/>
              <w:right w:val="single" w:color="auto" w:sz="6" w:space="0"/>
            </w:tcBorders>
            <w:noWrap w:val="0"/>
            <w:vAlign w:val="center"/>
          </w:tcPr>
          <w:p w14:paraId="4060EF38">
            <w:pPr>
              <w:pStyle w:val="36"/>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0"/>
                <w:w w:val="100"/>
                <w:position w:val="0"/>
                <w:sz w:val="21"/>
                <w:szCs w:val="21"/>
                <w:u w:val="none" w:color="auto"/>
                <w:lang w:val="en-US"/>
              </w:rPr>
            </w:pPr>
            <w:r>
              <w:rPr>
                <w:rFonts w:hint="default" w:ascii="Times New Roman" w:hAnsi="Times New Roman" w:eastAsia="宋体" w:cs="Times New Roman"/>
                <w:bCs/>
                <w:color w:val="000000"/>
                <w:spacing w:val="0"/>
                <w:w w:val="100"/>
                <w:kern w:val="2"/>
                <w:position w:val="0"/>
                <w:sz w:val="21"/>
                <w:szCs w:val="21"/>
                <w:u w:val="none" w:color="auto"/>
                <w:lang w:val="en-US" w:eastAsia="zh-CN" w:bidi="ar"/>
              </w:rPr>
              <w:t>资源开发</w:t>
            </w:r>
          </w:p>
          <w:p w14:paraId="6BF191A3">
            <w:pPr>
              <w:pStyle w:val="36"/>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0"/>
                <w:w w:val="100"/>
                <w:position w:val="0"/>
                <w:sz w:val="21"/>
                <w:szCs w:val="21"/>
                <w:u w:val="none" w:color="auto"/>
                <w:lang w:val="en-US"/>
              </w:rPr>
            </w:pPr>
            <w:r>
              <w:rPr>
                <w:rFonts w:hint="default" w:ascii="Times New Roman" w:hAnsi="Times New Roman" w:eastAsia="宋体" w:cs="Times New Roman"/>
                <w:bCs/>
                <w:color w:val="000000"/>
                <w:spacing w:val="0"/>
                <w:w w:val="100"/>
                <w:kern w:val="2"/>
                <w:position w:val="0"/>
                <w:sz w:val="21"/>
                <w:szCs w:val="21"/>
                <w:u w:val="none" w:color="auto"/>
                <w:lang w:val="en-US" w:eastAsia="zh-CN" w:bidi="ar"/>
              </w:rPr>
              <w:t>效率要求</w:t>
            </w:r>
          </w:p>
        </w:tc>
        <w:tc>
          <w:tcPr>
            <w:tcW w:w="2139" w:type="pct"/>
            <w:gridSpan w:val="3"/>
            <w:tcBorders>
              <w:top w:val="single" w:color="auto" w:sz="6" w:space="0"/>
              <w:left w:val="single" w:color="auto" w:sz="6" w:space="0"/>
              <w:bottom w:val="single" w:color="auto" w:sz="12" w:space="0"/>
              <w:right w:val="single" w:color="auto" w:sz="6" w:space="0"/>
            </w:tcBorders>
            <w:noWrap w:val="0"/>
            <w:vAlign w:val="center"/>
          </w:tcPr>
          <w:p w14:paraId="757957A5">
            <w:pPr>
              <w:pStyle w:val="36"/>
              <w:keepNext w:val="0"/>
              <w:keepLines w:val="0"/>
              <w:widowControl w:val="0"/>
              <w:suppressLineNumbers w:val="0"/>
              <w:adjustRightInd w:val="0"/>
              <w:snapToGrid w:val="0"/>
              <w:spacing w:before="0" w:beforeAutospacing="0" w:after="0" w:afterAutospacing="0" w:line="240" w:lineRule="exact"/>
              <w:ind w:left="0" w:right="0" w:firstLine="0" w:firstLineChars="0"/>
              <w:jc w:val="both"/>
              <w:rPr>
                <w:rFonts w:hint="default" w:ascii="Times New Roman" w:hAnsi="Times New Roman" w:eastAsia="宋体" w:cs="Times New Roman"/>
                <w:color w:val="000000"/>
                <w:spacing w:val="0"/>
                <w:w w:val="100"/>
                <w:position w:val="0"/>
                <w:sz w:val="21"/>
                <w:szCs w:val="21"/>
                <w:u w:val="none" w:color="auto"/>
                <w:lang w:val="en-US"/>
              </w:rPr>
            </w:pPr>
            <w:r>
              <w:rPr>
                <w:rFonts w:hint="default" w:ascii="Times New Roman" w:hAnsi="Times New Roman" w:eastAsia="宋体" w:cs="Times New Roman"/>
                <w:bCs/>
                <w:color w:val="000000"/>
                <w:spacing w:val="0"/>
                <w:w w:val="100"/>
                <w:kern w:val="2"/>
                <w:position w:val="0"/>
                <w:sz w:val="21"/>
                <w:szCs w:val="21"/>
                <w:u w:val="none" w:color="auto"/>
                <w:lang w:val="en-US" w:eastAsia="zh-CN" w:bidi="ar"/>
              </w:rPr>
              <w:t>4.1水资源：2020年，华容县万元国内生产总值用水量99m</w:t>
            </w:r>
            <w:r>
              <w:rPr>
                <w:rFonts w:hint="default" w:ascii="Times New Roman" w:hAnsi="Times New Roman" w:eastAsia="宋体" w:cs="Times New Roman"/>
                <w:bCs/>
                <w:color w:val="000000"/>
                <w:spacing w:val="0"/>
                <w:w w:val="100"/>
                <w:kern w:val="2"/>
                <w:position w:val="0"/>
                <w:sz w:val="21"/>
                <w:szCs w:val="21"/>
                <w:u w:val="none" w:color="auto"/>
                <w:vertAlign w:val="superscript"/>
                <w:lang w:val="en-US" w:eastAsia="zh-CN" w:bidi="ar"/>
              </w:rPr>
              <w:t>3</w:t>
            </w:r>
            <w:r>
              <w:rPr>
                <w:rFonts w:hint="default" w:ascii="Times New Roman" w:hAnsi="Times New Roman" w:eastAsia="宋体" w:cs="Times New Roman"/>
                <w:bCs/>
                <w:color w:val="000000"/>
                <w:spacing w:val="0"/>
                <w:w w:val="100"/>
                <w:kern w:val="2"/>
                <w:position w:val="0"/>
                <w:sz w:val="21"/>
                <w:szCs w:val="21"/>
                <w:u w:val="none" w:color="auto"/>
                <w:lang w:val="en-US" w:eastAsia="zh-CN" w:bidi="ar"/>
              </w:rPr>
              <w:t>/万元，万元工业增加值用水量32m</w:t>
            </w:r>
            <w:r>
              <w:rPr>
                <w:rFonts w:hint="default" w:ascii="Times New Roman" w:hAnsi="Times New Roman" w:eastAsia="宋体" w:cs="Times New Roman"/>
                <w:bCs/>
                <w:color w:val="000000"/>
                <w:spacing w:val="0"/>
                <w:w w:val="100"/>
                <w:kern w:val="2"/>
                <w:position w:val="0"/>
                <w:sz w:val="21"/>
                <w:szCs w:val="21"/>
                <w:u w:val="none" w:color="auto"/>
                <w:vertAlign w:val="superscript"/>
                <w:lang w:val="en-US" w:eastAsia="zh-CN" w:bidi="ar"/>
              </w:rPr>
              <w:t>3</w:t>
            </w:r>
            <w:r>
              <w:rPr>
                <w:rFonts w:hint="default" w:ascii="Times New Roman" w:hAnsi="Times New Roman" w:eastAsia="宋体" w:cs="Times New Roman"/>
                <w:bCs/>
                <w:color w:val="000000"/>
                <w:spacing w:val="0"/>
                <w:w w:val="100"/>
                <w:kern w:val="2"/>
                <w:position w:val="0"/>
                <w:sz w:val="21"/>
                <w:szCs w:val="21"/>
                <w:u w:val="none" w:color="auto"/>
                <w:lang w:val="en-US" w:eastAsia="zh-CN" w:bidi="ar"/>
              </w:rPr>
              <w:t>/万元，农田灌溉水有效利用系数0.52。</w:t>
            </w:r>
          </w:p>
          <w:p w14:paraId="3941651F">
            <w:pPr>
              <w:pStyle w:val="36"/>
              <w:keepNext w:val="0"/>
              <w:keepLines w:val="0"/>
              <w:widowControl w:val="0"/>
              <w:suppressLineNumbers w:val="0"/>
              <w:adjustRightInd w:val="0"/>
              <w:snapToGrid w:val="0"/>
              <w:spacing w:before="0" w:beforeAutospacing="0" w:after="0" w:afterAutospacing="0" w:line="240" w:lineRule="exact"/>
              <w:ind w:left="0" w:right="0" w:firstLine="0" w:firstLineChars="0"/>
              <w:jc w:val="both"/>
              <w:rPr>
                <w:rFonts w:hint="default" w:ascii="Times New Roman" w:hAnsi="Times New Roman" w:eastAsia="宋体" w:cs="Times New Roman"/>
                <w:color w:val="000000"/>
                <w:spacing w:val="0"/>
                <w:w w:val="100"/>
                <w:position w:val="0"/>
                <w:sz w:val="21"/>
                <w:szCs w:val="21"/>
                <w:u w:val="none" w:color="auto"/>
                <w:lang w:val="en-US"/>
              </w:rPr>
            </w:pPr>
            <w:r>
              <w:rPr>
                <w:rFonts w:hint="default" w:ascii="Times New Roman" w:hAnsi="Times New Roman" w:eastAsia="宋体" w:cs="Times New Roman"/>
                <w:bCs/>
                <w:color w:val="000000"/>
                <w:spacing w:val="0"/>
                <w:w w:val="100"/>
                <w:kern w:val="2"/>
                <w:position w:val="0"/>
                <w:sz w:val="21"/>
                <w:szCs w:val="21"/>
                <w:u w:val="none" w:color="auto"/>
                <w:lang w:val="en-US" w:eastAsia="zh-CN" w:bidi="ar"/>
              </w:rPr>
              <w:t>4.2能源：华容县“十三五”能耗强度降低目标18.5%，“十三五”能耗控制目标20万吨标准煤</w:t>
            </w:r>
          </w:p>
          <w:p w14:paraId="0D81FBEA">
            <w:pPr>
              <w:pStyle w:val="36"/>
              <w:keepNext w:val="0"/>
              <w:keepLines w:val="0"/>
              <w:widowControl w:val="0"/>
              <w:suppressLineNumbers w:val="0"/>
              <w:adjustRightInd w:val="0"/>
              <w:snapToGrid w:val="0"/>
              <w:spacing w:before="0" w:beforeAutospacing="0" w:after="0" w:afterAutospacing="0" w:line="240" w:lineRule="exact"/>
              <w:ind w:left="0" w:right="0" w:firstLine="0" w:firstLineChars="0"/>
              <w:jc w:val="both"/>
              <w:rPr>
                <w:rFonts w:hint="default" w:ascii="Times New Roman" w:hAnsi="Times New Roman" w:eastAsia="宋体" w:cs="Times New Roman"/>
                <w:color w:val="000000"/>
                <w:spacing w:val="0"/>
                <w:w w:val="100"/>
                <w:position w:val="0"/>
                <w:sz w:val="21"/>
                <w:szCs w:val="21"/>
                <w:u w:val="none" w:color="auto"/>
                <w:lang w:val="en-US"/>
              </w:rPr>
            </w:pPr>
            <w:r>
              <w:rPr>
                <w:rFonts w:hint="default" w:ascii="Times New Roman" w:hAnsi="Times New Roman" w:eastAsia="宋体" w:cs="Times New Roman"/>
                <w:bCs/>
                <w:color w:val="000000"/>
                <w:spacing w:val="0"/>
                <w:w w:val="100"/>
                <w:kern w:val="2"/>
                <w:position w:val="0"/>
                <w:sz w:val="21"/>
                <w:szCs w:val="21"/>
                <w:u w:val="none" w:color="auto"/>
                <w:lang w:val="en-US" w:eastAsia="zh-CN" w:bidi="ar"/>
              </w:rPr>
              <w:t>4.3土地资源：耕地保有量4790公顷，基本农田保护面积3400公顷，城乡建设用地规模3237.13公顷</w:t>
            </w:r>
          </w:p>
        </w:tc>
        <w:tc>
          <w:tcPr>
            <w:tcW w:w="1178" w:type="pct"/>
            <w:tcBorders>
              <w:top w:val="single" w:color="auto" w:sz="6" w:space="0"/>
              <w:left w:val="single" w:color="auto" w:sz="6" w:space="0"/>
              <w:bottom w:val="single" w:color="auto" w:sz="12" w:space="0"/>
              <w:right w:val="single" w:color="auto" w:sz="6" w:space="0"/>
            </w:tcBorders>
            <w:noWrap w:val="0"/>
            <w:vAlign w:val="center"/>
          </w:tcPr>
          <w:p w14:paraId="1D981353">
            <w:pPr>
              <w:pStyle w:val="36"/>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0"/>
                <w:w w:val="100"/>
                <w:position w:val="0"/>
                <w:sz w:val="21"/>
                <w:szCs w:val="21"/>
                <w:u w:val="none" w:color="auto"/>
                <w:lang w:val="en-US"/>
              </w:rPr>
            </w:pPr>
            <w:r>
              <w:rPr>
                <w:rFonts w:hint="default" w:ascii="Times New Roman" w:hAnsi="Times New Roman" w:eastAsia="宋体" w:cs="Times New Roman"/>
                <w:bCs/>
                <w:color w:val="auto"/>
                <w:spacing w:val="0"/>
                <w:w w:val="100"/>
                <w:kern w:val="2"/>
                <w:position w:val="0"/>
                <w:sz w:val="21"/>
                <w:szCs w:val="21"/>
                <w:u w:val="none" w:color="auto"/>
                <w:lang w:val="en-US" w:eastAsia="zh-CN" w:bidi="ar"/>
              </w:rPr>
              <w:t>本项目不属于高能耗、高消耗工业项目。项目主要使用资源为电，通过当地供电电网接线供给，使用量较少，可满足本工程需要。工程不新增用地，用水量少。</w:t>
            </w:r>
          </w:p>
        </w:tc>
        <w:tc>
          <w:tcPr>
            <w:tcW w:w="765" w:type="pct"/>
            <w:tcBorders>
              <w:top w:val="single" w:color="auto" w:sz="6" w:space="0"/>
              <w:left w:val="single" w:color="auto" w:sz="6" w:space="0"/>
              <w:bottom w:val="single" w:color="auto" w:sz="12" w:space="0"/>
              <w:right w:val="single" w:color="auto" w:sz="12" w:space="0"/>
            </w:tcBorders>
            <w:noWrap w:val="0"/>
            <w:vAlign w:val="center"/>
          </w:tcPr>
          <w:p w14:paraId="4C219C9A">
            <w:pPr>
              <w:pStyle w:val="36"/>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0"/>
                <w:w w:val="100"/>
                <w:position w:val="0"/>
                <w:sz w:val="21"/>
                <w:szCs w:val="21"/>
                <w:u w:val="none" w:color="auto"/>
                <w:lang w:val="en-US"/>
              </w:rPr>
            </w:pPr>
            <w:r>
              <w:rPr>
                <w:rFonts w:hint="default" w:ascii="Times New Roman" w:hAnsi="Times New Roman" w:eastAsia="宋体" w:cs="Times New Roman"/>
                <w:bCs/>
                <w:color w:val="000000"/>
                <w:spacing w:val="0"/>
                <w:w w:val="100"/>
                <w:kern w:val="2"/>
                <w:position w:val="0"/>
                <w:sz w:val="21"/>
                <w:szCs w:val="21"/>
                <w:u w:val="none" w:color="auto"/>
                <w:lang w:val="en-US" w:eastAsia="zh-CN" w:bidi="ar"/>
              </w:rPr>
              <w:t>符合</w:t>
            </w:r>
          </w:p>
        </w:tc>
      </w:tr>
    </w:tbl>
    <w:p w14:paraId="11672C85">
      <w:pPr>
        <w:pageBreakBefore w:val="0"/>
        <w:kinsoku w:val="0"/>
        <w:wordWrap w:val="0"/>
        <w:overflowPunct/>
        <w:topLinePunct/>
        <w:autoSpaceDE/>
        <w:autoSpaceDN/>
        <w:bidi w:val="0"/>
        <w:adjustRightInd w:val="0"/>
        <w:spacing w:line="500" w:lineRule="exact"/>
        <w:ind w:firstLine="482" w:firstLineChars="200"/>
        <w:rPr>
          <w:rFonts w:hint="default" w:ascii="Times New Roman" w:hAnsi="Times New Roman" w:eastAsia="宋体" w:cs="Times New Roman"/>
          <w:b/>
          <w:bCs/>
          <w:caps w:val="0"/>
          <w:smallCaps w:val="0"/>
          <w:color w:val="auto"/>
          <w:spacing w:val="0"/>
          <w:w w:val="100"/>
          <w:kern w:val="0"/>
          <w:position w:val="0"/>
          <w:sz w:val="24"/>
          <w:szCs w:val="24"/>
          <w:u w:val="none" w:color="auto"/>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13</w:t>
      </w: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b/>
          <w:bCs/>
          <w:caps w:val="0"/>
          <w:smallCaps w:val="0"/>
          <w:color w:val="auto"/>
          <w:spacing w:val="0"/>
          <w:w w:val="100"/>
          <w:kern w:val="0"/>
          <w:position w:val="0"/>
          <w:sz w:val="24"/>
          <w:szCs w:val="24"/>
          <w:u w:val="none" w:color="auto"/>
        </w:rPr>
        <w:t>工程选址合理性</w:t>
      </w:r>
    </w:p>
    <w:p w14:paraId="2819D379">
      <w:pPr>
        <w:numPr>
          <w:ilvl w:val="0"/>
          <w:numId w:val="0"/>
        </w:numPr>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w:t>
      </w:r>
      <w:r>
        <w:rPr>
          <w:rFonts w:hint="default" w:ascii="Times New Roman" w:hAnsi="Times New Roman" w:eastAsia="宋体" w:cs="Times New Roman"/>
          <w:caps w:val="0"/>
          <w:smallCaps w:val="0"/>
          <w:color w:val="auto"/>
          <w:spacing w:val="0"/>
          <w:w w:val="100"/>
          <w:kern w:val="0"/>
          <w:position w:val="0"/>
          <w:sz w:val="24"/>
          <w:szCs w:val="24"/>
          <w:u w:val="none" w:color="auto"/>
        </w:rPr>
        <w:t>水库</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于</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1974年蓄水运行，2007年湖南南方水利水电勘测设计院对大坝进行了安全鉴定及加固设计，2009年进行病险水库除险加固处理。东山水库</w:t>
      </w:r>
      <w:r>
        <w:rPr>
          <w:rFonts w:hint="default" w:ascii="Times New Roman" w:hAnsi="Times New Roman" w:eastAsia="宋体" w:cs="Times New Roman"/>
          <w:caps w:val="0"/>
          <w:smallCaps w:val="0"/>
          <w:color w:val="auto"/>
          <w:spacing w:val="0"/>
          <w:w w:val="100"/>
          <w:kern w:val="0"/>
          <w:position w:val="0"/>
          <w:sz w:val="24"/>
          <w:szCs w:val="24"/>
          <w:u w:val="none" w:color="auto"/>
        </w:rPr>
        <w:t>已运行</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50</w:t>
      </w:r>
      <w:r>
        <w:rPr>
          <w:rFonts w:hint="default" w:ascii="Times New Roman" w:hAnsi="Times New Roman" w:eastAsia="宋体" w:cs="Times New Roman"/>
          <w:caps w:val="0"/>
          <w:smallCaps w:val="0"/>
          <w:color w:val="auto"/>
          <w:spacing w:val="0"/>
          <w:w w:val="100"/>
          <w:kern w:val="0"/>
          <w:position w:val="0"/>
          <w:sz w:val="24"/>
          <w:szCs w:val="24"/>
          <w:u w:val="none" w:color="auto"/>
        </w:rPr>
        <w:t>年</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，上次除险加固后</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大坝仍在带病运行，存在较严重的安全隐患，</w:t>
      </w:r>
      <w:r>
        <w:rPr>
          <w:rFonts w:hint="default" w:ascii="Times New Roman" w:hAnsi="Times New Roman" w:eastAsia="宋体" w:cs="Times New Roman"/>
          <w:color w:val="auto"/>
          <w:spacing w:val="0"/>
          <w:w w:val="100"/>
          <w:position w:val="0"/>
          <w:sz w:val="24"/>
          <w:szCs w:val="24"/>
          <w:u w:val="none" w:color="auto"/>
          <w:lang w:val="en-US" w:eastAsia="zh-CN"/>
        </w:rPr>
        <w:t>大坝安全鉴定为“三类坝”</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。本工程通过采取工程措施对大坝等进行维修加固，旨在消除大坝安全隐患，保障水库和流域防洪安全，确保枢纽工程安全可靠运行，充分发挥水库的综合利用效益，促进地区经济社会持续快速发展</w:t>
      </w:r>
      <w:r>
        <w:rPr>
          <w:rFonts w:hint="default" w:ascii="Times New Roman" w:hAnsi="Times New Roman" w:eastAsia="宋体" w:cs="Times New Roman"/>
          <w:i w:val="0"/>
          <w:caps w:val="0"/>
          <w:color w:val="auto"/>
          <w:spacing w:val="0"/>
          <w:w w:val="100"/>
          <w:position w:val="0"/>
          <w:sz w:val="24"/>
          <w:szCs w:val="24"/>
          <w:shd w:val="clear" w:fill="FFFFFF"/>
          <w:lang w:val="en-US" w:eastAsia="zh-CN"/>
        </w:rPr>
        <w:t>，对东山水库进行除险加</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固是非常必要的。</w:t>
      </w:r>
    </w:p>
    <w:p w14:paraId="0E127A42">
      <w:pPr>
        <w:numPr>
          <w:ilvl w:val="0"/>
          <w:numId w:val="0"/>
        </w:numPr>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本工程在原址基础上进行建设，不改变水库的特性，不改变原水库坝前坝下水文情势，不新增淹没占地。根据周边敏感区识别，工程涉及岳阳市生态保护红线、</w:t>
      </w:r>
      <w:r>
        <w:rPr>
          <w:rFonts w:hint="default" w:ascii="Times New Roman" w:hAnsi="Times New Roman" w:eastAsia="宋体" w:cs="Times New Roman"/>
          <w:color w:val="auto"/>
          <w:spacing w:val="0"/>
          <w:w w:val="100"/>
          <w:kern w:val="0"/>
          <w:position w:val="0"/>
          <w:sz w:val="24"/>
          <w:szCs w:val="24"/>
          <w:u w:val="none" w:color="auto"/>
          <w:lang w:val="en-US" w:eastAsia="zh-CN"/>
        </w:rPr>
        <w:t>华容县东山镇东山水库饮用水水源保护区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、湖南华容桃花山省级森林公园和华容县生态公益林。 </w:t>
      </w:r>
    </w:p>
    <w:p w14:paraId="73567765">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项目涉及</w:t>
      </w:r>
      <w:r>
        <w:rPr>
          <w:rFonts w:hint="default" w:ascii="Times New Roman" w:hAnsi="Times New Roman" w:eastAsia="宋体" w:cs="Times New Roman"/>
          <w:color w:val="auto"/>
          <w:spacing w:val="0"/>
          <w:w w:val="100"/>
          <w:kern w:val="0"/>
          <w:position w:val="0"/>
          <w:sz w:val="24"/>
          <w:szCs w:val="24"/>
          <w:u w:val="none" w:color="auto"/>
          <w:lang w:val="en-US" w:eastAsia="zh-CN"/>
        </w:rPr>
        <w:t>华容县东山镇东山水库饮用水水源保护区，饮用水水源保护区依托东山水库建立，</w:t>
      </w:r>
      <w:r>
        <w:rPr>
          <w:rFonts w:hint="default" w:ascii="Times New Roman" w:hAnsi="Times New Roman" w:eastAsia="宋体" w:cs="Times New Roman"/>
          <w:color w:val="auto"/>
          <w:spacing w:val="0"/>
          <w:w w:val="100"/>
          <w:kern w:val="0"/>
          <w:position w:val="0"/>
          <w:sz w:val="24"/>
          <w:u w:val="none" w:color="auto"/>
          <w:lang w:val="en-US" w:eastAsia="zh-CN"/>
        </w:rPr>
        <w:t>项目施工无法避让饮用水水源保护区。</w:t>
      </w:r>
      <w:r>
        <w:rPr>
          <w:rFonts w:hint="default" w:ascii="Times New Roman" w:hAnsi="Times New Roman" w:eastAsia="宋体" w:cs="Times New Roman"/>
          <w:color w:val="auto"/>
          <w:spacing w:val="0"/>
          <w:w w:val="100"/>
          <w:kern w:val="0"/>
          <w:position w:val="0"/>
          <w:sz w:val="24"/>
          <w:szCs w:val="24"/>
          <w:u w:val="none" w:color="auto"/>
          <w:lang w:val="en-US" w:eastAsia="zh-CN"/>
        </w:rPr>
        <w:t>但本项目</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施工不涉及饮用水源保护区水域，</w:t>
      </w:r>
      <w:r>
        <w:rPr>
          <w:rFonts w:hint="default" w:ascii="Times New Roman" w:hAnsi="Times New Roman" w:eastAsia="宋体" w:cs="Times New Roman"/>
          <w:color w:val="auto"/>
          <w:spacing w:val="0"/>
          <w:w w:val="100"/>
          <w:kern w:val="0"/>
          <w:position w:val="0"/>
          <w:sz w:val="24"/>
          <w:u w:val="none" w:color="auto"/>
          <w:lang w:val="en-US" w:eastAsia="zh-CN"/>
        </w:rPr>
        <w:t>项目实施有利于水库库容的维持和水库安全运行，有利于饮用水水源水量水质的保障，对保护水源具有积极作用，符合饮用水水源保护区相关规定。</w:t>
      </w:r>
    </w:p>
    <w:p w14:paraId="016539F4">
      <w:pPr>
        <w:autoSpaceDE w:val="0"/>
        <w:autoSpaceDN w:val="0"/>
        <w:adjustRightInd w:val="0"/>
        <w:snapToGri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项目位于湖南华容桃花山省级森林公园的一般休憩区，</w:t>
      </w:r>
      <w:r>
        <w:rPr>
          <w:rFonts w:hint="default" w:ascii="Times New Roman" w:hAnsi="Times New Roman" w:eastAsia="宋体" w:cs="Times New Roman"/>
          <w:color w:val="auto"/>
          <w:spacing w:val="0"/>
          <w:w w:val="100"/>
          <w:kern w:val="0"/>
          <w:position w:val="0"/>
          <w:sz w:val="24"/>
          <w:u w:val="none" w:color="auto"/>
          <w:lang w:val="en-US" w:eastAsia="zh-CN"/>
        </w:rPr>
        <w:t>项目周边</w:t>
      </w:r>
      <w:r>
        <w:rPr>
          <w:rFonts w:hint="eastAsia" w:ascii="Times New Roman" w:hAnsi="Times New Roman" w:eastAsia="宋体" w:cs="Times New Roman"/>
          <w:color w:val="auto"/>
          <w:spacing w:val="0"/>
          <w:w w:val="100"/>
          <w:kern w:val="0"/>
          <w:position w:val="0"/>
          <w:sz w:val="24"/>
          <w:u w:val="none" w:color="auto"/>
          <w:lang w:val="en-US" w:eastAsia="zh-CN"/>
        </w:rPr>
        <w:t>分布</w:t>
      </w:r>
      <w:r>
        <w:rPr>
          <w:rFonts w:hint="default" w:ascii="Times New Roman" w:hAnsi="Times New Roman" w:eastAsia="宋体" w:cs="Times New Roman"/>
          <w:color w:val="auto"/>
          <w:spacing w:val="0"/>
          <w:w w:val="100"/>
          <w:kern w:val="0"/>
          <w:position w:val="0"/>
          <w:sz w:val="24"/>
          <w:u w:val="none" w:color="auto"/>
          <w:lang w:val="en-US" w:eastAsia="zh-CN"/>
        </w:rPr>
        <w:t>华容县生态公益林</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。项目不新增用地，工程施工期对森林公园及周边森林景观产生一定影响，但随着施工期的结束而影响结束，且项目施工已取得华容县林业局和桃花山森林公园管理处的同意。</w:t>
      </w:r>
    </w:p>
    <w:p w14:paraId="0F0F1539">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highlight w:val="none"/>
          <w:u w:val="none" w:color="auto"/>
        </w:rPr>
      </w:pPr>
      <w:r>
        <w:rPr>
          <w:rFonts w:hint="default" w:ascii="Times New Roman" w:hAnsi="Times New Roman" w:eastAsia="宋体" w:cs="Times New Roman"/>
          <w:color w:val="auto"/>
          <w:spacing w:val="0"/>
          <w:w w:val="100"/>
          <w:kern w:val="0"/>
          <w:position w:val="0"/>
          <w:sz w:val="24"/>
          <w:u w:val="none" w:color="auto"/>
          <w:lang w:val="en-US" w:eastAsia="zh-CN"/>
        </w:rPr>
        <w:t>项目位于岳阳市生态保护红线范围内，但项目为现有东山水库的除险加固工程，无法避让生态保护红线。</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本工程属于已有的合法水利设施运行维护改造，不属于开发性、生产性建设活动，不新增用地。工程实施有利于消除大坝安全隐患，保障水库和流域防洪安全，本项目符合生态保护红线相关管理办法的规定。</w:t>
      </w:r>
    </w:p>
    <w:p w14:paraId="2BBA24DD">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olor w:val="auto"/>
          <w:spacing w:val="0"/>
          <w:w w:val="100"/>
          <w:kern w:val="0"/>
          <w:position w:val="0"/>
          <w:sz w:val="24"/>
          <w:u w:val="none" w:color="auto"/>
          <w:lang w:val="en-US" w:eastAsia="zh-CN"/>
        </w:rPr>
      </w:pPr>
      <w:r>
        <w:rPr>
          <w:rFonts w:hint="default" w:ascii="Times New Roman" w:hAnsi="Times New Roman" w:eastAsia="宋体" w:cs="Times New Roman"/>
          <w:color w:val="auto"/>
          <w:spacing w:val="0"/>
          <w:w w:val="100"/>
          <w:kern w:val="0"/>
          <w:position w:val="0"/>
          <w:sz w:val="24"/>
          <w:u w:val="none" w:color="auto"/>
          <w:lang w:val="en-US" w:eastAsia="zh-CN"/>
        </w:rPr>
        <w:t>综上，工程建设涉及了</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岳阳市生态保护红线、</w:t>
      </w:r>
      <w:r>
        <w:rPr>
          <w:rFonts w:hint="default" w:ascii="Times New Roman" w:hAnsi="Times New Roman" w:eastAsia="宋体" w:cs="Times New Roman"/>
          <w:color w:val="auto"/>
          <w:spacing w:val="0"/>
          <w:w w:val="100"/>
          <w:kern w:val="0"/>
          <w:position w:val="0"/>
          <w:sz w:val="24"/>
          <w:szCs w:val="24"/>
          <w:u w:val="none" w:color="auto"/>
          <w:lang w:val="en-US" w:eastAsia="zh-CN"/>
        </w:rPr>
        <w:t>华容县东山镇东山水库饮用水水源保护区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、湖南华容桃花山省级森林公园和华容县生态公益林</w:t>
      </w:r>
      <w:r>
        <w:rPr>
          <w:rFonts w:hint="default" w:ascii="Times New Roman" w:hAnsi="Times New Roman" w:eastAsia="宋体" w:cs="Times New Roman"/>
          <w:color w:val="auto"/>
          <w:spacing w:val="0"/>
          <w:w w:val="100"/>
          <w:kern w:val="0"/>
          <w:position w:val="0"/>
          <w:sz w:val="24"/>
          <w:u w:val="none" w:color="auto"/>
          <w:lang w:val="en-US" w:eastAsia="zh-CN"/>
        </w:rPr>
        <w:t>等环境敏感区，但由于本项目在已有工程原址上进行加固，具有不可避让性，且项目不新增用地，同时与相应环境敏感区的定位以及管理要求是相符的，因此在征得环境敏感区主管部门同意，且切实落实环评报告书提出的各项环境保护相关措施的基础上，本工程选址合理。</w:t>
      </w:r>
    </w:p>
    <w:p w14:paraId="784A3846">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200"/>
        <w:jc w:val="left"/>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（14）工程临时用地合理性分析</w:t>
      </w:r>
    </w:p>
    <w:p w14:paraId="5411EDAF">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根据本项目初步设计方案、水土保持方案及建设方提供资料，</w:t>
      </w:r>
      <w:r>
        <w:rPr>
          <w:rFonts w:hint="default" w:ascii="Times New Roman" w:hAnsi="Times New Roman" w:eastAsia="宋体" w:cs="Times New Roman"/>
          <w:caps w:val="0"/>
          <w:smallCaps w:val="0"/>
          <w:color w:val="auto"/>
          <w:spacing w:val="0"/>
          <w:w w:val="100"/>
          <w:kern w:val="0"/>
          <w:position w:val="0"/>
          <w:sz w:val="24"/>
          <w:szCs w:val="24"/>
          <w:u w:val="none" w:color="auto"/>
        </w:rPr>
        <w:t>项目</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施工营地租用水库管理所周边民房，</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不另设施工营地；项目取土利用湖南海霸食品有限公司平场产生的多余土方（协议见附件12），不另设取土场；施工期间场外施工便道利用周边现有乡村道路，场内施工便道沿规划道路在红线内布设，不新增临时道路占地。</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工程临时占地主要包括：临时堆土区、施工临建设施、弃渣场。</w:t>
      </w:r>
    </w:p>
    <w:p w14:paraId="01B44996">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1）临时堆土场合理性</w:t>
      </w:r>
    </w:p>
    <w:p w14:paraId="47C526BE">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根据2022年7月的工程初步设计报告，项目共设3处临时堆土场，分别位于：堆场1布置于溢洪道下游，用于溢洪道临时土方堆放；堆场2布置于输入水暗涵下游，主要用于输水暗涵临时土方堆放；堆场3布置于大坝坝顶，用于大坝临时土方堆放。其中，堆场3属于水库管理区范围，不计入施工临时占地。根据敏感区关系识别，临时堆场1和临时堆场2均涉及占用永久基本农田，与永久基本农田的管理要求不符。</w:t>
      </w:r>
    </w:p>
    <w:p w14:paraId="1FD24AFB">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2024年4月的水土保持方案报告书中，将上述临时堆土场改设在大坝下游，并合并为1处临时堆土场，临时占地面积为0.53hm</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vertAlign w:val="superscript"/>
          <w:lang w:val="en-US" w:eastAsia="zh-CN"/>
        </w:rPr>
        <w:t>2</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，可满足本项目临时堆土要求。</w:t>
      </w:r>
    </w:p>
    <w:p w14:paraId="6C6ABBE5">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经过优化后的临时堆土场不再涉及环境敏感区。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项目拟对临时堆土场进行密目网覆盖，定期洒水降尘，本工程施工结束后，将对临时堆土场占地撒草籽进行植被恢复，对项目周边环境影响较小。因此，优化后的临时堆土场</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选址合理。</w:t>
      </w:r>
    </w:p>
    <w:p w14:paraId="157B7CA7">
      <w:pPr>
        <w:keepNext w:val="0"/>
        <w:keepLines w:val="0"/>
        <w:pageBreakBefore w:val="0"/>
        <w:widowControl w:val="0"/>
        <w:numPr>
          <w:ilvl w:val="0"/>
          <w:numId w:val="4"/>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施工</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临建设施区合理性</w:t>
      </w:r>
    </w:p>
    <w:p w14:paraId="6EF862FA">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根</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据项目初步设计报告，工程区附近坡高路陡，可供施工布置的场地很限，仅在左坝头管理所附近有小块平地，左坝头下游侧地势较低，可堆渣填平后用于布置施工临建区。初步设计和水土保持方案将</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施工临建设施</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布置于左坝下游，</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占地面积约</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0.3</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hm</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vertAlign w:val="superscript"/>
          <w:lang w:val="en-US" w:eastAsia="zh-CN"/>
        </w:rPr>
        <w:t>2</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。施工</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临建设施区布置有施工工厂（混凝土工厂、钢筋加工厂、木材加工厂、机械设备停放场、试验室、水泵站）和施工仓库（水泥仓库、其他材料</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仓库）。</w:t>
      </w:r>
    </w:p>
    <w:p w14:paraId="2CD07032">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该</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施工</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临建设施</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不涉及饮用水水源保护区、省级森林公园、生态红线、生态公益林和永久基本农田等环境敏感区。施工结束后，将采用工程措施结合植物措施对场地进行恢复，消除不利影响。因此，本工程</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施工</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临建设施</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选址从环境上分析是合理的。</w:t>
      </w:r>
    </w:p>
    <w:p w14:paraId="345520C2">
      <w:pPr>
        <w:keepNext w:val="0"/>
        <w:keepLines w:val="0"/>
        <w:pageBreakBefore w:val="0"/>
        <w:widowControl w:val="0"/>
        <w:numPr>
          <w:ilvl w:val="0"/>
          <w:numId w:val="4"/>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弃渣场合理性</w:t>
      </w:r>
    </w:p>
    <w:p w14:paraId="67D76880">
      <w:pPr>
        <w:keepNext w:val="0"/>
        <w:keepLines w:val="0"/>
        <w:pageBreakBefore w:val="0"/>
        <w:widowControl w:val="0"/>
        <w:numPr>
          <w:ilvl w:val="0"/>
          <w:numId w:val="0"/>
        </w:numPr>
        <w:kinsoku/>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根据本项目初步设计和水土保持方案，工程将产生弃渣量约为0.99万m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。根据工程区地形条件和实际需要，将弃渣场设置于引水渠沿线，</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弃渣场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占地面积约</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0.19</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hm</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vertAlign w:val="superscript"/>
          <w:lang w:val="en-US" w:eastAsia="zh-CN"/>
        </w:rPr>
        <w:t>2</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w:t>
      </w:r>
    </w:p>
    <w:p w14:paraId="7C36C7B4">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cs="Times New Roman"/>
          <w:spacing w:val="0"/>
          <w:w w:val="100"/>
          <w:position w:val="0"/>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根据</w:t>
      </w:r>
      <w:r>
        <w:rPr>
          <w:rFonts w:hint="eastAsia"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与</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敏感区关系识别，该弃渣场涉及占用永久基本农田，与永久基本农田的管理要求不符。本次评价要求重新选择弃渣场位置，建议将弃渣场调整至大坝左坝下游（临时堆土场北侧）。</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经过优化调整后的弃渣场不再涉及环境敏感区。施工结束后，将采用工程措施结合植物措施对场地进行恢复，消除不利影响。因此，本工程调整后的弃渣场选址从环境上分析是合理的。</w:t>
      </w:r>
      <w:r>
        <w:rPr>
          <w:rFonts w:hint="default" w:ascii="Times New Roman" w:hAnsi="Times New Roman" w:eastAsia="浠垮畫" w:cs="Times New Roman"/>
          <w:color w:val="000000"/>
          <w:spacing w:val="0"/>
          <w:w w:val="100"/>
          <w:kern w:val="0"/>
          <w:position w:val="0"/>
          <w:sz w:val="28"/>
          <w:szCs w:val="28"/>
          <w:lang w:val="en-US" w:eastAsia="zh-CN" w:bidi="ar"/>
        </w:rPr>
        <w:t xml:space="preserve"> </w:t>
      </w:r>
    </w:p>
    <w:p w14:paraId="77F83529">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2" w:firstLineChars="200"/>
        <w:jc w:val="left"/>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（15）施工总布置方案合理性分析</w:t>
      </w:r>
    </w:p>
    <w:p w14:paraId="1F1DDCA7">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本工程为水库除险加固工程，工程不改变水库原坝址，主体工程建设不改变水库的设计正常蓄水位和水库库容；无需进行新的方案选址，项目建设在选址上与现状环境总体上是协调的，工程选址方案未进行调整与变更，总体上是合理的。</w:t>
      </w:r>
    </w:p>
    <w:p w14:paraId="4E31EA09">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 xml:space="preserve">本工程施工布置遵循因地制宜、有利生产、方便生活、便于管理、安全经济的原则进行，施工工区均就近布置。工程所需土料利用湖南海霸食品有限公司平场产生的多余土方，无需另设取土场；砂石料就近购买成品料，施工场地不设砂石料加工场；取土和砂石料均利用现有乡村道路运输至场内，在减少了施工占地的同时，也避免了砂石料加工产生噪声、粉尘、废水等环境污染。 </w:t>
      </w:r>
    </w:p>
    <w:p w14:paraId="135599D6">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本工程施工临建设施采用集中布置方式，主要布置于左坝头下游空地处的施工临建设施区。施工临建设施布置有施工工厂（混凝土工厂、钢筋加工厂、木材加工厂、机械设备停放场、试验室、水泵站）和施工仓库（水泥仓库、其他材料仓库）。制浆站就近利用现有水库管理用房空地，方便施工。施工临建设施所在场地较空旷，靠近大坝附近布置，尽量避开了村庄等环境敏感点，减少了施工运输噪声和粉尘对敏感区居民的影响。</w:t>
      </w:r>
    </w:p>
    <w:p w14:paraId="1F2316F7">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生活福利设施尽量简化，宿舍、食堂、办公室和卫生间等生活福利设施租用周边民房，不另设施工营地，可有效减少生活营地建设占地，减少对植被的破坏，减少场平等各类建设活动对环境的扰动，并且避免了建房过程中可能产生的水土流失。此外，租用民房还可使施工期间生活污水利用当地现有污水收集、处理、排放系统，可减轻生活污水排放对水体的影响。</w:t>
      </w:r>
    </w:p>
    <w:p w14:paraId="5D98A549">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优化调整后的临时堆土区和弃渣场位于大坝下游，方便土石方转运堆存，减少运输距离。同时优化调整后各施工场地不涉及环境敏感区。施工场地及其周边无滑坡、泥石流及危岩崩塌等不良地质现象，场地工程地质条件简单，稳定性好。</w:t>
      </w:r>
    </w:p>
    <w:p w14:paraId="2F7BACAC">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施工期间场外施工便道利用周边现有乡村道路，场内施工便道沿规划道路在红线内布设，充分利用现有道路，交通较便利，各施工场点均都能直达，运距短，可有效减少施工临时道路占地，减少了道路建设占地对沿线植被的破坏和新增水土流失。</w:t>
      </w:r>
    </w:p>
    <w:p w14:paraId="7957C100">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8"/>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综上，工程施工总布置充分考虑了施工方便、减少占地等因素，可减轻对植被的破坏和对环境的扰动，从环境角度分析是合理的。</w:t>
      </w:r>
    </w:p>
    <w:p w14:paraId="018F3672">
      <w:pPr>
        <w:pStyle w:val="3"/>
        <w:numPr>
          <w:ilvl w:val="1"/>
          <w:numId w:val="0"/>
        </w:numPr>
        <w:bidi w:val="0"/>
        <w:ind w:leftChars="0"/>
        <w:rPr>
          <w:rFonts w:hint="default" w:ascii="Times New Roman" w:hAnsi="Times New Roman" w:cs="Times New Roman"/>
        </w:rPr>
      </w:pPr>
      <w:bookmarkStart w:id="15" w:name="_Toc7398"/>
      <w:bookmarkStart w:id="16" w:name="_Toc20728"/>
      <w:r>
        <w:rPr>
          <w:rFonts w:hint="default" w:ascii="Times New Roman" w:hAnsi="Times New Roman" w:cs="Times New Roman"/>
        </w:rPr>
        <w:t>5关注的主要环境问题及环境影响</w:t>
      </w:r>
      <w:bookmarkEnd w:id="1"/>
      <w:bookmarkEnd w:id="2"/>
      <w:bookmarkEnd w:id="15"/>
      <w:bookmarkEnd w:id="16"/>
    </w:p>
    <w:p w14:paraId="342723F1">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项目主体工程为水库除险加固工程，为生态类项目。根据工程内容及环境实际情况，本工程建设不涉水，经过加强管理和规范施工行为，工程建设对水库水质的影响有限。因此，本次评价主要关注工程施工过程对区域环境空气质量的影响，因大面积开挖施工和及原有设施的破除，产生的水土流失影响，以及对环境敏感区的生态影响等。</w:t>
      </w:r>
    </w:p>
    <w:p w14:paraId="3D2E2E18">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bookmarkStart w:id="17" w:name="bookmark27"/>
      <w:bookmarkStart w:id="18" w:name="bookmark26"/>
      <w:r>
        <w:rPr>
          <w:rFonts w:hint="default" w:ascii="Times New Roman" w:hAnsi="Times New Roman" w:eastAsia="宋体" w:cs="Times New Roman"/>
          <w:caps w:val="0"/>
          <w:smallCaps w:val="0"/>
          <w:color w:val="auto"/>
          <w:spacing w:val="0"/>
          <w:w w:val="100"/>
          <w:kern w:val="0"/>
          <w:position w:val="0"/>
          <w:sz w:val="24"/>
          <w:szCs w:val="24"/>
          <w:u w:val="none" w:color="auto"/>
        </w:rPr>
        <w:t>（1）大气环境</w:t>
      </w:r>
      <w:bookmarkEnd w:id="17"/>
      <w:bookmarkEnd w:id="18"/>
    </w:p>
    <w:p w14:paraId="6A0B98B7">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大气环境主要关注施工期扬尘、各类车辆机械设备产生的燃油废气等各类大气污染物对工程所在区域大气环境的影响及其污染防治措施，防止对大气环境产生不利影响。</w:t>
      </w:r>
    </w:p>
    <w:p w14:paraId="48729688">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bookmarkStart w:id="19" w:name="bookmark28"/>
      <w:bookmarkStart w:id="20" w:name="bookmark29"/>
      <w:r>
        <w:rPr>
          <w:rFonts w:hint="default" w:ascii="Times New Roman" w:hAnsi="Times New Roman" w:eastAsia="宋体" w:cs="Times New Roman"/>
          <w:caps w:val="0"/>
          <w:smallCaps w:val="0"/>
          <w:color w:val="auto"/>
          <w:spacing w:val="0"/>
          <w:w w:val="100"/>
          <w:kern w:val="0"/>
          <w:position w:val="0"/>
          <w:sz w:val="24"/>
          <w:szCs w:val="24"/>
          <w:u w:val="none" w:color="auto"/>
        </w:rPr>
        <w:t>（2）地表水环境</w:t>
      </w:r>
      <w:bookmarkEnd w:id="19"/>
      <w:bookmarkEnd w:id="20"/>
    </w:p>
    <w:p w14:paraId="4B217C38">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项目水环境方面主要关注施工期施工废水处置措施及对</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东山水库饮用水源的不利</w:t>
      </w:r>
      <w:r>
        <w:rPr>
          <w:rFonts w:hint="default" w:ascii="Times New Roman" w:hAnsi="Times New Roman" w:eastAsia="宋体" w:cs="Times New Roman"/>
          <w:caps w:val="0"/>
          <w:smallCaps w:val="0"/>
          <w:color w:val="auto"/>
          <w:spacing w:val="0"/>
          <w:w w:val="100"/>
          <w:kern w:val="0"/>
          <w:position w:val="0"/>
          <w:sz w:val="24"/>
          <w:szCs w:val="24"/>
          <w:u w:val="none" w:color="auto"/>
        </w:rPr>
        <w:t>影响，尤其关注工程实施对</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水源</w:t>
      </w:r>
      <w:r>
        <w:rPr>
          <w:rFonts w:hint="default" w:ascii="Times New Roman" w:hAnsi="Times New Roman" w:eastAsia="宋体" w:cs="Times New Roman"/>
          <w:caps w:val="0"/>
          <w:smallCaps w:val="0"/>
          <w:color w:val="auto"/>
          <w:spacing w:val="0"/>
          <w:w w:val="100"/>
          <w:kern w:val="0"/>
          <w:position w:val="0"/>
          <w:sz w:val="24"/>
          <w:szCs w:val="24"/>
          <w:u w:val="none" w:color="auto"/>
        </w:rPr>
        <w:t>的影响及采取的水环境保护措施。</w:t>
      </w:r>
    </w:p>
    <w:p w14:paraId="7749B0C6">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bookmarkStart w:id="21" w:name="bookmark31"/>
      <w:bookmarkStart w:id="22" w:name="bookmark30"/>
      <w:r>
        <w:rPr>
          <w:rFonts w:hint="default" w:ascii="Times New Roman" w:hAnsi="Times New Roman" w:eastAsia="宋体" w:cs="Times New Roman"/>
          <w:caps w:val="0"/>
          <w:smallCaps w:val="0"/>
          <w:color w:val="auto"/>
          <w:spacing w:val="0"/>
          <w:w w:val="100"/>
          <w:kern w:val="0"/>
          <w:position w:val="0"/>
          <w:sz w:val="24"/>
          <w:szCs w:val="24"/>
          <w:u w:val="none" w:color="auto"/>
        </w:rPr>
        <w:t>（3）声环境</w:t>
      </w:r>
      <w:bookmarkEnd w:id="21"/>
      <w:bookmarkEnd w:id="22"/>
    </w:p>
    <w:p w14:paraId="7E4ADF4B">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项目声环境方面主要关注施工期各类机械设备产生的噪声对项目所在区域附近村庄居民的影响及其污染防治措施。</w:t>
      </w:r>
    </w:p>
    <w:p w14:paraId="5AD1FDE3">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bookmarkStart w:id="23" w:name="bookmark33"/>
      <w:bookmarkStart w:id="24" w:name="bookmark32"/>
      <w:r>
        <w:rPr>
          <w:rFonts w:hint="default" w:ascii="Times New Roman" w:hAnsi="Times New Roman" w:eastAsia="宋体" w:cs="Times New Roman"/>
          <w:caps w:val="0"/>
          <w:smallCaps w:val="0"/>
          <w:color w:val="auto"/>
          <w:spacing w:val="0"/>
          <w:w w:val="100"/>
          <w:kern w:val="0"/>
          <w:position w:val="0"/>
          <w:sz w:val="24"/>
          <w:szCs w:val="24"/>
          <w:u w:val="none" w:color="auto"/>
        </w:rPr>
        <w:t>（4）固体废物</w:t>
      </w:r>
      <w:bookmarkEnd w:id="23"/>
      <w:bookmarkEnd w:id="24"/>
    </w:p>
    <w:p w14:paraId="72294196">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项目固体废物主要关注项目施工期产生的</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弃土</w:t>
      </w:r>
      <w:r>
        <w:rPr>
          <w:rFonts w:hint="default" w:ascii="Times New Roman" w:hAnsi="Times New Roman" w:eastAsia="宋体" w:cs="Times New Roman"/>
          <w:caps w:val="0"/>
          <w:smallCaps w:val="0"/>
          <w:color w:val="auto"/>
          <w:spacing w:val="0"/>
          <w:w w:val="100"/>
          <w:kern w:val="0"/>
          <w:position w:val="0"/>
          <w:sz w:val="24"/>
          <w:szCs w:val="24"/>
          <w:u w:val="none" w:color="auto"/>
        </w:rPr>
        <w:t>治理措施。</w:t>
      </w:r>
    </w:p>
    <w:p w14:paraId="1E1BD29B">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bookmarkStart w:id="25" w:name="bookmark34"/>
      <w:bookmarkStart w:id="26" w:name="bookmark35"/>
      <w:r>
        <w:rPr>
          <w:rFonts w:hint="default" w:ascii="Times New Roman" w:hAnsi="Times New Roman" w:eastAsia="宋体" w:cs="Times New Roman"/>
          <w:caps w:val="0"/>
          <w:smallCaps w:val="0"/>
          <w:color w:val="auto"/>
          <w:spacing w:val="0"/>
          <w:w w:val="100"/>
          <w:kern w:val="0"/>
          <w:position w:val="0"/>
          <w:sz w:val="24"/>
          <w:szCs w:val="24"/>
          <w:u w:val="none" w:color="auto"/>
        </w:rPr>
        <w:t>（5）地下水和土壤环境</w:t>
      </w:r>
      <w:bookmarkEnd w:id="25"/>
      <w:bookmarkEnd w:id="26"/>
    </w:p>
    <w:p w14:paraId="11421B1B">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本工程土壤重点关注水库长期蓄水导致的地下水位上升，以及对土壤环境造成的影响以及采取的措施。</w:t>
      </w:r>
    </w:p>
    <w:p w14:paraId="69F46058">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bookmarkStart w:id="27" w:name="bookmark36"/>
      <w:bookmarkStart w:id="28" w:name="bookmark37"/>
      <w:r>
        <w:rPr>
          <w:rFonts w:hint="default" w:ascii="Times New Roman" w:hAnsi="Times New Roman" w:eastAsia="宋体" w:cs="Times New Roman"/>
          <w:caps w:val="0"/>
          <w:smallCaps w:val="0"/>
          <w:color w:val="auto"/>
          <w:spacing w:val="0"/>
          <w:w w:val="100"/>
          <w:kern w:val="0"/>
          <w:position w:val="0"/>
          <w:sz w:val="24"/>
          <w:szCs w:val="24"/>
          <w:u w:val="none" w:color="auto"/>
        </w:rPr>
        <w:t>（6）生态环境</w:t>
      </w:r>
      <w:bookmarkEnd w:id="27"/>
      <w:bookmarkEnd w:id="28"/>
    </w:p>
    <w:p w14:paraId="3ED3DAA2">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本工程生态环境方面主要关注项目施工期工程活动对饮用水水源保护区、</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桃花山省级森林公园</w:t>
      </w:r>
      <w:r>
        <w:rPr>
          <w:rFonts w:hint="default" w:ascii="Times New Roman" w:hAnsi="Times New Roman" w:eastAsia="宋体" w:cs="Times New Roman"/>
          <w:caps w:val="0"/>
          <w:smallCaps w:val="0"/>
          <w:color w:val="auto"/>
          <w:spacing w:val="0"/>
          <w:w w:val="100"/>
          <w:kern w:val="0"/>
          <w:position w:val="0"/>
          <w:sz w:val="24"/>
          <w:szCs w:val="24"/>
          <w:u w:val="none" w:color="auto"/>
        </w:rPr>
        <w:t>景观、水土流失等生态因子的影响、减缓措施可行性。</w:t>
      </w:r>
    </w:p>
    <w:p w14:paraId="2665F2B6">
      <w:pPr>
        <w:pStyle w:val="3"/>
        <w:numPr>
          <w:ilvl w:val="1"/>
          <w:numId w:val="0"/>
        </w:numPr>
        <w:bidi w:val="0"/>
        <w:ind w:leftChars="0"/>
        <w:rPr>
          <w:rFonts w:hint="default" w:ascii="Times New Roman" w:hAnsi="Times New Roman" w:cs="Times New Roman"/>
        </w:rPr>
      </w:pPr>
      <w:bookmarkStart w:id="29" w:name="_Toc14675"/>
      <w:bookmarkStart w:id="30" w:name="_Toc480"/>
      <w:r>
        <w:rPr>
          <w:rFonts w:hint="default" w:ascii="Times New Roman" w:hAnsi="Times New Roman" w:cs="Times New Roman"/>
        </w:rPr>
        <w:t>6环境影响报告书主要结论</w:t>
      </w:r>
      <w:bookmarkEnd w:id="29"/>
      <w:bookmarkEnd w:id="30"/>
    </w:p>
    <w:p w14:paraId="03AE08E2">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东山水库</w:t>
      </w:r>
      <w:r>
        <w:rPr>
          <w:rFonts w:hint="default" w:ascii="Times New Roman" w:hAnsi="Times New Roman" w:eastAsia="宋体" w:cs="Times New Roman"/>
          <w:caps w:val="0"/>
          <w:smallCaps w:val="0"/>
          <w:color w:val="auto"/>
          <w:spacing w:val="0"/>
          <w:w w:val="100"/>
          <w:kern w:val="0"/>
          <w:position w:val="0"/>
          <w:sz w:val="24"/>
          <w:szCs w:val="24"/>
          <w:u w:val="none" w:color="auto"/>
        </w:rPr>
        <w:t>除险加固工程符合国家产业政策</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、相关法律法规</w:t>
      </w:r>
      <w:r>
        <w:rPr>
          <w:rFonts w:hint="default" w:ascii="Times New Roman" w:hAnsi="Times New Roman" w:eastAsia="宋体" w:cs="Times New Roman"/>
          <w:caps w:val="0"/>
          <w:smallCaps w:val="0"/>
          <w:color w:val="auto"/>
          <w:spacing w:val="0"/>
          <w:w w:val="100"/>
          <w:kern w:val="0"/>
          <w:position w:val="0"/>
          <w:sz w:val="24"/>
          <w:szCs w:val="24"/>
          <w:u w:val="none" w:color="auto"/>
        </w:rPr>
        <w:t>和相关规划</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本次除险加固工程在原址基础上进行除险加固，不改变水库的特性。</w:t>
      </w:r>
    </w:p>
    <w:p w14:paraId="1F452CDE">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东山水库除险加固工程不可避免的涉及了饮用水水源保护区、省级森林公园的局部区域。通过加强施工期生产废水和生活污水收集处理，可以实现废污水不外排，工程施工对水源保护区水质影响有限。工程占地面积占敏感区总面积均很小，施工结束后，通过植被恢复措施可以在一定程度上减少对森林公园植被及景观的影响。</w:t>
      </w:r>
    </w:p>
    <w:p w14:paraId="1EE0107B">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工程部分永久用地涉及岳阳市生态保护红线，岳阳市自然资源和规划局出具了对工程不可避让生态保护红线论证意见的函。工程属于已有的合法水利设施运行维护改造，且不新增用地，符合《自然资源部 生态环境部 国家林业和草原局关于加强生态保护红线管理的通知（试行）》（自然资发〔2022〕142号）的管控要求。 </w:t>
      </w:r>
    </w:p>
    <w:p w14:paraId="1898E037">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工程对环境的不利影响主要集中在施工期，但影响大部分是暂时</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的。</w:t>
      </w:r>
      <w:r>
        <w:rPr>
          <w:rFonts w:hint="default" w:ascii="Times New Roman" w:hAnsi="Times New Roman" w:eastAsia="宋体" w:cs="Times New Roman"/>
          <w:caps w:val="0"/>
          <w:smallCaps w:val="0"/>
          <w:color w:val="auto"/>
          <w:spacing w:val="0"/>
          <w:w w:val="100"/>
          <w:kern w:val="0"/>
          <w:position w:val="0"/>
          <w:sz w:val="24"/>
          <w:szCs w:val="24"/>
          <w:u w:val="none" w:color="auto"/>
        </w:rPr>
        <w:t>在严格落实本环境影响报告提出的各项环境保护措施的前提下，可将工程实施对</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环境</w:t>
      </w:r>
      <w:r>
        <w:rPr>
          <w:rFonts w:hint="default" w:ascii="Times New Roman" w:hAnsi="Times New Roman" w:eastAsia="宋体" w:cs="Times New Roman"/>
          <w:caps w:val="0"/>
          <w:smallCaps w:val="0"/>
          <w:color w:val="auto"/>
          <w:spacing w:val="0"/>
          <w:w w:val="100"/>
          <w:kern w:val="0"/>
          <w:position w:val="0"/>
          <w:sz w:val="24"/>
          <w:szCs w:val="24"/>
          <w:u w:val="none" w:color="auto"/>
        </w:rPr>
        <w:t>的影响降至最低。</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从环境保护角度分析落实各项环境保护措施后</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东山水库除险加固</w:t>
      </w:r>
      <w:r>
        <w:rPr>
          <w:rFonts w:hint="default" w:ascii="Times New Roman" w:hAnsi="Times New Roman" w:eastAsia="宋体" w:cs="Times New Roman"/>
          <w:caps w:val="0"/>
          <w:smallCaps w:val="0"/>
          <w:color w:val="auto"/>
          <w:spacing w:val="0"/>
          <w:w w:val="100"/>
          <w:kern w:val="0"/>
          <w:position w:val="0"/>
          <w:sz w:val="24"/>
          <w:szCs w:val="24"/>
          <w:u w:val="none" w:color="auto"/>
        </w:rPr>
        <w:t>工程建设是可行的。</w:t>
      </w:r>
    </w:p>
    <w:p w14:paraId="0F4CEA3A">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rPr>
      </w:pPr>
    </w:p>
    <w:p w14:paraId="27E8D6E8">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sectPr>
          <w:footerReference r:id="rId7" w:type="default"/>
          <w:pgSz w:w="11906" w:h="16838"/>
          <w:pgMar w:top="1440" w:right="1803" w:bottom="1440" w:left="1803"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193842D7">
      <w:pPr>
        <w:pStyle w:val="2"/>
        <w:bidi w:val="0"/>
        <w:rPr>
          <w:rFonts w:hint="default" w:ascii="Times New Roman" w:hAnsi="Times New Roman" w:cs="Times New Roman"/>
        </w:rPr>
      </w:pPr>
      <w:bookmarkStart w:id="31" w:name="_Toc29404"/>
      <w:r>
        <w:rPr>
          <w:rFonts w:hint="default" w:ascii="Times New Roman" w:hAnsi="Times New Roman" w:cs="Times New Roman"/>
        </w:rPr>
        <w:t>1  总则</w:t>
      </w:r>
      <w:bookmarkEnd w:id="31"/>
    </w:p>
    <w:p w14:paraId="79FEF66D">
      <w:pPr>
        <w:pStyle w:val="3"/>
        <w:bidi w:val="0"/>
        <w:rPr>
          <w:rFonts w:hint="default" w:ascii="Times New Roman" w:hAnsi="Times New Roman" w:cs="Times New Roman"/>
        </w:rPr>
      </w:pPr>
      <w:bookmarkStart w:id="32" w:name="_Toc18087"/>
      <w:bookmarkStart w:id="33" w:name="bookmark43"/>
      <w:bookmarkStart w:id="34" w:name="bookmark42"/>
      <w:r>
        <w:rPr>
          <w:rFonts w:hint="default" w:ascii="Times New Roman" w:hAnsi="Times New Roman" w:cs="Times New Roman"/>
        </w:rPr>
        <w:t>编制依据</w:t>
      </w:r>
      <w:bookmarkEnd w:id="32"/>
      <w:bookmarkEnd w:id="33"/>
      <w:bookmarkEnd w:id="34"/>
    </w:p>
    <w:p w14:paraId="5E63C85B">
      <w:pPr>
        <w:pStyle w:val="4"/>
        <w:bidi w:val="0"/>
        <w:rPr>
          <w:rFonts w:hint="default" w:ascii="Times New Roman" w:hAnsi="Times New Roman" w:cs="Times New Roman"/>
          <w:lang w:eastAsia="zh-CN"/>
        </w:rPr>
      </w:pPr>
      <w:bookmarkStart w:id="35" w:name="bookmark45"/>
      <w:bookmarkStart w:id="36" w:name="bookmark44"/>
      <w:bookmarkStart w:id="37" w:name="_Toc385"/>
      <w:r>
        <w:rPr>
          <w:rFonts w:hint="default" w:ascii="Times New Roman" w:hAnsi="Times New Roman" w:cs="Times New Roman"/>
        </w:rPr>
        <w:t>法律法规</w:t>
      </w:r>
      <w:bookmarkEnd w:id="35"/>
      <w:bookmarkEnd w:id="36"/>
      <w:r>
        <w:rPr>
          <w:rFonts w:hint="default" w:ascii="Times New Roman" w:hAnsi="Times New Roman" w:cs="Times New Roman"/>
          <w:lang w:eastAsia="zh-CN"/>
        </w:rPr>
        <w:t>、部门规章</w:t>
      </w:r>
      <w:bookmarkEnd w:id="37"/>
    </w:p>
    <w:p w14:paraId="290E2EDE">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《中华人民共和国环境保护法》（2014月1月24日修订，2015年1月1日起实施）</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65A172F5">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《中华人民共和国环境影响评价法》（2018年12月29日修订，即日实施）</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5D419FD8">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《中华人民共和国长江保护法》</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2021年3月1日施行</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707CC2C0">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《中华人民共和国水污染防治法》（2017年6月27日修订，2018年1月1日起施行）</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66CC5766">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《中华人民共和国噪声污染防治法》（20</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22年6月5日施行</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7079E938">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《中华人民共和国大气污染防治法》（2018年10月26日修订）</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01382327">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《中华人民共和国固体废物污染环境防治法》（2020年4月29日修订）</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75943398">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《中华人民共和国水土保持法》（2010年12月25日修订）</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7BFD8BE5">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《中华人民共和国土壤污染防治法》（2019年1月1日实施）</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2A05F0B2">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《中华人民共和国森林法》（</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2019年12月修订</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2404CBD3">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《中华人民共和国土地管理法》</w:t>
      </w:r>
      <w:r>
        <w:rPr>
          <w:rFonts w:hint="default" w:ascii="Times New Roman" w:hAnsi="Times New Roman" w:eastAsia="宋体" w:cs="Times New Roman"/>
          <w:caps w:val="0"/>
          <w:smallCaps w:val="0"/>
          <w:color w:val="auto"/>
          <w:spacing w:val="0"/>
          <w:w w:val="100"/>
          <w:kern w:val="0"/>
          <w:position w:val="0"/>
          <w:sz w:val="24"/>
          <w:szCs w:val="24"/>
          <w:u w:val="none" w:color="auto"/>
        </w:rPr>
        <w:t>（20</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20</w:t>
      </w:r>
      <w:r>
        <w:rPr>
          <w:rFonts w:hint="default" w:ascii="Times New Roman" w:hAnsi="Times New Roman" w:eastAsia="宋体" w:cs="Times New Roman"/>
          <w:caps w:val="0"/>
          <w:smallCaps w:val="0"/>
          <w:color w:val="auto"/>
          <w:spacing w:val="0"/>
          <w:w w:val="100"/>
          <w:kern w:val="0"/>
          <w:position w:val="0"/>
          <w:sz w:val="24"/>
          <w:szCs w:val="24"/>
          <w:u w:val="none" w:color="auto"/>
        </w:rPr>
        <w:t>年1月1日实施）</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79325532">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《中华人民共和国野生动物保护法》（2018年10月26日修订）</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613443D5">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《中华人民共和国渔业法》（2013年12月28日修订）</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007A9023">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《中华人民共和国防洪法》（2016年7月2日修订）</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14D36CB5">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《中华人民共和国矿产资源法》（2009年8月27日修订）</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1FD8A6B5">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《中华人民共和国野生植物保护条例》（2017年10月7日修订）</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4FD865BB">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《中华人民共和国陆生野生动物保护实施条例》（2016年2月6日修订）</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3D79007E">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《中华人民共和国水生野生动物保护实施条例》（2013年12月7日修订）</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1B7AEAD0">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《基本农田保护条例》（1999年1月1日实施）</w:t>
      </w:r>
    </w:p>
    <w:p w14:paraId="51BB5E1C">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《中华人民共和国河道管理条例》（2011年1月修订）</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60CE5B6F">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《中华人民共和国土地管理法实施条例》</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2021年9月1日起施行）</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2C037770">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《中华人民共和国水土保持实施条例》（2011年1月8日修订）；</w:t>
      </w:r>
    </w:p>
    <w:p w14:paraId="24EAA37F">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《中华人民共和国森林法实施条例》（2018</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年</w:t>
      </w:r>
      <w:r>
        <w:rPr>
          <w:rFonts w:hint="default" w:ascii="Times New Roman" w:hAnsi="Times New Roman" w:eastAsia="宋体" w:cs="Times New Roman"/>
          <w:caps w:val="0"/>
          <w:smallCaps w:val="0"/>
          <w:color w:val="auto"/>
          <w:spacing w:val="0"/>
          <w:w w:val="100"/>
          <w:kern w:val="0"/>
          <w:position w:val="0"/>
          <w:sz w:val="24"/>
          <w:szCs w:val="24"/>
          <w:u w:val="none" w:color="auto"/>
        </w:rPr>
        <w:t>3</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月</w:t>
      </w:r>
      <w:r>
        <w:rPr>
          <w:rFonts w:hint="default" w:ascii="Times New Roman" w:hAnsi="Times New Roman" w:eastAsia="宋体" w:cs="Times New Roman"/>
          <w:caps w:val="0"/>
          <w:smallCaps w:val="0"/>
          <w:color w:val="auto"/>
          <w:spacing w:val="0"/>
          <w:w w:val="100"/>
          <w:kern w:val="0"/>
          <w:position w:val="0"/>
          <w:sz w:val="24"/>
          <w:szCs w:val="24"/>
          <w:u w:val="none" w:color="auto"/>
        </w:rPr>
        <w:t>9</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日</w:t>
      </w:r>
      <w:r>
        <w:rPr>
          <w:rFonts w:hint="default" w:ascii="Times New Roman" w:hAnsi="Times New Roman" w:eastAsia="宋体" w:cs="Times New Roman"/>
          <w:caps w:val="0"/>
          <w:smallCaps w:val="0"/>
          <w:color w:val="auto"/>
          <w:spacing w:val="0"/>
          <w:w w:val="100"/>
          <w:kern w:val="0"/>
          <w:position w:val="0"/>
          <w:sz w:val="24"/>
          <w:szCs w:val="24"/>
          <w:u w:val="none" w:color="auto"/>
        </w:rPr>
        <w:t>修订施行）</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6B362094">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《地下水管理条例》（国务院令第748号，2021年12月1日起施行）；</w:t>
      </w:r>
    </w:p>
    <w:p w14:paraId="6F69D6E7">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《大气污染防治行动计划》（国发〔2013〕37号，2013.9.10）</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525AFB8A">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《关于落实大气污染防治行动计划严格环境影响评价准入的通知》（环办〔2014〕30号，2014年3月25日）</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35A126D8">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《水污染防治行动计划》（国发〔2015〕17号，2015年4月16日）</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3F458F08">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《水污染防治实施细则》（</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2020年7月30日</w:t>
      </w:r>
      <w:r>
        <w:rPr>
          <w:rFonts w:hint="default" w:ascii="Times New Roman" w:hAnsi="Times New Roman" w:eastAsia="宋体" w:cs="Times New Roman"/>
          <w:caps w:val="0"/>
          <w:smallCaps w:val="0"/>
          <w:color w:val="auto"/>
          <w:spacing w:val="0"/>
          <w:w w:val="100"/>
          <w:kern w:val="0"/>
          <w:position w:val="0"/>
          <w:sz w:val="24"/>
          <w:szCs w:val="24"/>
          <w:u w:val="none" w:color="auto"/>
        </w:rPr>
        <w:t>施行</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04FCFD6E">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《土壤污染防治行动计划》（国发〔2016〕31号，2016年5月28日）</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6091D5C2">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《国家危险废物名录》（2021年版）（2021年1月1日施行）</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44BFC756">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b w:val="0"/>
          <w:bCs w:val="0"/>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b w:val="0"/>
          <w:bCs w:val="0"/>
          <w:color w:val="auto"/>
          <w:spacing w:val="0"/>
          <w:w w:val="100"/>
          <w:kern w:val="0"/>
          <w:position w:val="0"/>
          <w:sz w:val="24"/>
          <w:highlight w:val="none"/>
          <w:u w:val="none" w:color="auto"/>
        </w:rPr>
        <w:t>饮用水水源保护区污染防治管理规定》</w:t>
      </w:r>
      <w:r>
        <w:rPr>
          <w:rFonts w:hint="default" w:ascii="Times New Roman" w:hAnsi="Times New Roman" w:eastAsia="宋体" w:cs="Times New Roman"/>
          <w:b w:val="0"/>
          <w:bCs w:val="0"/>
          <w:color w:val="auto"/>
          <w:spacing w:val="0"/>
          <w:w w:val="100"/>
          <w:kern w:val="0"/>
          <w:position w:val="0"/>
          <w:sz w:val="24"/>
          <w:highlight w:val="none"/>
          <w:u w:val="none" w:color="auto"/>
          <w:lang w:eastAsia="zh-CN"/>
        </w:rPr>
        <w:t>（</w:t>
      </w:r>
      <w:r>
        <w:rPr>
          <w:rFonts w:hint="default" w:ascii="Times New Roman" w:hAnsi="Times New Roman" w:eastAsia="宋体" w:cs="Times New Roman"/>
          <w:b w:val="0"/>
          <w:bCs w:val="0"/>
          <w:color w:val="auto"/>
          <w:spacing w:val="0"/>
          <w:w w:val="100"/>
          <w:kern w:val="0"/>
          <w:position w:val="0"/>
          <w:sz w:val="24"/>
          <w:highlight w:val="none"/>
          <w:u w:val="none" w:color="auto"/>
          <w:lang w:val="en-US" w:eastAsia="zh-CN"/>
        </w:rPr>
        <w:t>2010年修正</w:t>
      </w:r>
      <w:r>
        <w:rPr>
          <w:rFonts w:hint="default" w:ascii="Times New Roman" w:hAnsi="Times New Roman" w:eastAsia="宋体" w:cs="Times New Roman"/>
          <w:b w:val="0"/>
          <w:bCs w:val="0"/>
          <w:color w:val="auto"/>
          <w:spacing w:val="0"/>
          <w:w w:val="100"/>
          <w:kern w:val="0"/>
          <w:position w:val="0"/>
          <w:sz w:val="24"/>
          <w:highlight w:val="none"/>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7474E06B">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《国家级公益林管理办法》（2017</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年</w:t>
      </w:r>
      <w:r>
        <w:rPr>
          <w:rFonts w:hint="default" w:ascii="Times New Roman" w:hAnsi="Times New Roman" w:eastAsia="宋体" w:cs="Times New Roman"/>
          <w:caps w:val="0"/>
          <w:smallCaps w:val="0"/>
          <w:color w:val="auto"/>
          <w:spacing w:val="0"/>
          <w:w w:val="100"/>
          <w:kern w:val="0"/>
          <w:position w:val="0"/>
          <w:sz w:val="24"/>
          <w:szCs w:val="24"/>
          <w:u w:val="none" w:color="auto"/>
        </w:rPr>
        <w:t>4</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月</w:t>
      </w:r>
      <w:r>
        <w:rPr>
          <w:rFonts w:hint="default" w:ascii="Times New Roman" w:hAnsi="Times New Roman" w:eastAsia="宋体" w:cs="Times New Roman"/>
          <w:caps w:val="0"/>
          <w:smallCaps w:val="0"/>
          <w:color w:val="auto"/>
          <w:spacing w:val="0"/>
          <w:w w:val="100"/>
          <w:kern w:val="0"/>
          <w:position w:val="0"/>
          <w:sz w:val="24"/>
          <w:szCs w:val="24"/>
          <w:u w:val="none" w:color="auto"/>
        </w:rPr>
        <w:t>28</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日</w:t>
      </w:r>
      <w:r>
        <w:rPr>
          <w:rFonts w:hint="default" w:ascii="Times New Roman" w:hAnsi="Times New Roman" w:eastAsia="宋体" w:cs="Times New Roman"/>
          <w:caps w:val="0"/>
          <w:smallCaps w:val="0"/>
          <w:color w:val="auto"/>
          <w:spacing w:val="0"/>
          <w:w w:val="100"/>
          <w:kern w:val="0"/>
          <w:position w:val="0"/>
          <w:sz w:val="24"/>
          <w:szCs w:val="24"/>
          <w:u w:val="none" w:color="auto"/>
        </w:rPr>
        <w:t>发布）</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29EF9185">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国家重点保护野生动物名录》（国家林业和草原局 农业农村部，2021）；</w:t>
      </w:r>
    </w:p>
    <w:p w14:paraId="32B23BFB">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《国家重点保护野生植物名录》（国家林业和草原局 农业农村部，2021）；</w:t>
      </w:r>
    </w:p>
    <w:p w14:paraId="41D144ED">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《国务院办公厅关于切实加强水库除险加固和运行管护工作的通知》（国办发〔2021〕8号）；</w:t>
      </w:r>
    </w:p>
    <w:p w14:paraId="7658D80C">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《建设项目环境保护管理条例》（国务院令682号，2017年10月1日）；</w:t>
      </w:r>
    </w:p>
    <w:p w14:paraId="601F20B8">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《建设项目环境影响评价分类管理名录（2021年版）》（2021年1月1日起施行）</w:t>
      </w:r>
    </w:p>
    <w:p w14:paraId="366F062E">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《产业结构调整指导目录（20</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24</w:t>
      </w:r>
      <w:r>
        <w:rPr>
          <w:rFonts w:hint="default" w:ascii="Times New Roman" w:hAnsi="Times New Roman" w:eastAsia="宋体" w:cs="Times New Roman"/>
          <w:caps w:val="0"/>
          <w:smallCaps w:val="0"/>
          <w:color w:val="auto"/>
          <w:spacing w:val="0"/>
          <w:w w:val="100"/>
          <w:kern w:val="0"/>
          <w:position w:val="0"/>
          <w:sz w:val="24"/>
          <w:szCs w:val="24"/>
          <w:u w:val="none" w:color="auto"/>
        </w:rPr>
        <w:t>年本）》</w:t>
      </w:r>
    </w:p>
    <w:p w14:paraId="1DA41A08">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《自然资源部 生态环境部 国家林业和草原局关于加强生态保护红线管理的通知（试行）》(自然资发〔2022〕142号)； </w:t>
      </w:r>
    </w:p>
    <w:p w14:paraId="6A9F3896">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《自然资源部关于规范临时用地管理的通知》（自然资规〔2021〕2号）；</w:t>
      </w:r>
    </w:p>
    <w:p w14:paraId="3566A895">
      <w:pPr>
        <w:keepNext w:val="0"/>
        <w:keepLines w:val="0"/>
        <w:pageBreakBefore w:val="0"/>
        <w:widowControl w:val="0"/>
        <w:numPr>
          <w:ilvl w:val="0"/>
          <w:numId w:val="5"/>
        </w:numPr>
        <w:kinsoku/>
        <w:wordWrap w:val="0"/>
        <w:overflowPunct/>
        <w:topLinePunct/>
        <w:autoSpaceDE/>
        <w:autoSpaceDN/>
        <w:bidi w:val="0"/>
        <w:adjustRightInd w:val="0"/>
        <w:snapToGrid/>
        <w:spacing w:line="360" w:lineRule="auto"/>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《关于实施“三线一单”生态环境分区管控的指导意见（试行）》</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环环评〔2021〕108号，2021年11月19日印发</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78940E12">
      <w:pPr>
        <w:keepNext w:val="0"/>
        <w:keepLines w:val="0"/>
        <w:pageBreakBefore w:val="0"/>
        <w:numPr>
          <w:ilvl w:val="0"/>
          <w:numId w:val="5"/>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《环境影响评价公众参与办法》（生态环境部令第4号，2019年1月1日起实施）。</w:t>
      </w:r>
    </w:p>
    <w:p w14:paraId="753217B0">
      <w:pPr>
        <w:pStyle w:val="4"/>
        <w:bidi w:val="0"/>
        <w:rPr>
          <w:rFonts w:hint="default" w:ascii="Times New Roman" w:hAnsi="Times New Roman" w:cs="Times New Roman"/>
        </w:rPr>
      </w:pPr>
      <w:bookmarkStart w:id="38" w:name="_Toc18420"/>
      <w:r>
        <w:rPr>
          <w:rFonts w:hint="default" w:ascii="Times New Roman" w:hAnsi="Times New Roman" w:cs="Times New Roman"/>
        </w:rPr>
        <w:t>地方法规规章</w:t>
      </w:r>
      <w:bookmarkEnd w:id="38"/>
    </w:p>
    <w:p w14:paraId="13228996">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《湖南省环境保护条例》（2020年1月1日实施）；</w:t>
      </w:r>
    </w:p>
    <w:p w14:paraId="2EE02D81">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《湖南省大气污染防治条例》（2017年6</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月</w:t>
      </w:r>
      <w:r>
        <w:rPr>
          <w:rFonts w:hint="default" w:ascii="Times New Roman" w:hAnsi="Times New Roman" w:eastAsia="宋体" w:cs="Times New Roman"/>
          <w:caps w:val="0"/>
          <w:smallCaps w:val="0"/>
          <w:color w:val="auto"/>
          <w:spacing w:val="0"/>
          <w:w w:val="100"/>
          <w:kern w:val="0"/>
          <w:position w:val="0"/>
          <w:sz w:val="24"/>
          <w:szCs w:val="24"/>
          <w:u w:val="none" w:color="auto"/>
        </w:rPr>
        <w:t>1日）；</w:t>
      </w:r>
    </w:p>
    <w:p w14:paraId="49DE2119">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《湖南省饮用水水源保护条例》（2022年5月26日修改）；</w:t>
      </w:r>
    </w:p>
    <w:p w14:paraId="48C56D07">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《湖南省森林公园条例》（</w:t>
      </w:r>
      <w:r>
        <w:rPr>
          <w:rFonts w:hint="default" w:ascii="Times New Roman" w:hAnsi="Times New Roman" w:eastAsia="宋体" w:cs="Times New Roman"/>
          <w:caps w:val="0"/>
          <w:smallCaps w:val="0"/>
          <w:color w:val="auto"/>
          <w:spacing w:val="0"/>
          <w:w w:val="100"/>
          <w:kern w:val="0"/>
          <w:position w:val="0"/>
          <w:sz w:val="24"/>
          <w:szCs w:val="24"/>
          <w:u w:val="none" w:color="auto"/>
        </w:rPr>
        <w:t>20</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18</w:t>
      </w:r>
      <w:r>
        <w:rPr>
          <w:rFonts w:hint="default" w:ascii="Times New Roman" w:hAnsi="Times New Roman" w:eastAsia="宋体" w:cs="Times New Roman"/>
          <w:caps w:val="0"/>
          <w:smallCaps w:val="0"/>
          <w:color w:val="auto"/>
          <w:spacing w:val="0"/>
          <w:w w:val="100"/>
          <w:kern w:val="0"/>
          <w:position w:val="0"/>
          <w:sz w:val="24"/>
          <w:szCs w:val="24"/>
          <w:u w:val="none" w:color="auto"/>
        </w:rPr>
        <w:t>年</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default" w:ascii="Times New Roman" w:hAnsi="Times New Roman" w:eastAsia="宋体" w:cs="Times New Roman"/>
          <w:caps w:val="0"/>
          <w:smallCaps w:val="0"/>
          <w:color w:val="auto"/>
          <w:spacing w:val="0"/>
          <w:w w:val="100"/>
          <w:kern w:val="0"/>
          <w:position w:val="0"/>
          <w:sz w:val="24"/>
          <w:szCs w:val="24"/>
          <w:u w:val="none" w:color="auto"/>
        </w:rPr>
        <w:t>月1日施行</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3508BA6D">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《湖南省古树名木保护办法》（2022年3月12日起施行）；</w:t>
      </w:r>
    </w:p>
    <w:p w14:paraId="77A7C485">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《湖南省野生动植物资源保护条例》（2018年7月19日</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修正</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74D1BD5D">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《湖南省林业条例》（2012年3月31日</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修正</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06F82F1F">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《湖南省公益林管理办法》（2020</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年</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5</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月</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26</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日施行</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4FC46709">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《湖南省人民政府关于印发〈湖南省污染防治攻坚战三年行动计划（2018—2020年）〉的通知》（湘政发〔2018〕17号）；</w:t>
      </w:r>
    </w:p>
    <w:p w14:paraId="68048948">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《湖南省贯彻落实</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&lt;</w:t>
      </w:r>
      <w:r>
        <w:rPr>
          <w:rFonts w:hint="default" w:ascii="Times New Roman" w:hAnsi="Times New Roman" w:eastAsia="宋体" w:cs="Times New Roman"/>
          <w:caps w:val="0"/>
          <w:smallCaps w:val="0"/>
          <w:color w:val="auto"/>
          <w:spacing w:val="0"/>
          <w:w w:val="100"/>
          <w:kern w:val="0"/>
          <w:position w:val="0"/>
          <w:sz w:val="24"/>
          <w:szCs w:val="24"/>
          <w:u w:val="none" w:color="auto"/>
        </w:rPr>
        <w:t>大气污染防治行动计划</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&gt;</w:t>
      </w:r>
      <w:r>
        <w:rPr>
          <w:rFonts w:hint="default" w:ascii="Times New Roman" w:hAnsi="Times New Roman" w:eastAsia="宋体" w:cs="Times New Roman"/>
          <w:caps w:val="0"/>
          <w:smallCaps w:val="0"/>
          <w:color w:val="auto"/>
          <w:spacing w:val="0"/>
          <w:w w:val="100"/>
          <w:kern w:val="0"/>
          <w:position w:val="0"/>
          <w:sz w:val="24"/>
          <w:szCs w:val="24"/>
          <w:u w:val="none" w:color="auto"/>
        </w:rPr>
        <w:t>实施细则》，湘政办发〔2013〕77号；</w:t>
      </w:r>
    </w:p>
    <w:p w14:paraId="06FCA358">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《湖南省贯彻落实</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&lt;</w:t>
      </w:r>
      <w:r>
        <w:rPr>
          <w:rFonts w:hint="default" w:ascii="Times New Roman" w:hAnsi="Times New Roman" w:eastAsia="宋体" w:cs="Times New Roman"/>
          <w:caps w:val="0"/>
          <w:smallCaps w:val="0"/>
          <w:color w:val="auto"/>
          <w:spacing w:val="0"/>
          <w:w w:val="100"/>
          <w:kern w:val="0"/>
          <w:position w:val="0"/>
          <w:sz w:val="24"/>
          <w:szCs w:val="24"/>
          <w:u w:val="none" w:color="auto"/>
        </w:rPr>
        <w:t>水污染防治行动计划</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&gt;</w:t>
      </w:r>
      <w:r>
        <w:rPr>
          <w:rFonts w:hint="default" w:ascii="Times New Roman" w:hAnsi="Times New Roman" w:eastAsia="宋体" w:cs="Times New Roman"/>
          <w:caps w:val="0"/>
          <w:smallCaps w:val="0"/>
          <w:color w:val="auto"/>
          <w:spacing w:val="0"/>
          <w:w w:val="100"/>
          <w:kern w:val="0"/>
          <w:position w:val="0"/>
          <w:sz w:val="24"/>
          <w:szCs w:val="24"/>
          <w:u w:val="none" w:color="auto"/>
        </w:rPr>
        <w:t>实施方案（2016-2020年）》，湘政发[2015]53号；</w:t>
      </w:r>
    </w:p>
    <w:p w14:paraId="6CBBFF80">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关于调整《湖南省地方重点保护野生动物名录》《湖南省地方重点保护野生植物名录》（湘林护〔2023〕9号）；</w:t>
      </w:r>
    </w:p>
    <w:p w14:paraId="733FE0EB">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《湖南省生态环境厅关于划定全省第三批141处乡镇级千吨万人饮用水水源保护区的复函》（</w:t>
      </w:r>
      <w:bookmarkStart w:id="39" w:name="PO_WH"/>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湘环函〔2019〕241号</w:t>
      </w:r>
      <w:bookmarkEnd w:id="39"/>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w:t>
      </w:r>
    </w:p>
    <w:p w14:paraId="1D32A010">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县级以上城市集中式饮用水水源地名录》的通知（2022年7月）；</w:t>
      </w:r>
    </w:p>
    <w:p w14:paraId="1291CE57">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《湖南省国家重点生态功能区产业准入负面清单（试行）》（湘发改规划〔2016〕659号）；</w:t>
      </w:r>
    </w:p>
    <w:p w14:paraId="6EB3E991">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《湖南省新增19个国家重点生态功能区产业准入负面清单（试行）》（湘发改规划〔2018〕972号）；</w:t>
      </w:r>
    </w:p>
    <w:p w14:paraId="3663A20B">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《岳阳市人民政府关于实施岳阳市“三线一单”生态环境分区管控的意见》（岳政发〔2021〕2号）；</w:t>
      </w:r>
    </w:p>
    <w:p w14:paraId="23861983">
      <w:pPr>
        <w:keepNext w:val="0"/>
        <w:keepLines w:val="0"/>
        <w:pageBreakBefore w:val="0"/>
        <w:numPr>
          <w:ilvl w:val="0"/>
          <w:numId w:val="6"/>
        </w:numPr>
        <w:kinsoku/>
        <w:wordWrap w:val="0"/>
        <w:overflowPunct/>
        <w:topLinePunct/>
        <w:autoSpaceDE/>
        <w:autoSpaceDN/>
        <w:bidi w:val="0"/>
        <w:adjustRightInd w:val="0"/>
        <w:snapToGrid/>
        <w:spacing w:line="500" w:lineRule="exact"/>
        <w:ind w:left="0" w:leftChars="0" w:firstLine="420"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《岳阳市扬尘污染防治条例》</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（2019年12月1日实施）</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470E4559">
      <w:pPr>
        <w:pStyle w:val="4"/>
        <w:bidi w:val="0"/>
        <w:rPr>
          <w:rFonts w:hint="default" w:ascii="Times New Roman" w:hAnsi="Times New Roman" w:cs="Times New Roman"/>
          <w:lang w:val="en-US" w:eastAsia="zh-CN"/>
        </w:rPr>
      </w:pPr>
      <w:bookmarkStart w:id="40" w:name="_Toc649"/>
      <w:bookmarkStart w:id="41" w:name="bookmark46"/>
      <w:bookmarkStart w:id="42" w:name="bookmark47"/>
      <w:r>
        <w:rPr>
          <w:rFonts w:hint="default" w:ascii="Times New Roman" w:hAnsi="Times New Roman" w:cs="Times New Roman"/>
          <w:lang w:eastAsia="zh-CN"/>
        </w:rPr>
        <w:t>规划区划</w:t>
      </w:r>
      <w:bookmarkEnd w:id="40"/>
      <w:r>
        <w:rPr>
          <w:rFonts w:hint="default" w:ascii="Times New Roman" w:hAnsi="Times New Roman" w:cs="Times New Roman"/>
          <w:lang w:val="en-US" w:eastAsia="zh-CN"/>
        </w:rPr>
        <w:t xml:space="preserve"> </w:t>
      </w:r>
    </w:p>
    <w:p w14:paraId="5AFD3D49">
      <w:pPr>
        <w:pStyle w:val="94"/>
        <w:numPr>
          <w:ilvl w:val="0"/>
          <w:numId w:val="7"/>
        </w:numPr>
        <w:tabs>
          <w:tab w:val="left" w:pos="0"/>
        </w:tabs>
        <w:ind w:left="5" w:leftChars="0" w:firstLine="415" w:firstLineChars="0"/>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lang w:val="en-US" w:eastAsia="zh-CN"/>
        </w:rPr>
        <w:t xml:space="preserve">《全国主体功能区规划》（国发〔2010〕46号）； </w:t>
      </w:r>
    </w:p>
    <w:p w14:paraId="64478575">
      <w:pPr>
        <w:pStyle w:val="94"/>
        <w:numPr>
          <w:ilvl w:val="0"/>
          <w:numId w:val="7"/>
        </w:numPr>
        <w:tabs>
          <w:tab w:val="left" w:pos="0"/>
        </w:tabs>
        <w:ind w:left="5" w:leftChars="0" w:firstLine="415" w:firstLineChars="0"/>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lang w:val="en-US" w:eastAsia="zh-CN"/>
        </w:rPr>
        <w:t xml:space="preserve">《全国生态功能区划（修编版）》（公告2015年第61号）； </w:t>
      </w:r>
    </w:p>
    <w:p w14:paraId="3639155A">
      <w:pPr>
        <w:pStyle w:val="94"/>
        <w:numPr>
          <w:ilvl w:val="0"/>
          <w:numId w:val="7"/>
        </w:numPr>
        <w:tabs>
          <w:tab w:val="left" w:pos="0"/>
        </w:tabs>
        <w:ind w:left="5" w:leftChars="0" w:firstLine="415" w:firstLineChars="0"/>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lang w:val="en-US" w:eastAsia="zh-CN"/>
        </w:rPr>
        <w:t xml:space="preserve">《全国重要江河湖泊水功能区划（2011～2030年）》（国函〔2011〕167号）； </w:t>
      </w:r>
    </w:p>
    <w:p w14:paraId="47191D43">
      <w:pPr>
        <w:pStyle w:val="94"/>
        <w:numPr>
          <w:ilvl w:val="0"/>
          <w:numId w:val="7"/>
        </w:numPr>
        <w:tabs>
          <w:tab w:val="left" w:pos="0"/>
        </w:tabs>
        <w:ind w:left="5" w:leftChars="0" w:firstLine="415" w:firstLineChars="0"/>
        <w:rPr>
          <w:rFonts w:hint="default" w:ascii="Times New Roman" w:hAnsi="Times New Roman" w:cs="Times New Roman"/>
          <w:b w:val="0"/>
          <w:bCs w:val="0"/>
          <w:color w:val="auto"/>
          <w:spacing w:val="0"/>
          <w:w w:val="100"/>
          <w:position w:val="0"/>
          <w:szCs w:val="22"/>
          <w:u w:val="none" w:color="auto"/>
        </w:rPr>
      </w:pPr>
      <w:r>
        <w:rPr>
          <w:rFonts w:hint="default" w:ascii="Times New Roman" w:hAnsi="Times New Roman" w:eastAsia="宋体" w:cs="Times New Roman"/>
          <w:caps w:val="0"/>
          <w:smallCaps w:val="0"/>
          <w:snapToGrid/>
          <w:color w:val="auto"/>
          <w:spacing w:val="0"/>
          <w:kern w:val="0"/>
          <w:highlight w:val="none"/>
          <w:u w:val="none"/>
        </w:rPr>
        <w:t>《全国生态脆弱区保护规划纲要》</w:t>
      </w:r>
      <w:r>
        <w:rPr>
          <w:rFonts w:hint="default" w:ascii="Times New Roman" w:hAnsi="Times New Roman" w:eastAsia="宋体" w:cs="Times New Roman"/>
          <w:caps w:val="0"/>
          <w:smallCaps w:val="0"/>
          <w:snapToGrid/>
          <w:color w:val="auto"/>
          <w:spacing w:val="0"/>
          <w:kern w:val="0"/>
          <w:highlight w:val="none"/>
          <w:u w:val="none"/>
          <w:lang w:eastAsia="zh-CN"/>
        </w:rPr>
        <w:t>（</w:t>
      </w:r>
      <w:r>
        <w:rPr>
          <w:rFonts w:hint="default" w:ascii="Times New Roman" w:hAnsi="Times New Roman" w:eastAsia="宋体" w:cs="Times New Roman"/>
          <w:caps w:val="0"/>
          <w:smallCaps w:val="0"/>
          <w:snapToGrid/>
          <w:color w:val="auto"/>
          <w:spacing w:val="0"/>
          <w:kern w:val="0"/>
          <w:highlight w:val="none"/>
          <w:u w:val="none"/>
          <w:lang w:val="en-US" w:eastAsia="zh-CN"/>
        </w:rPr>
        <w:t>2008</w:t>
      </w:r>
      <w:r>
        <w:rPr>
          <w:rFonts w:hint="default" w:ascii="Times New Roman" w:hAnsi="Times New Roman" w:eastAsia="宋体" w:cs="Times New Roman"/>
          <w:caps w:val="0"/>
          <w:smallCaps w:val="0"/>
          <w:snapToGrid/>
          <w:color w:val="auto"/>
          <w:spacing w:val="0"/>
          <w:kern w:val="0"/>
          <w:highlight w:val="none"/>
          <w:u w:val="none"/>
          <w:lang w:eastAsia="zh-CN"/>
        </w:rPr>
        <w:t>年</w:t>
      </w:r>
      <w:r>
        <w:rPr>
          <w:rFonts w:hint="default" w:ascii="Times New Roman" w:hAnsi="Times New Roman" w:eastAsia="宋体" w:cs="Times New Roman"/>
          <w:caps w:val="0"/>
          <w:smallCaps w:val="0"/>
          <w:snapToGrid/>
          <w:color w:val="auto"/>
          <w:spacing w:val="0"/>
          <w:kern w:val="0"/>
          <w:highlight w:val="none"/>
          <w:u w:val="none"/>
          <w:lang w:val="en-US" w:eastAsia="zh-CN"/>
        </w:rPr>
        <w:t>9</w:t>
      </w:r>
      <w:r>
        <w:rPr>
          <w:rFonts w:hint="default" w:ascii="Times New Roman" w:hAnsi="Times New Roman" w:eastAsia="宋体" w:cs="Times New Roman"/>
          <w:caps w:val="0"/>
          <w:smallCaps w:val="0"/>
          <w:snapToGrid/>
          <w:color w:val="auto"/>
          <w:spacing w:val="0"/>
          <w:kern w:val="0"/>
          <w:highlight w:val="none"/>
          <w:u w:val="none"/>
          <w:lang w:eastAsia="zh-CN"/>
        </w:rPr>
        <w:t>月）；</w:t>
      </w:r>
    </w:p>
    <w:p w14:paraId="637B92E0">
      <w:pPr>
        <w:pStyle w:val="94"/>
        <w:numPr>
          <w:ilvl w:val="0"/>
          <w:numId w:val="7"/>
        </w:numPr>
        <w:tabs>
          <w:tab w:val="left" w:pos="0"/>
        </w:tabs>
        <w:ind w:left="5" w:leftChars="0" w:firstLine="415" w:firstLineChars="0"/>
        <w:rPr>
          <w:rFonts w:hint="default" w:ascii="Times New Roman" w:hAnsi="Times New Roman" w:eastAsia="宋体" w:cs="Times New Roman"/>
          <w:b w:val="0"/>
          <w:bCs w:val="0"/>
          <w:color w:val="auto"/>
          <w:spacing w:val="0"/>
          <w:w w:val="100"/>
          <w:position w:val="0"/>
          <w:szCs w:val="22"/>
          <w:u w:val="none" w:color="auto"/>
          <w:lang w:val="en-US" w:eastAsia="zh-CN"/>
        </w:rPr>
      </w:pPr>
      <w:r>
        <w:rPr>
          <w:rFonts w:hint="default" w:ascii="Times New Roman" w:hAnsi="Times New Roman" w:eastAsia="宋体" w:cs="Times New Roman"/>
          <w:b w:val="0"/>
          <w:bCs w:val="0"/>
          <w:color w:val="auto"/>
          <w:spacing w:val="0"/>
          <w:w w:val="100"/>
          <w:position w:val="0"/>
          <w:szCs w:val="22"/>
          <w:u w:val="none" w:color="auto"/>
          <w:lang w:val="en-US" w:eastAsia="zh-CN"/>
        </w:rPr>
        <w:t>《中国生物多样性保护战略与行动计划》（2011~2030年）；</w:t>
      </w:r>
    </w:p>
    <w:p w14:paraId="68729BAC">
      <w:pPr>
        <w:pStyle w:val="94"/>
        <w:numPr>
          <w:ilvl w:val="0"/>
          <w:numId w:val="7"/>
        </w:numPr>
        <w:tabs>
          <w:tab w:val="left" w:pos="0"/>
        </w:tabs>
        <w:ind w:left="5" w:leftChars="0" w:firstLine="415" w:firstLineChars="0"/>
        <w:rPr>
          <w:rFonts w:hint="default" w:ascii="Times New Roman" w:hAnsi="Times New Roman" w:cs="Times New Roman"/>
          <w:b w:val="0"/>
          <w:bCs w:val="0"/>
          <w:color w:val="auto"/>
          <w:spacing w:val="0"/>
          <w:w w:val="100"/>
          <w:position w:val="0"/>
          <w:szCs w:val="22"/>
          <w:u w:val="none" w:color="auto"/>
        </w:rPr>
      </w:pPr>
      <w:r>
        <w:rPr>
          <w:rFonts w:hint="default" w:ascii="Times New Roman" w:hAnsi="Times New Roman" w:eastAsia="宋体" w:cs="Times New Roman"/>
          <w:b w:val="0"/>
          <w:bCs w:val="0"/>
          <w:color w:val="auto"/>
          <w:spacing w:val="0"/>
          <w:w w:val="100"/>
          <w:kern w:val="0"/>
          <w:position w:val="0"/>
          <w:sz w:val="24"/>
          <w:highlight w:val="none"/>
          <w:u w:val="none" w:color="auto"/>
        </w:rPr>
        <w:t>《长江流域综合规划》</w:t>
      </w:r>
      <w:r>
        <w:rPr>
          <w:rFonts w:hint="default" w:ascii="Times New Roman" w:hAnsi="Times New Roman" w:eastAsia="宋体" w:cs="Times New Roman"/>
          <w:b w:val="0"/>
          <w:bCs w:val="0"/>
          <w:color w:val="auto"/>
          <w:spacing w:val="0"/>
          <w:w w:val="100"/>
          <w:kern w:val="0"/>
          <w:position w:val="0"/>
          <w:sz w:val="24"/>
          <w:highlight w:val="none"/>
          <w:u w:val="none" w:color="auto"/>
          <w:lang w:eastAsia="zh-CN"/>
        </w:rPr>
        <w:t>（</w:t>
      </w:r>
      <w:r>
        <w:rPr>
          <w:rFonts w:hint="default" w:ascii="Times New Roman" w:hAnsi="Times New Roman" w:eastAsia="宋体" w:cs="Times New Roman"/>
          <w:b w:val="0"/>
          <w:bCs w:val="0"/>
          <w:color w:val="auto"/>
          <w:spacing w:val="0"/>
          <w:w w:val="100"/>
          <w:kern w:val="0"/>
          <w:position w:val="0"/>
          <w:sz w:val="24"/>
          <w:highlight w:val="none"/>
          <w:u w:val="none" w:color="auto"/>
          <w:lang w:val="en-US" w:eastAsia="zh-CN"/>
        </w:rPr>
        <w:t>201</w:t>
      </w:r>
      <w:r>
        <w:rPr>
          <w:rFonts w:hint="default" w:ascii="Times New Roman" w:hAnsi="Times New Roman" w:cs="Times New Roman"/>
          <w:b w:val="0"/>
          <w:bCs w:val="0"/>
          <w:color w:val="auto"/>
          <w:spacing w:val="0"/>
          <w:w w:val="100"/>
          <w:kern w:val="0"/>
          <w:position w:val="0"/>
          <w:sz w:val="24"/>
          <w:highlight w:val="none"/>
          <w:u w:val="none" w:color="auto"/>
          <w:lang w:val="en-US" w:eastAsia="zh-CN"/>
        </w:rPr>
        <w:t>2</w:t>
      </w:r>
      <w:r>
        <w:rPr>
          <w:rFonts w:hint="default" w:ascii="Times New Roman" w:hAnsi="Times New Roman" w:eastAsia="宋体" w:cs="Times New Roman"/>
          <w:b w:val="0"/>
          <w:bCs w:val="0"/>
          <w:color w:val="auto"/>
          <w:spacing w:val="0"/>
          <w:w w:val="100"/>
          <w:kern w:val="0"/>
          <w:position w:val="0"/>
          <w:sz w:val="24"/>
          <w:highlight w:val="none"/>
          <w:u w:val="none" w:color="auto"/>
          <w:lang w:val="en-US" w:eastAsia="zh-CN"/>
        </w:rPr>
        <w:t>-20</w:t>
      </w:r>
      <w:r>
        <w:rPr>
          <w:rFonts w:hint="default" w:ascii="Times New Roman" w:hAnsi="Times New Roman" w:cs="Times New Roman"/>
          <w:b w:val="0"/>
          <w:bCs w:val="0"/>
          <w:color w:val="auto"/>
          <w:spacing w:val="0"/>
          <w:w w:val="100"/>
          <w:kern w:val="0"/>
          <w:position w:val="0"/>
          <w:sz w:val="24"/>
          <w:highlight w:val="none"/>
          <w:u w:val="none" w:color="auto"/>
          <w:lang w:val="en-US" w:eastAsia="zh-CN"/>
        </w:rPr>
        <w:t>30</w:t>
      </w:r>
      <w:r>
        <w:rPr>
          <w:rFonts w:hint="default" w:ascii="Times New Roman" w:hAnsi="Times New Roman" w:eastAsia="宋体" w:cs="Times New Roman"/>
          <w:b w:val="0"/>
          <w:bCs w:val="0"/>
          <w:color w:val="auto"/>
          <w:spacing w:val="0"/>
          <w:w w:val="100"/>
          <w:kern w:val="0"/>
          <w:position w:val="0"/>
          <w:sz w:val="24"/>
          <w:highlight w:val="none"/>
          <w:u w:val="none" w:color="auto"/>
          <w:lang w:val="en-US" w:eastAsia="zh-CN"/>
        </w:rPr>
        <w:t>年</w:t>
      </w:r>
      <w:r>
        <w:rPr>
          <w:rFonts w:hint="default" w:ascii="Times New Roman" w:hAnsi="Times New Roman" w:eastAsia="宋体" w:cs="Times New Roman"/>
          <w:b w:val="0"/>
          <w:bCs w:val="0"/>
          <w:color w:val="auto"/>
          <w:spacing w:val="0"/>
          <w:w w:val="100"/>
          <w:kern w:val="0"/>
          <w:position w:val="0"/>
          <w:sz w:val="24"/>
          <w:highlight w:val="none"/>
          <w:u w:val="none" w:color="auto"/>
          <w:lang w:eastAsia="zh-CN"/>
        </w:rPr>
        <w:t>）</w:t>
      </w:r>
      <w:r>
        <w:rPr>
          <w:rFonts w:hint="default" w:ascii="Times New Roman" w:hAnsi="Times New Roman" w:cs="Times New Roman"/>
          <w:b w:val="0"/>
          <w:bCs w:val="0"/>
          <w:color w:val="auto"/>
          <w:spacing w:val="0"/>
          <w:w w:val="100"/>
          <w:kern w:val="0"/>
          <w:position w:val="0"/>
          <w:sz w:val="24"/>
          <w:highlight w:val="none"/>
          <w:u w:val="none" w:color="auto"/>
          <w:lang w:eastAsia="zh-CN"/>
        </w:rPr>
        <w:t>；</w:t>
      </w:r>
    </w:p>
    <w:p w14:paraId="03DCA6FF">
      <w:pPr>
        <w:pStyle w:val="94"/>
        <w:numPr>
          <w:ilvl w:val="0"/>
          <w:numId w:val="7"/>
        </w:numPr>
        <w:tabs>
          <w:tab w:val="left" w:pos="0"/>
        </w:tabs>
        <w:ind w:left="5" w:leftChars="0" w:firstLine="415" w:firstLineChars="0"/>
        <w:rPr>
          <w:rFonts w:hint="default" w:ascii="Times New Roman" w:hAnsi="Times New Roman" w:cs="Times New Roman"/>
          <w:b w:val="0"/>
          <w:bCs w:val="0"/>
          <w:color w:val="auto"/>
          <w:spacing w:val="0"/>
          <w:w w:val="100"/>
          <w:position w:val="0"/>
          <w:szCs w:val="22"/>
          <w:u w:val="none" w:color="auto"/>
        </w:rPr>
      </w:pPr>
      <w:r>
        <w:rPr>
          <w:rFonts w:hint="default" w:ascii="Times New Roman" w:hAnsi="Times New Roman" w:eastAsia="宋体" w:cs="Times New Roman"/>
          <w:b w:val="0"/>
          <w:bCs w:val="0"/>
          <w:color w:val="auto"/>
          <w:spacing w:val="0"/>
          <w:w w:val="100"/>
          <w:kern w:val="0"/>
          <w:position w:val="0"/>
          <w:sz w:val="24"/>
          <w:highlight w:val="none"/>
          <w:u w:val="none" w:color="auto"/>
        </w:rPr>
        <w:t>《长江流域防洪规划》</w:t>
      </w:r>
      <w:r>
        <w:rPr>
          <w:rFonts w:hint="default" w:ascii="Times New Roman" w:hAnsi="Times New Roman" w:cs="Times New Roman"/>
          <w:b w:val="0"/>
          <w:bCs w:val="0"/>
          <w:color w:val="auto"/>
          <w:spacing w:val="0"/>
          <w:w w:val="100"/>
          <w:kern w:val="0"/>
          <w:position w:val="0"/>
          <w:sz w:val="24"/>
          <w:highlight w:val="none"/>
          <w:u w:val="none" w:color="auto"/>
          <w:lang w:eastAsia="zh-CN"/>
        </w:rPr>
        <w:t>（国函</w:t>
      </w:r>
      <w:r>
        <w:rPr>
          <w:rFonts w:hint="default" w:ascii="Times New Roman" w:hAnsi="Times New Roman" w:cs="Times New Roman"/>
          <w:color w:val="auto"/>
          <w:spacing w:val="0"/>
          <w:w w:val="100"/>
          <w:position w:val="0"/>
          <w:szCs w:val="22"/>
          <w:u w:val="none" w:color="auto"/>
          <w:lang w:val="en-US" w:eastAsia="zh-CN"/>
        </w:rPr>
        <w:t>〔2008〕62号</w:t>
      </w:r>
      <w:r>
        <w:rPr>
          <w:rFonts w:hint="default" w:ascii="Times New Roman" w:hAnsi="Times New Roman" w:cs="Times New Roman"/>
          <w:b w:val="0"/>
          <w:bCs w:val="0"/>
          <w:color w:val="auto"/>
          <w:spacing w:val="0"/>
          <w:w w:val="100"/>
          <w:kern w:val="0"/>
          <w:position w:val="0"/>
          <w:sz w:val="24"/>
          <w:highlight w:val="none"/>
          <w:u w:val="none" w:color="auto"/>
          <w:lang w:eastAsia="zh-CN"/>
        </w:rPr>
        <w:t>）；</w:t>
      </w:r>
    </w:p>
    <w:p w14:paraId="32C5665F">
      <w:pPr>
        <w:pStyle w:val="94"/>
        <w:numPr>
          <w:ilvl w:val="0"/>
          <w:numId w:val="7"/>
        </w:numPr>
        <w:tabs>
          <w:tab w:val="left" w:pos="0"/>
        </w:tabs>
        <w:ind w:left="5" w:leftChars="0" w:firstLine="415" w:firstLineChars="0"/>
        <w:rPr>
          <w:rFonts w:hint="default" w:ascii="Times New Roman" w:hAnsi="Times New Roman" w:cs="Times New Roman"/>
          <w:b w:val="0"/>
          <w:bCs w:val="0"/>
          <w:color w:val="auto"/>
          <w:spacing w:val="0"/>
          <w:w w:val="100"/>
          <w:position w:val="0"/>
          <w:szCs w:val="22"/>
          <w:u w:val="none" w:color="auto"/>
        </w:rPr>
      </w:pPr>
      <w:r>
        <w:rPr>
          <w:rFonts w:hint="default" w:ascii="Times New Roman" w:hAnsi="Times New Roman" w:cs="Times New Roman"/>
          <w:b w:val="0"/>
          <w:bCs w:val="0"/>
          <w:color w:val="auto"/>
          <w:spacing w:val="0"/>
          <w:w w:val="100"/>
          <w:position w:val="0"/>
          <w:szCs w:val="22"/>
          <w:u w:val="none" w:color="auto"/>
          <w:lang w:val="en-US" w:eastAsia="zh-CN"/>
        </w:rPr>
        <w:t xml:space="preserve">《长江经济带生态环境保护规划》（环规财〔2017〕88号）； </w:t>
      </w:r>
    </w:p>
    <w:p w14:paraId="5925174A">
      <w:pPr>
        <w:pStyle w:val="94"/>
        <w:numPr>
          <w:ilvl w:val="0"/>
          <w:numId w:val="7"/>
        </w:numPr>
        <w:tabs>
          <w:tab w:val="left" w:pos="0"/>
        </w:tabs>
        <w:ind w:left="5" w:leftChars="0" w:firstLine="415" w:firstLineChars="0"/>
        <w:rPr>
          <w:rFonts w:hint="default" w:ascii="Times New Roman" w:hAnsi="Times New Roman" w:cs="Times New Roman"/>
          <w:b w:val="0"/>
          <w:bCs w:val="0"/>
          <w:color w:val="auto"/>
          <w:spacing w:val="0"/>
          <w:w w:val="100"/>
          <w:position w:val="0"/>
          <w:szCs w:val="22"/>
          <w:u w:val="none" w:color="auto"/>
        </w:rPr>
      </w:pPr>
      <w:r>
        <w:rPr>
          <w:rFonts w:hint="default" w:ascii="Times New Roman" w:hAnsi="Times New Roman" w:cs="Times New Roman"/>
          <w:b w:val="0"/>
          <w:bCs w:val="0"/>
          <w:color w:val="auto"/>
          <w:spacing w:val="0"/>
          <w:w w:val="100"/>
          <w:position w:val="0"/>
          <w:szCs w:val="22"/>
          <w:u w:val="none" w:color="auto"/>
          <w:lang w:val="en-US" w:eastAsia="zh-CN"/>
        </w:rPr>
        <w:t xml:space="preserve">《湖南省主体功能区规划》（2016年5月）； </w:t>
      </w:r>
    </w:p>
    <w:p w14:paraId="5A1D755C">
      <w:pPr>
        <w:pStyle w:val="94"/>
        <w:numPr>
          <w:ilvl w:val="0"/>
          <w:numId w:val="7"/>
        </w:numPr>
        <w:tabs>
          <w:tab w:val="left" w:pos="0"/>
        </w:tabs>
        <w:ind w:left="5" w:leftChars="0" w:firstLine="415" w:firstLineChars="0"/>
        <w:rPr>
          <w:rFonts w:hint="default" w:ascii="Times New Roman" w:hAnsi="Times New Roman" w:cs="Times New Roman"/>
          <w:b w:val="0"/>
          <w:bCs w:val="0"/>
          <w:color w:val="auto"/>
          <w:spacing w:val="0"/>
          <w:w w:val="100"/>
          <w:position w:val="0"/>
          <w:szCs w:val="22"/>
          <w:u w:val="none" w:color="auto"/>
        </w:rPr>
      </w:pPr>
      <w:r>
        <w:rPr>
          <w:rFonts w:hint="default" w:ascii="Times New Roman" w:hAnsi="Times New Roman" w:cs="Times New Roman"/>
          <w:b w:val="0"/>
          <w:bCs w:val="0"/>
          <w:color w:val="auto"/>
          <w:spacing w:val="0"/>
          <w:w w:val="100"/>
          <w:position w:val="0"/>
          <w:szCs w:val="22"/>
          <w:u w:val="none" w:color="auto"/>
          <w:lang w:val="en-US" w:eastAsia="zh-CN"/>
        </w:rPr>
        <w:t xml:space="preserve">《湖南省生态功能区划（2005年11月）； </w:t>
      </w:r>
    </w:p>
    <w:p w14:paraId="53516B08">
      <w:pPr>
        <w:pStyle w:val="94"/>
        <w:numPr>
          <w:ilvl w:val="0"/>
          <w:numId w:val="7"/>
        </w:numPr>
        <w:tabs>
          <w:tab w:val="left" w:pos="0"/>
        </w:tabs>
        <w:ind w:left="5" w:leftChars="0" w:firstLine="415" w:firstLineChars="0"/>
        <w:rPr>
          <w:rFonts w:hint="default" w:ascii="Times New Roman" w:hAnsi="Times New Roman" w:cs="Times New Roman"/>
          <w:b w:val="0"/>
          <w:bCs w:val="0"/>
          <w:color w:val="auto"/>
          <w:spacing w:val="0"/>
          <w:w w:val="100"/>
          <w:position w:val="0"/>
          <w:szCs w:val="22"/>
          <w:u w:val="none" w:color="auto"/>
        </w:rPr>
      </w:pPr>
      <w:r>
        <w:rPr>
          <w:rFonts w:hint="default" w:ascii="Times New Roman" w:hAnsi="Times New Roman" w:cs="Times New Roman"/>
          <w:b w:val="0"/>
          <w:bCs w:val="0"/>
          <w:color w:val="auto"/>
          <w:spacing w:val="0"/>
          <w:w w:val="100"/>
          <w:position w:val="0"/>
          <w:szCs w:val="22"/>
          <w:u w:val="none" w:color="auto"/>
          <w:lang w:val="en-US" w:eastAsia="zh-CN"/>
        </w:rPr>
        <w:t xml:space="preserve">《湖南省国土空间总体规划》（2021-2035年）； </w:t>
      </w:r>
    </w:p>
    <w:p w14:paraId="33CF5C35">
      <w:pPr>
        <w:pStyle w:val="94"/>
        <w:numPr>
          <w:ilvl w:val="0"/>
          <w:numId w:val="7"/>
        </w:numPr>
        <w:tabs>
          <w:tab w:val="left" w:pos="0"/>
        </w:tabs>
        <w:ind w:left="5" w:leftChars="0" w:firstLine="415" w:firstLineChars="0"/>
        <w:rPr>
          <w:rFonts w:hint="default" w:ascii="Times New Roman" w:hAnsi="Times New Roman" w:cs="Times New Roman"/>
          <w:b w:val="0"/>
          <w:bCs w:val="0"/>
          <w:color w:val="auto"/>
          <w:spacing w:val="0"/>
          <w:w w:val="100"/>
          <w:position w:val="0"/>
          <w:szCs w:val="22"/>
          <w:u w:val="none" w:color="auto"/>
        </w:rPr>
      </w:pPr>
      <w:r>
        <w:rPr>
          <w:rFonts w:hint="default" w:ascii="Times New Roman" w:hAnsi="Times New Roman" w:eastAsia="宋体" w:cs="Times New Roman"/>
          <w:b w:val="0"/>
          <w:bCs w:val="0"/>
          <w:color w:val="auto"/>
          <w:spacing w:val="0"/>
          <w:w w:val="100"/>
          <w:kern w:val="0"/>
          <w:position w:val="0"/>
          <w:sz w:val="24"/>
          <w:highlight w:val="none"/>
          <w:u w:val="none" w:color="auto"/>
          <w:lang w:val="en-US" w:eastAsia="zh-CN"/>
        </w:rPr>
        <w:t>《湖南省“十四五”生态环境保护规划》</w:t>
      </w:r>
      <w:r>
        <w:rPr>
          <w:rFonts w:hint="default" w:ascii="Times New Roman" w:hAnsi="Times New Roman" w:cs="Times New Roman"/>
          <w:b w:val="0"/>
          <w:bCs w:val="0"/>
          <w:color w:val="auto"/>
          <w:spacing w:val="0"/>
          <w:w w:val="100"/>
          <w:kern w:val="0"/>
          <w:position w:val="0"/>
          <w:sz w:val="24"/>
          <w:highlight w:val="none"/>
          <w:u w:val="none" w:color="auto"/>
          <w:lang w:val="en-US" w:eastAsia="zh-CN"/>
        </w:rPr>
        <w:t>；</w:t>
      </w:r>
    </w:p>
    <w:p w14:paraId="23D043C5">
      <w:pPr>
        <w:pStyle w:val="94"/>
        <w:numPr>
          <w:ilvl w:val="0"/>
          <w:numId w:val="7"/>
        </w:numPr>
        <w:tabs>
          <w:tab w:val="left" w:pos="0"/>
        </w:tabs>
        <w:ind w:left="5" w:leftChars="0" w:firstLine="415" w:firstLineChars="0"/>
        <w:rPr>
          <w:rFonts w:hint="default" w:ascii="Times New Roman" w:hAnsi="Times New Roman" w:cs="Times New Roman"/>
          <w:b w:val="0"/>
          <w:bCs w:val="0"/>
          <w:color w:val="auto"/>
          <w:spacing w:val="0"/>
          <w:w w:val="100"/>
          <w:position w:val="0"/>
          <w:szCs w:val="22"/>
          <w:u w:val="none" w:color="auto"/>
        </w:rPr>
      </w:pPr>
      <w:r>
        <w:rPr>
          <w:rFonts w:hint="default" w:ascii="Times New Roman" w:hAnsi="Times New Roman" w:cs="Times New Roman"/>
          <w:b w:val="0"/>
          <w:bCs w:val="0"/>
          <w:color w:val="auto"/>
          <w:spacing w:val="0"/>
          <w:w w:val="100"/>
          <w:position w:val="0"/>
          <w:szCs w:val="22"/>
          <w:u w:val="none" w:color="auto"/>
          <w:lang w:val="en-US" w:eastAsia="zh-CN"/>
        </w:rPr>
        <w:t xml:space="preserve">《湖南省“十四五”水安全保障规划》； </w:t>
      </w:r>
    </w:p>
    <w:p w14:paraId="47A64B56">
      <w:pPr>
        <w:pStyle w:val="94"/>
        <w:numPr>
          <w:ilvl w:val="0"/>
          <w:numId w:val="7"/>
        </w:numPr>
        <w:tabs>
          <w:tab w:val="left" w:pos="0"/>
        </w:tabs>
        <w:ind w:left="5" w:leftChars="0" w:firstLine="415" w:firstLineChars="0"/>
        <w:rPr>
          <w:rFonts w:hint="default" w:ascii="Times New Roman" w:hAnsi="Times New Roman" w:cs="Times New Roman"/>
          <w:b w:val="0"/>
          <w:bCs w:val="0"/>
          <w:color w:val="auto"/>
          <w:spacing w:val="0"/>
          <w:w w:val="100"/>
          <w:position w:val="0"/>
          <w:szCs w:val="22"/>
          <w:u w:val="none" w:color="auto"/>
        </w:rPr>
      </w:pPr>
      <w:r>
        <w:rPr>
          <w:rFonts w:hint="default" w:ascii="Times New Roman" w:hAnsi="Times New Roman" w:cs="Times New Roman"/>
          <w:b w:val="0"/>
          <w:bCs w:val="0"/>
          <w:color w:val="auto"/>
          <w:spacing w:val="0"/>
          <w:w w:val="100"/>
          <w:position w:val="0"/>
          <w:szCs w:val="22"/>
          <w:u w:val="none" w:color="auto"/>
          <w:lang w:val="en-US" w:eastAsia="zh-CN"/>
        </w:rPr>
        <w:t xml:space="preserve">《湖南省“十四五”水资源配置及供水规划》； </w:t>
      </w:r>
    </w:p>
    <w:p w14:paraId="72FC114B">
      <w:pPr>
        <w:pStyle w:val="94"/>
        <w:numPr>
          <w:ilvl w:val="0"/>
          <w:numId w:val="7"/>
        </w:numPr>
        <w:tabs>
          <w:tab w:val="left" w:pos="0"/>
        </w:tabs>
        <w:ind w:left="5" w:leftChars="0" w:firstLine="415" w:firstLineChars="0"/>
        <w:rPr>
          <w:rFonts w:hint="default" w:ascii="Times New Roman" w:hAnsi="Times New Roman" w:eastAsia="宋体" w:cs="Times New Roman"/>
          <w:b w:val="0"/>
          <w:bCs w:val="0"/>
          <w:color w:val="auto"/>
          <w:spacing w:val="0"/>
          <w:w w:val="100"/>
          <w:kern w:val="0"/>
          <w:position w:val="0"/>
          <w:sz w:val="24"/>
          <w:highlight w:val="none"/>
          <w:u w:val="none" w:color="auto"/>
          <w:lang w:val="en-US" w:eastAsia="zh-CN"/>
        </w:rPr>
      </w:pPr>
      <w:r>
        <w:rPr>
          <w:rFonts w:hint="default" w:ascii="Times New Roman" w:hAnsi="Times New Roman" w:cs="Times New Roman"/>
          <w:b w:val="0"/>
          <w:bCs w:val="0"/>
          <w:color w:val="auto"/>
          <w:spacing w:val="0"/>
          <w:w w:val="100"/>
          <w:position w:val="0"/>
          <w:szCs w:val="22"/>
          <w:u w:val="none" w:color="auto"/>
          <w:lang w:val="en-US" w:eastAsia="zh-CN"/>
        </w:rPr>
        <w:t xml:space="preserve">《湖南省主要地表水系水环境功能区划》（DB43/023-2005）；  </w:t>
      </w:r>
    </w:p>
    <w:p w14:paraId="656FD990">
      <w:pPr>
        <w:pStyle w:val="94"/>
        <w:numPr>
          <w:ilvl w:val="0"/>
          <w:numId w:val="7"/>
        </w:numPr>
        <w:tabs>
          <w:tab w:val="left" w:pos="0"/>
        </w:tabs>
        <w:ind w:left="5" w:leftChars="0" w:firstLine="415" w:firstLineChars="0"/>
        <w:rPr>
          <w:rFonts w:hint="default" w:ascii="Times New Roman" w:hAnsi="Times New Roman" w:cs="Times New Roman"/>
          <w:b w:val="0"/>
          <w:bCs w:val="0"/>
          <w:color w:val="auto"/>
          <w:spacing w:val="0"/>
          <w:w w:val="100"/>
          <w:position w:val="0"/>
          <w:szCs w:val="22"/>
          <w:u w:val="none" w:color="auto"/>
        </w:rPr>
      </w:pPr>
      <w:r>
        <w:rPr>
          <w:rFonts w:hint="default" w:ascii="Times New Roman" w:hAnsi="Times New Roman" w:eastAsia="宋体" w:cs="Times New Roman"/>
          <w:b w:val="0"/>
          <w:bCs w:val="0"/>
          <w:color w:val="auto"/>
          <w:spacing w:val="0"/>
          <w:w w:val="100"/>
          <w:kern w:val="0"/>
          <w:position w:val="0"/>
          <w:sz w:val="24"/>
          <w:highlight w:val="none"/>
          <w:u w:val="none" w:color="auto"/>
          <w:lang w:val="en-US" w:eastAsia="zh-CN"/>
        </w:rPr>
        <w:t>《岳阳市“十四五”生态环境保护规划》</w:t>
      </w:r>
      <w:r>
        <w:rPr>
          <w:rFonts w:hint="default" w:ascii="Times New Roman" w:hAnsi="Times New Roman" w:cs="Times New Roman"/>
          <w:b w:val="0"/>
          <w:bCs w:val="0"/>
          <w:color w:val="auto"/>
          <w:spacing w:val="0"/>
          <w:w w:val="100"/>
          <w:kern w:val="0"/>
          <w:position w:val="0"/>
          <w:sz w:val="24"/>
          <w:highlight w:val="none"/>
          <w:u w:val="none" w:color="auto"/>
          <w:lang w:val="en-US" w:eastAsia="zh-CN"/>
        </w:rPr>
        <w:t>；</w:t>
      </w:r>
    </w:p>
    <w:p w14:paraId="4F361599">
      <w:pPr>
        <w:pStyle w:val="94"/>
        <w:numPr>
          <w:ilvl w:val="0"/>
          <w:numId w:val="7"/>
        </w:numPr>
        <w:tabs>
          <w:tab w:val="left" w:pos="0"/>
        </w:tabs>
        <w:ind w:left="5" w:leftChars="0" w:firstLine="415" w:firstLineChars="0"/>
        <w:rPr>
          <w:rFonts w:hint="default" w:ascii="Times New Roman" w:hAnsi="Times New Roman" w:cs="Times New Roman"/>
          <w:b w:val="0"/>
          <w:bCs w:val="0"/>
          <w:color w:val="auto"/>
          <w:spacing w:val="0"/>
          <w:w w:val="100"/>
          <w:position w:val="0"/>
          <w:szCs w:val="22"/>
          <w:u w:val="none" w:color="auto"/>
        </w:rPr>
      </w:pPr>
      <w:r>
        <w:rPr>
          <w:rFonts w:hint="default" w:ascii="Times New Roman" w:hAnsi="Times New Roman" w:eastAsia="宋体" w:cs="Times New Roman"/>
          <w:b w:val="0"/>
          <w:bCs w:val="0"/>
          <w:color w:val="auto"/>
          <w:spacing w:val="0"/>
          <w:w w:val="100"/>
          <w:kern w:val="0"/>
          <w:position w:val="0"/>
          <w:sz w:val="24"/>
          <w:highlight w:val="none"/>
          <w:u w:val="none" w:color="auto"/>
          <w:lang w:val="en-US" w:eastAsia="zh-CN"/>
        </w:rPr>
        <w:t>《岳阳市“十四五”水资源配置规划》</w:t>
      </w:r>
      <w:r>
        <w:rPr>
          <w:rFonts w:hint="default" w:ascii="Times New Roman" w:hAnsi="Times New Roman" w:cs="Times New Roman"/>
          <w:b w:val="0"/>
          <w:bCs w:val="0"/>
          <w:color w:val="auto"/>
          <w:spacing w:val="0"/>
          <w:w w:val="100"/>
          <w:kern w:val="0"/>
          <w:position w:val="0"/>
          <w:sz w:val="24"/>
          <w:highlight w:val="none"/>
          <w:u w:val="none" w:color="auto"/>
          <w:lang w:val="en-US" w:eastAsia="zh-CN"/>
        </w:rPr>
        <w:t>；</w:t>
      </w:r>
    </w:p>
    <w:p w14:paraId="72FEF7EB">
      <w:pPr>
        <w:pStyle w:val="94"/>
        <w:numPr>
          <w:ilvl w:val="0"/>
          <w:numId w:val="7"/>
        </w:numPr>
        <w:tabs>
          <w:tab w:val="left" w:pos="0"/>
        </w:tabs>
        <w:ind w:left="5" w:leftChars="0" w:firstLine="415" w:firstLineChars="0"/>
        <w:rPr>
          <w:rFonts w:hint="default" w:ascii="Times New Roman" w:hAnsi="Times New Roman" w:cs="Times New Roman"/>
          <w:b w:val="0"/>
          <w:bCs w:val="0"/>
          <w:color w:val="auto"/>
          <w:spacing w:val="0"/>
          <w:w w:val="100"/>
          <w:position w:val="0"/>
          <w:szCs w:val="22"/>
          <w:u w:val="none" w:color="auto"/>
        </w:rPr>
      </w:pPr>
      <w:r>
        <w:rPr>
          <w:rFonts w:hint="default" w:ascii="Times New Roman" w:hAnsi="Times New Roman" w:cs="Times New Roman"/>
          <w:b w:val="0"/>
          <w:bCs w:val="0"/>
          <w:color w:val="auto"/>
          <w:spacing w:val="0"/>
          <w:w w:val="100"/>
          <w:position w:val="0"/>
          <w:szCs w:val="22"/>
          <w:u w:val="none" w:color="auto"/>
          <w:lang w:eastAsia="zh-CN"/>
        </w:rPr>
        <w:t>《岳阳市水功能区划》（</w:t>
      </w:r>
      <w:r>
        <w:rPr>
          <w:rFonts w:hint="default" w:ascii="Times New Roman" w:hAnsi="Times New Roman" w:cs="Times New Roman"/>
          <w:b w:val="0"/>
          <w:bCs w:val="0"/>
          <w:color w:val="auto"/>
          <w:spacing w:val="0"/>
          <w:w w:val="100"/>
          <w:position w:val="0"/>
          <w:szCs w:val="22"/>
          <w:u w:val="none" w:color="auto"/>
          <w:lang w:val="en-US" w:eastAsia="zh-CN"/>
        </w:rPr>
        <w:t>2009年</w:t>
      </w:r>
      <w:r>
        <w:rPr>
          <w:rFonts w:hint="default" w:ascii="Times New Roman" w:hAnsi="Times New Roman" w:cs="Times New Roman"/>
          <w:b w:val="0"/>
          <w:bCs w:val="0"/>
          <w:color w:val="auto"/>
          <w:spacing w:val="0"/>
          <w:w w:val="100"/>
          <w:position w:val="0"/>
          <w:szCs w:val="22"/>
          <w:u w:val="none" w:color="auto"/>
          <w:lang w:eastAsia="zh-CN"/>
        </w:rPr>
        <w:t>）；</w:t>
      </w:r>
    </w:p>
    <w:p w14:paraId="21977D5B">
      <w:pPr>
        <w:pStyle w:val="94"/>
        <w:numPr>
          <w:ilvl w:val="0"/>
          <w:numId w:val="7"/>
        </w:numPr>
        <w:tabs>
          <w:tab w:val="left" w:pos="0"/>
        </w:tabs>
        <w:ind w:left="5" w:leftChars="0" w:firstLine="415" w:firstLineChars="0"/>
        <w:rPr>
          <w:rFonts w:hint="default" w:ascii="Times New Roman" w:hAnsi="Times New Roman" w:cs="Times New Roman"/>
          <w:color w:val="auto"/>
          <w:spacing w:val="0"/>
          <w:w w:val="100"/>
          <w:position w:val="0"/>
          <w:szCs w:val="22"/>
          <w:u w:val="none" w:color="auto"/>
          <w:lang w:val="en-US" w:eastAsia="zh-CN"/>
        </w:rPr>
      </w:pPr>
      <w:r>
        <w:rPr>
          <w:rFonts w:hint="default" w:ascii="Times New Roman" w:hAnsi="Times New Roman" w:eastAsia="宋体" w:cs="Times New Roman"/>
          <w:b w:val="0"/>
          <w:bCs w:val="0"/>
          <w:color w:val="auto"/>
          <w:spacing w:val="0"/>
          <w:w w:val="100"/>
          <w:kern w:val="0"/>
          <w:position w:val="0"/>
          <w:sz w:val="24"/>
          <w:highlight w:val="none"/>
          <w:u w:val="none" w:color="auto"/>
          <w:lang w:eastAsia="zh-CN"/>
        </w:rPr>
        <w:t>《湖南华容桃花山省级森林公园总体规划》（</w:t>
      </w:r>
      <w:r>
        <w:rPr>
          <w:rFonts w:hint="default" w:ascii="Times New Roman" w:hAnsi="Times New Roman" w:eastAsia="宋体" w:cs="Times New Roman"/>
          <w:b w:val="0"/>
          <w:bCs w:val="0"/>
          <w:color w:val="auto"/>
          <w:spacing w:val="0"/>
          <w:w w:val="100"/>
          <w:kern w:val="0"/>
          <w:position w:val="0"/>
          <w:sz w:val="24"/>
          <w:highlight w:val="none"/>
          <w:u w:val="none" w:color="auto"/>
          <w:lang w:val="en-US" w:eastAsia="zh-CN"/>
        </w:rPr>
        <w:t>2017-2025年</w:t>
      </w:r>
      <w:r>
        <w:rPr>
          <w:rFonts w:hint="default" w:ascii="Times New Roman" w:hAnsi="Times New Roman" w:eastAsia="宋体" w:cs="Times New Roman"/>
          <w:b w:val="0"/>
          <w:bCs w:val="0"/>
          <w:color w:val="auto"/>
          <w:spacing w:val="0"/>
          <w:w w:val="100"/>
          <w:kern w:val="0"/>
          <w:position w:val="0"/>
          <w:sz w:val="24"/>
          <w:highlight w:val="none"/>
          <w:u w:val="none" w:color="auto"/>
          <w:lang w:eastAsia="zh-CN"/>
        </w:rPr>
        <w:t>）</w:t>
      </w:r>
      <w:r>
        <w:rPr>
          <w:rFonts w:hint="default" w:ascii="Times New Roman" w:hAnsi="Times New Roman" w:cs="Times New Roman"/>
          <w:b w:val="0"/>
          <w:bCs w:val="0"/>
          <w:color w:val="auto"/>
          <w:spacing w:val="0"/>
          <w:w w:val="100"/>
          <w:kern w:val="0"/>
          <w:position w:val="0"/>
          <w:sz w:val="24"/>
          <w:highlight w:val="none"/>
          <w:u w:val="none" w:color="auto"/>
          <w:lang w:eastAsia="zh-CN"/>
        </w:rPr>
        <w:t>。</w:t>
      </w:r>
    </w:p>
    <w:p w14:paraId="5FD3FAA9">
      <w:pPr>
        <w:pStyle w:val="4"/>
        <w:bidi w:val="0"/>
        <w:rPr>
          <w:rFonts w:hint="default" w:ascii="Times New Roman" w:hAnsi="Times New Roman" w:eastAsia="宋体" w:cs="Times New Roman"/>
          <w:b/>
          <w:caps w:val="0"/>
          <w:smallCaps w:val="0"/>
          <w:color w:val="auto"/>
          <w:spacing w:val="0"/>
          <w:w w:val="100"/>
          <w:position w:val="0"/>
          <w:sz w:val="28"/>
          <w:szCs w:val="28"/>
          <w:u w:val="none" w:color="auto"/>
        </w:rPr>
      </w:pPr>
      <w:bookmarkStart w:id="43" w:name="_Toc4139"/>
      <w:r>
        <w:rPr>
          <w:rFonts w:hint="default" w:ascii="Times New Roman" w:hAnsi="Times New Roman" w:eastAsia="宋体" w:cs="Times New Roman"/>
          <w:b/>
          <w:caps w:val="0"/>
          <w:smallCaps w:val="0"/>
          <w:color w:val="auto"/>
          <w:spacing w:val="0"/>
          <w:w w:val="100"/>
          <w:position w:val="0"/>
          <w:sz w:val="28"/>
          <w:szCs w:val="28"/>
          <w:u w:val="none" w:color="auto"/>
          <w:lang w:val="zh-CN"/>
        </w:rPr>
        <w:t>技术</w:t>
      </w:r>
      <w:bookmarkEnd w:id="41"/>
      <w:bookmarkEnd w:id="42"/>
      <w:r>
        <w:rPr>
          <w:rFonts w:hint="default" w:ascii="Times New Roman" w:hAnsi="Times New Roman" w:eastAsia="宋体" w:cs="Times New Roman"/>
          <w:b/>
          <w:caps w:val="0"/>
          <w:smallCaps w:val="0"/>
          <w:color w:val="auto"/>
          <w:spacing w:val="0"/>
          <w:w w:val="100"/>
          <w:position w:val="0"/>
          <w:sz w:val="28"/>
          <w:szCs w:val="28"/>
          <w:u w:val="none" w:color="auto"/>
          <w:lang w:val="zh-CN"/>
        </w:rPr>
        <w:t>规范及标准</w:t>
      </w:r>
      <w:bookmarkEnd w:id="43"/>
    </w:p>
    <w:p w14:paraId="34953E24">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cs="Times New Roman"/>
          <w:color w:val="auto"/>
          <w:spacing w:val="0"/>
          <w:w w:val="100"/>
          <w:position w:val="0"/>
          <w:szCs w:val="22"/>
          <w:u w:val="none" w:color="auto"/>
        </w:rPr>
      </w:pPr>
      <w:bookmarkStart w:id="44" w:name="bookmark50"/>
      <w:bookmarkStart w:id="45" w:name="bookmark51"/>
      <w:r>
        <w:rPr>
          <w:rFonts w:hint="default" w:ascii="Times New Roman" w:hAnsi="Times New Roman" w:cs="Times New Roman"/>
          <w:color w:val="auto"/>
          <w:spacing w:val="0"/>
          <w:w w:val="100"/>
          <w:position w:val="0"/>
          <w:szCs w:val="22"/>
          <w:u w:val="none" w:color="auto"/>
        </w:rPr>
        <w:t>《建设项目环境影响评价技术导则  总纲》（HJ2.1—2016）；</w:t>
      </w:r>
    </w:p>
    <w:p w14:paraId="787E4917">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rPr>
        <w:t>《环境影响评价技术导则  大气环境》（HJ2.2—2018）；</w:t>
      </w:r>
    </w:p>
    <w:p w14:paraId="22A6E2DF">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rPr>
        <w:t>《环境影响评价技术导则  地表水环境》（HJ2.3—2018）；</w:t>
      </w:r>
    </w:p>
    <w:p w14:paraId="706F9F6F">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rPr>
        <w:t>《环境影响评价技术导则  声环境》（HJ2.4-2021）；</w:t>
      </w:r>
    </w:p>
    <w:p w14:paraId="6EA4DF54">
      <w:pPr>
        <w:pStyle w:val="94"/>
        <w:numPr>
          <w:ilvl w:val="0"/>
          <w:numId w:val="8"/>
        </w:numPr>
        <w:ind w:left="5" w:leftChars="0" w:firstLine="415" w:firstLineChars="0"/>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rPr>
        <w:t>《环境影响评价技术导则  生态影响》（HJ19－2022）；</w:t>
      </w:r>
    </w:p>
    <w:p w14:paraId="1B3AF44A">
      <w:pPr>
        <w:pStyle w:val="94"/>
        <w:numPr>
          <w:ilvl w:val="0"/>
          <w:numId w:val="8"/>
        </w:numPr>
        <w:ind w:left="5" w:leftChars="0" w:firstLine="415" w:firstLineChars="0"/>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rPr>
        <w:t>《环境影响评价技术导则  地下水环境》（HJ610-2016）；</w:t>
      </w:r>
    </w:p>
    <w:p w14:paraId="489C13C7">
      <w:pPr>
        <w:pStyle w:val="94"/>
        <w:numPr>
          <w:ilvl w:val="0"/>
          <w:numId w:val="8"/>
        </w:numPr>
        <w:ind w:left="5" w:leftChars="0" w:firstLine="415" w:firstLineChars="0"/>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rPr>
        <w:t>《环境影响评价技术导则  土壤环境（试行）》（HJ964-2018）；</w:t>
      </w:r>
    </w:p>
    <w:p w14:paraId="7F15E3DE">
      <w:pPr>
        <w:pStyle w:val="94"/>
        <w:keepNext w:val="0"/>
        <w:keepLines w:val="0"/>
        <w:pageBreakBefore w:val="0"/>
        <w:widowControl w:val="0"/>
        <w:numPr>
          <w:ilvl w:val="0"/>
          <w:numId w:val="8"/>
        </w:numPr>
        <w:overflowPunct/>
        <w:autoSpaceDE/>
        <w:autoSpaceDN/>
        <w:bidi w:val="0"/>
        <w:adjustRightInd w:val="0"/>
        <w:spacing w:line="360" w:lineRule="auto"/>
        <w:ind w:left="5" w:leftChars="0" w:firstLine="415" w:firstLineChars="0"/>
        <w:textAlignment w:val="auto"/>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rPr>
        <w:t>《建设项目环境风险评价技术导则》（HJ169－2018）；</w:t>
      </w:r>
    </w:p>
    <w:p w14:paraId="33679C18">
      <w:pPr>
        <w:keepNext w:val="0"/>
        <w:keepLines w:val="0"/>
        <w:pageBreakBefore w:val="0"/>
        <w:widowControl w:val="0"/>
        <w:numPr>
          <w:ilvl w:val="0"/>
          <w:numId w:val="8"/>
        </w:numPr>
        <w:kinsoku w:val="0"/>
        <w:wordWrap w:val="0"/>
        <w:overflowPunct/>
        <w:topLinePunct/>
        <w:autoSpaceDE/>
        <w:autoSpaceDN/>
        <w:bidi w:val="0"/>
        <w:adjustRightInd w:val="0"/>
        <w:snapToGrid/>
        <w:spacing w:line="360" w:lineRule="auto"/>
        <w:ind w:left="5" w:leftChars="0" w:firstLine="415"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《环境影响评价技术导则 水利水电工程》（HJ/T88-2003）</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386966EB">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eastAsia="宋体" w:cs="Times New Roman"/>
          <w:color w:val="auto"/>
          <w:spacing w:val="0"/>
          <w:w w:val="100"/>
          <w:position w:val="0"/>
          <w:szCs w:val="22"/>
          <w:u w:val="none" w:color="auto"/>
          <w:lang w:val="en-US" w:eastAsia="zh-CN"/>
        </w:rPr>
      </w:pPr>
      <w:r>
        <w:rPr>
          <w:rFonts w:hint="default" w:ascii="Times New Roman" w:hAnsi="Times New Roman" w:eastAsia="宋体" w:cs="Times New Roman"/>
          <w:color w:val="auto"/>
          <w:spacing w:val="0"/>
          <w:w w:val="100"/>
          <w:position w:val="0"/>
          <w:szCs w:val="22"/>
          <w:u w:val="none" w:color="auto"/>
          <w:lang w:val="en-US" w:eastAsia="zh-CN"/>
        </w:rPr>
        <w:t>《环境影响评价技术导则  生物多样性影响》（DB45/T-2017）；</w:t>
      </w:r>
    </w:p>
    <w:p w14:paraId="53C518D1">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eastAsia="宋体" w:cs="Times New Roman"/>
          <w:color w:val="auto"/>
          <w:spacing w:val="0"/>
          <w:w w:val="100"/>
          <w:position w:val="0"/>
          <w:szCs w:val="22"/>
          <w:u w:val="none" w:color="auto"/>
          <w:lang w:val="en-US" w:eastAsia="zh-CN"/>
        </w:rPr>
      </w:pPr>
      <w:r>
        <w:rPr>
          <w:rFonts w:hint="default" w:ascii="Times New Roman" w:hAnsi="Times New Roman" w:eastAsia="宋体" w:cs="Times New Roman"/>
          <w:color w:val="auto"/>
          <w:spacing w:val="0"/>
          <w:w w:val="100"/>
          <w:position w:val="0"/>
          <w:szCs w:val="22"/>
          <w:u w:val="none" w:color="auto"/>
          <w:lang w:val="en-US" w:eastAsia="zh-CN"/>
        </w:rPr>
        <w:t>《全国生态状况调查评估技术规范——生态系统遥感解译与野外核查》（HJ 1166-2021）；</w:t>
      </w:r>
    </w:p>
    <w:p w14:paraId="19B0FE65">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eastAsia="宋体" w:cs="Times New Roman"/>
          <w:color w:val="auto"/>
          <w:spacing w:val="0"/>
          <w:w w:val="100"/>
          <w:position w:val="0"/>
          <w:szCs w:val="22"/>
          <w:u w:val="none" w:color="auto"/>
        </w:rPr>
      </w:pPr>
      <w:r>
        <w:rPr>
          <w:rFonts w:hint="default" w:ascii="Times New Roman" w:hAnsi="Times New Roman" w:eastAsia="宋体" w:cs="Times New Roman"/>
          <w:color w:val="auto"/>
          <w:spacing w:val="0"/>
          <w:w w:val="100"/>
          <w:position w:val="0"/>
          <w:szCs w:val="22"/>
          <w:u w:val="none" w:color="auto"/>
        </w:rPr>
        <w:t>《土地利用现状分类》（GB/T21010</w:t>
      </w:r>
      <w:r>
        <w:rPr>
          <w:rFonts w:hint="default" w:ascii="Times New Roman" w:hAnsi="Times New Roman" w:eastAsia="宋体" w:cs="Times New Roman"/>
          <w:color w:val="auto"/>
          <w:spacing w:val="0"/>
          <w:w w:val="100"/>
          <w:position w:val="0"/>
          <w:szCs w:val="22"/>
          <w:u w:val="none" w:color="auto"/>
          <w:lang w:val="en-US" w:eastAsia="zh-CN"/>
        </w:rPr>
        <w:t>-2017</w:t>
      </w:r>
      <w:r>
        <w:rPr>
          <w:rFonts w:hint="default" w:ascii="Times New Roman" w:hAnsi="Times New Roman" w:eastAsia="宋体" w:cs="Times New Roman"/>
          <w:color w:val="auto"/>
          <w:spacing w:val="0"/>
          <w:w w:val="100"/>
          <w:position w:val="0"/>
          <w:szCs w:val="22"/>
          <w:u w:val="none" w:color="auto"/>
        </w:rPr>
        <w:t>）</w:t>
      </w:r>
      <w:r>
        <w:rPr>
          <w:rFonts w:hint="default" w:ascii="Times New Roman" w:hAnsi="Times New Roman" w:eastAsia="宋体" w:cs="Times New Roman"/>
          <w:color w:val="auto"/>
          <w:spacing w:val="0"/>
          <w:w w:val="100"/>
          <w:position w:val="0"/>
          <w:szCs w:val="22"/>
          <w:u w:val="none" w:color="auto"/>
          <w:lang w:eastAsia="zh-CN"/>
        </w:rPr>
        <w:t>；</w:t>
      </w:r>
    </w:p>
    <w:p w14:paraId="3E0BFEEE">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eastAsia="宋体" w:cs="Times New Roman"/>
          <w:color w:val="auto"/>
          <w:spacing w:val="0"/>
          <w:w w:val="100"/>
          <w:position w:val="0"/>
          <w:szCs w:val="22"/>
          <w:u w:val="none" w:color="auto"/>
        </w:rPr>
      </w:pPr>
      <w:r>
        <w:rPr>
          <w:rFonts w:hint="default" w:ascii="Times New Roman" w:hAnsi="Times New Roman" w:eastAsia="宋体" w:cs="Times New Roman"/>
          <w:color w:val="auto"/>
          <w:spacing w:val="0"/>
          <w:w w:val="100"/>
          <w:position w:val="0"/>
          <w:szCs w:val="22"/>
          <w:u w:val="none" w:color="auto"/>
          <w:lang w:eastAsia="zh-CN"/>
        </w:rPr>
        <w:t>《</w:t>
      </w:r>
      <w:r>
        <w:rPr>
          <w:rFonts w:hint="default" w:ascii="Times New Roman" w:hAnsi="Times New Roman" w:eastAsia="宋体" w:cs="Times New Roman"/>
          <w:color w:val="auto"/>
          <w:spacing w:val="0"/>
          <w:w w:val="100"/>
          <w:position w:val="0"/>
          <w:szCs w:val="22"/>
          <w:u w:val="none" w:color="auto"/>
        </w:rPr>
        <w:t>生态环境状况评价技术规范</w:t>
      </w:r>
      <w:r>
        <w:rPr>
          <w:rFonts w:hint="default" w:ascii="Times New Roman" w:hAnsi="Times New Roman" w:eastAsia="宋体" w:cs="Times New Roman"/>
          <w:color w:val="auto"/>
          <w:spacing w:val="0"/>
          <w:w w:val="100"/>
          <w:position w:val="0"/>
          <w:szCs w:val="22"/>
          <w:u w:val="none" w:color="auto"/>
          <w:lang w:eastAsia="zh-CN"/>
        </w:rPr>
        <w:t>》（</w:t>
      </w:r>
      <w:r>
        <w:rPr>
          <w:rFonts w:hint="default" w:ascii="Times New Roman" w:hAnsi="Times New Roman" w:eastAsia="宋体" w:cs="Times New Roman"/>
          <w:color w:val="auto"/>
          <w:spacing w:val="0"/>
          <w:w w:val="100"/>
          <w:position w:val="0"/>
          <w:szCs w:val="22"/>
          <w:u w:val="none" w:color="auto"/>
        </w:rPr>
        <w:t>HJ 192-2015</w:t>
      </w:r>
      <w:r>
        <w:rPr>
          <w:rFonts w:hint="default" w:ascii="Times New Roman" w:hAnsi="Times New Roman" w:eastAsia="宋体" w:cs="Times New Roman"/>
          <w:color w:val="auto"/>
          <w:spacing w:val="0"/>
          <w:w w:val="100"/>
          <w:position w:val="0"/>
          <w:szCs w:val="22"/>
          <w:u w:val="none" w:color="auto"/>
          <w:lang w:eastAsia="zh-CN"/>
        </w:rPr>
        <w:t>）；</w:t>
      </w:r>
    </w:p>
    <w:p w14:paraId="2A99BAB1">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eastAsia="宋体" w:cs="Times New Roman"/>
          <w:color w:val="auto"/>
          <w:spacing w:val="0"/>
          <w:w w:val="100"/>
          <w:position w:val="0"/>
          <w:szCs w:val="22"/>
          <w:u w:val="none" w:color="auto"/>
        </w:rPr>
      </w:pPr>
      <w:r>
        <w:rPr>
          <w:rFonts w:hint="default" w:ascii="Times New Roman" w:hAnsi="Times New Roman" w:eastAsia="宋体" w:cs="Times New Roman"/>
          <w:color w:val="auto"/>
          <w:spacing w:val="0"/>
          <w:w w:val="100"/>
          <w:position w:val="0"/>
          <w:szCs w:val="22"/>
          <w:u w:val="none" w:color="auto"/>
          <w:lang w:val="en-US" w:eastAsia="zh-CN"/>
        </w:rPr>
        <w:t>《生物多样性观测技术导则》（HJ710-2014）；</w:t>
      </w:r>
    </w:p>
    <w:p w14:paraId="47A7EA9E">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eastAsia="宋体" w:cs="Times New Roman"/>
          <w:color w:val="auto"/>
          <w:spacing w:val="0"/>
          <w:w w:val="100"/>
          <w:position w:val="0"/>
          <w:szCs w:val="22"/>
          <w:u w:val="none" w:color="auto"/>
        </w:rPr>
      </w:pPr>
      <w:r>
        <w:rPr>
          <w:rFonts w:hint="default" w:ascii="Times New Roman" w:hAnsi="Times New Roman" w:eastAsia="宋体" w:cs="Times New Roman"/>
          <w:color w:val="auto"/>
          <w:spacing w:val="0"/>
          <w:w w:val="100"/>
          <w:position w:val="0"/>
          <w:szCs w:val="22"/>
          <w:u w:val="none" w:color="auto"/>
          <w:lang w:val="en-US" w:eastAsia="zh-CN"/>
        </w:rPr>
        <w:t xml:space="preserve">《生物多样性观测技术导则》（HJ710-2014）； </w:t>
      </w:r>
    </w:p>
    <w:p w14:paraId="14CD08F6">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eastAsia="宋体" w:cs="Times New Roman"/>
          <w:color w:val="auto"/>
          <w:spacing w:val="0"/>
          <w:w w:val="100"/>
          <w:position w:val="0"/>
          <w:szCs w:val="22"/>
          <w:u w:val="none" w:color="auto"/>
        </w:rPr>
      </w:pPr>
      <w:r>
        <w:rPr>
          <w:rFonts w:hint="default" w:ascii="Times New Roman" w:hAnsi="Times New Roman" w:eastAsia="宋体" w:cs="Times New Roman"/>
          <w:color w:val="auto"/>
          <w:spacing w:val="0"/>
          <w:w w:val="100"/>
          <w:position w:val="0"/>
          <w:szCs w:val="22"/>
          <w:u w:val="none" w:color="auto"/>
          <w:lang w:eastAsia="zh-CN"/>
        </w:rPr>
        <w:t>《全国植物物种资源调查技术规定（试行）》（公告</w:t>
      </w:r>
      <w:r>
        <w:rPr>
          <w:rFonts w:hint="default" w:ascii="Times New Roman" w:hAnsi="Times New Roman" w:eastAsia="宋体" w:cs="Times New Roman"/>
          <w:color w:val="auto"/>
          <w:spacing w:val="0"/>
          <w:w w:val="100"/>
          <w:position w:val="0"/>
          <w:szCs w:val="22"/>
          <w:u w:val="none" w:color="auto"/>
          <w:lang w:val="en-US" w:eastAsia="zh-CN"/>
        </w:rPr>
        <w:t>2010年第27号）；</w:t>
      </w:r>
    </w:p>
    <w:p w14:paraId="43FE2C88">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eastAsia="宋体" w:cs="Times New Roman"/>
          <w:color w:val="auto"/>
          <w:spacing w:val="0"/>
          <w:w w:val="100"/>
          <w:position w:val="0"/>
          <w:szCs w:val="22"/>
          <w:u w:val="none" w:color="auto"/>
        </w:rPr>
      </w:pPr>
      <w:r>
        <w:rPr>
          <w:rFonts w:hint="default" w:ascii="Times New Roman" w:hAnsi="Times New Roman" w:eastAsia="宋体" w:cs="Times New Roman"/>
          <w:color w:val="auto"/>
          <w:spacing w:val="0"/>
          <w:w w:val="100"/>
          <w:position w:val="0"/>
          <w:szCs w:val="22"/>
          <w:u w:val="none" w:color="auto"/>
          <w:lang w:eastAsia="zh-CN"/>
        </w:rPr>
        <w:t>《全国动物物种资源调查技术规定（试行）》（公告</w:t>
      </w:r>
      <w:r>
        <w:rPr>
          <w:rFonts w:hint="default" w:ascii="Times New Roman" w:hAnsi="Times New Roman" w:eastAsia="宋体" w:cs="Times New Roman"/>
          <w:color w:val="auto"/>
          <w:spacing w:val="0"/>
          <w:w w:val="100"/>
          <w:position w:val="0"/>
          <w:szCs w:val="22"/>
          <w:u w:val="none" w:color="auto"/>
          <w:lang w:val="en-US" w:eastAsia="zh-CN"/>
        </w:rPr>
        <w:t>2010年第27号）；</w:t>
      </w:r>
    </w:p>
    <w:p w14:paraId="2A8CFF34">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lang w:val="en-US" w:eastAsia="zh-CN"/>
        </w:rPr>
        <w:t xml:space="preserve">《地表水环境质量标准》（GB3838-2002）； </w:t>
      </w:r>
    </w:p>
    <w:p w14:paraId="411476F0">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lang w:val="en-US" w:eastAsia="zh-CN"/>
        </w:rPr>
        <w:t xml:space="preserve">《地下水质量标准》（GB/T14848-2017）； </w:t>
      </w:r>
    </w:p>
    <w:p w14:paraId="0D3812F2">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lang w:val="en-US" w:eastAsia="zh-CN"/>
        </w:rPr>
        <w:t>《环境空气质量标准》（GB3095-2012）；</w:t>
      </w:r>
    </w:p>
    <w:p w14:paraId="3FA08737">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lang w:val="en-US" w:eastAsia="zh-CN"/>
        </w:rPr>
        <w:t xml:space="preserve">《声环境质量标准》（GB3096-2008）； </w:t>
      </w:r>
    </w:p>
    <w:p w14:paraId="4CE49B33">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lang w:val="en-US" w:eastAsia="zh-CN"/>
        </w:rPr>
        <w:t xml:space="preserve">《土壤环境质量 农用地土壤污染风险管控标准（试行）》（GB15618-2018）； </w:t>
      </w:r>
    </w:p>
    <w:p w14:paraId="702C7FA3">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lang w:val="en-US" w:eastAsia="zh-CN"/>
        </w:rPr>
        <w:t xml:space="preserve">《土壤环境质量 建设用地土壤污染风险管控标准（试行）》(GB36600-2018）； </w:t>
      </w:r>
    </w:p>
    <w:p w14:paraId="61FA6068">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lang w:val="en-US" w:eastAsia="zh-CN"/>
        </w:rPr>
        <w:t xml:space="preserve">《污水综合排放标准》（GB8978-1996）； </w:t>
      </w:r>
    </w:p>
    <w:p w14:paraId="1BCDA1CE">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lang w:val="en-US" w:eastAsia="zh-CN"/>
        </w:rPr>
        <w:t xml:space="preserve">《大气污染物综合排放标准》（GB16297-1996）； </w:t>
      </w:r>
    </w:p>
    <w:p w14:paraId="33847060">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lang w:val="en-US" w:eastAsia="zh-CN"/>
        </w:rPr>
        <w:t xml:space="preserve">《建筑施工场界环境噪声排放标准》（GB12523-2011）； </w:t>
      </w:r>
    </w:p>
    <w:p w14:paraId="64489D7F">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cs="Times New Roman"/>
          <w:color w:val="auto"/>
          <w:spacing w:val="0"/>
          <w:w w:val="100"/>
          <w:position w:val="0"/>
          <w:szCs w:val="22"/>
          <w:u w:val="none" w:color="auto"/>
        </w:rPr>
      </w:pPr>
      <w:r>
        <w:rPr>
          <w:rFonts w:hint="default" w:ascii="Times New Roman" w:hAnsi="Times New Roman" w:cs="Times New Roman"/>
          <w:color w:val="auto"/>
          <w:spacing w:val="0"/>
          <w:w w:val="100"/>
          <w:position w:val="0"/>
          <w:szCs w:val="22"/>
          <w:u w:val="none" w:color="auto"/>
          <w:lang w:val="en-US" w:eastAsia="zh-CN"/>
        </w:rPr>
        <w:t xml:space="preserve">《工业企业厂界环境噪声排放标准》（GB12348-2008）； </w:t>
      </w:r>
    </w:p>
    <w:p w14:paraId="0F83EB89">
      <w:pPr>
        <w:pStyle w:val="94"/>
        <w:keepNext w:val="0"/>
        <w:keepLines w:val="0"/>
        <w:pageBreakBefore w:val="0"/>
        <w:widowControl w:val="0"/>
        <w:numPr>
          <w:ilvl w:val="0"/>
          <w:numId w:val="8"/>
        </w:numPr>
        <w:kinsoku/>
        <w:wordWrap/>
        <w:overflowPunct/>
        <w:topLinePunct w:val="0"/>
        <w:autoSpaceDE/>
        <w:autoSpaceDN/>
        <w:bidi w:val="0"/>
        <w:adjustRightInd w:val="0"/>
        <w:snapToGrid w:val="0"/>
        <w:ind w:left="5" w:leftChars="0" w:firstLine="415"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cs="Times New Roman"/>
          <w:color w:val="auto"/>
          <w:spacing w:val="0"/>
          <w:w w:val="100"/>
          <w:position w:val="0"/>
          <w:szCs w:val="22"/>
          <w:u w:val="none" w:color="auto"/>
          <w:lang w:val="en-US" w:eastAsia="zh-CN"/>
        </w:rPr>
        <w:t>《一般工业固体废物贮存和填埋污染控制标准》（GB18599-2020）</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7DED2658">
      <w:pPr>
        <w:pStyle w:val="4"/>
        <w:bidi w:val="0"/>
        <w:rPr>
          <w:rFonts w:hint="default" w:ascii="Times New Roman" w:hAnsi="Times New Roman" w:cs="Times New Roman"/>
        </w:rPr>
      </w:pPr>
      <w:bookmarkStart w:id="46" w:name="_Toc14742"/>
      <w:r>
        <w:rPr>
          <w:rFonts w:hint="default" w:ascii="Times New Roman" w:hAnsi="Times New Roman" w:cs="Times New Roman"/>
        </w:rPr>
        <w:t>项目有关报告和文件</w:t>
      </w:r>
      <w:bookmarkEnd w:id="44"/>
      <w:bookmarkEnd w:id="45"/>
      <w:bookmarkEnd w:id="46"/>
    </w:p>
    <w:p w14:paraId="6F7BC434">
      <w:pPr>
        <w:keepNext w:val="0"/>
        <w:keepLines w:val="0"/>
        <w:pageBreakBefore w:val="0"/>
        <w:widowControl w:val="0"/>
        <w:numPr>
          <w:ilvl w:val="0"/>
          <w:numId w:val="9"/>
        </w:numPr>
        <w:kinsoku/>
        <w:wordWrap w:val="0"/>
        <w:overflowPunct/>
        <w:topLinePunct/>
        <w:autoSpaceDE/>
        <w:autoSpaceDN/>
        <w:bidi w:val="0"/>
        <w:adjustRightInd w:val="0"/>
        <w:snapToGrid/>
        <w:spacing w:line="360" w:lineRule="auto"/>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环境影响评价委托书</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56B2C977">
      <w:pPr>
        <w:keepNext w:val="0"/>
        <w:keepLines w:val="0"/>
        <w:pageBreakBefore w:val="0"/>
        <w:widowControl w:val="0"/>
        <w:numPr>
          <w:ilvl w:val="0"/>
          <w:numId w:val="9"/>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《东山水库集中式饮用水水源水源保护区划分报告》；</w:t>
      </w:r>
    </w:p>
    <w:p w14:paraId="0B2167F4">
      <w:pPr>
        <w:keepNext w:val="0"/>
        <w:keepLines w:val="0"/>
        <w:pageBreakBefore w:val="0"/>
        <w:widowControl w:val="0"/>
        <w:numPr>
          <w:ilvl w:val="0"/>
          <w:numId w:val="9"/>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《湖南省华容县大中型及重点小型水利工程管理与保护范围划界成果图集》；</w:t>
      </w:r>
    </w:p>
    <w:p w14:paraId="47F1D1F3">
      <w:pPr>
        <w:keepNext w:val="0"/>
        <w:keepLines w:val="0"/>
        <w:pageBreakBefore w:val="0"/>
        <w:widowControl w:val="0"/>
        <w:numPr>
          <w:ilvl w:val="0"/>
          <w:numId w:val="9"/>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《湖南省华容县东山水库除险加固工程</w:t>
      </w:r>
      <w:r>
        <w:rPr>
          <w:rFonts w:hint="default" w:ascii="Times New Roman" w:hAnsi="Times New Roman" w:eastAsia="宋体" w:cs="Times New Roman"/>
          <w:caps w:val="0"/>
          <w:smallCaps w:val="0"/>
          <w:color w:val="auto"/>
          <w:spacing w:val="0"/>
          <w:w w:val="100"/>
          <w:kern w:val="0"/>
          <w:position w:val="0"/>
          <w:sz w:val="24"/>
          <w:szCs w:val="24"/>
          <w:u w:val="none" w:color="auto"/>
        </w:rPr>
        <w:t>初步设计</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阶段工程地质勘察报告》；</w:t>
      </w:r>
    </w:p>
    <w:p w14:paraId="0A78EF86">
      <w:pPr>
        <w:keepNext w:val="0"/>
        <w:keepLines w:val="0"/>
        <w:pageBreakBefore w:val="0"/>
        <w:widowControl w:val="0"/>
        <w:numPr>
          <w:ilvl w:val="0"/>
          <w:numId w:val="9"/>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湖南省华容县东山水库除险加固工程可行性研究报告</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02FB8FFA">
      <w:pPr>
        <w:keepNext w:val="0"/>
        <w:keepLines w:val="0"/>
        <w:pageBreakBefore w:val="0"/>
        <w:widowControl w:val="0"/>
        <w:numPr>
          <w:ilvl w:val="0"/>
          <w:numId w:val="9"/>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湖南省华容县东山水库除险加固工程</w:t>
      </w:r>
      <w:r>
        <w:rPr>
          <w:rFonts w:hint="default" w:ascii="Times New Roman" w:hAnsi="Times New Roman" w:eastAsia="宋体" w:cs="Times New Roman"/>
          <w:caps w:val="0"/>
          <w:smallCaps w:val="0"/>
          <w:color w:val="auto"/>
          <w:spacing w:val="0"/>
          <w:w w:val="100"/>
          <w:kern w:val="0"/>
          <w:position w:val="0"/>
          <w:sz w:val="24"/>
          <w:szCs w:val="24"/>
          <w:u w:val="none" w:color="auto"/>
        </w:rPr>
        <w:t>初步设计</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报告</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2E334143">
      <w:pPr>
        <w:keepNext w:val="0"/>
        <w:keepLines w:val="0"/>
        <w:pageBreakBefore w:val="0"/>
        <w:widowControl w:val="0"/>
        <w:numPr>
          <w:ilvl w:val="0"/>
          <w:numId w:val="9"/>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华容县东山水库除险加固工程水土保持方案报告书</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3AE269D5">
      <w:pPr>
        <w:keepNext w:val="0"/>
        <w:keepLines w:val="0"/>
        <w:pageBreakBefore w:val="0"/>
        <w:widowControl w:val="0"/>
        <w:numPr>
          <w:ilvl w:val="0"/>
          <w:numId w:val="9"/>
        </w:numPr>
        <w:kinsoku/>
        <w:wordWrap w:val="0"/>
        <w:overflowPunct/>
        <w:topLinePunct/>
        <w:autoSpaceDE/>
        <w:autoSpaceDN/>
        <w:bidi w:val="0"/>
        <w:adjustRightInd w:val="0"/>
        <w:snapToGrid/>
        <w:spacing w:line="500" w:lineRule="exact"/>
        <w:ind w:left="6" w:leftChars="0" w:firstLine="414" w:firstLineChars="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建设单位提供的其他资料</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413456CF">
      <w:pPr>
        <w:pStyle w:val="3"/>
        <w:bidi w:val="0"/>
        <w:rPr>
          <w:rFonts w:hint="default" w:ascii="Times New Roman" w:hAnsi="Times New Roman" w:cs="Times New Roman"/>
        </w:rPr>
      </w:pPr>
      <w:bookmarkStart w:id="47" w:name="_Toc26386"/>
      <w:r>
        <w:rPr>
          <w:rFonts w:hint="default" w:ascii="Times New Roman" w:hAnsi="Times New Roman" w:cs="Times New Roman"/>
        </w:rPr>
        <w:t>评价目的及重点</w:t>
      </w:r>
      <w:bookmarkEnd w:id="47"/>
    </w:p>
    <w:p w14:paraId="2EF8CD3D">
      <w:pPr>
        <w:pStyle w:val="4"/>
        <w:bidi w:val="0"/>
        <w:rPr>
          <w:rFonts w:hint="default" w:ascii="Times New Roman" w:hAnsi="Times New Roman" w:cs="Times New Roman"/>
        </w:rPr>
      </w:pPr>
      <w:bookmarkStart w:id="48" w:name="_Toc16210"/>
      <w:r>
        <w:rPr>
          <w:rFonts w:hint="default" w:ascii="Times New Roman" w:hAnsi="Times New Roman" w:cs="Times New Roman"/>
        </w:rPr>
        <w:t>评价目的</w:t>
      </w:r>
      <w:bookmarkEnd w:id="48"/>
    </w:p>
    <w:p w14:paraId="5194AA41">
      <w:pPr>
        <w:keepNext w:val="0"/>
        <w:keepLines w:val="0"/>
        <w:pageBreakBefore w:val="0"/>
        <w:widowControl w:val="0"/>
        <w:overflowPunct/>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根</w:t>
      </w:r>
      <w:r>
        <w:rPr>
          <w:rFonts w:hint="default" w:ascii="Times New Roman" w:hAnsi="Times New Roman" w:eastAsia="宋体" w:cs="Times New Roman"/>
          <w:color w:val="auto"/>
          <w:spacing w:val="0"/>
          <w:w w:val="100"/>
          <w:position w:val="0"/>
          <w:sz w:val="24"/>
          <w:szCs w:val="24"/>
          <w:u w:val="none" w:color="auto"/>
        </w:rPr>
        <w:t>据项目特点及水库周边的环境特征，本次评价主要目的为：</w:t>
      </w:r>
    </w:p>
    <w:p w14:paraId="3B2A247B">
      <w:pPr>
        <w:keepNext w:val="0"/>
        <w:keepLines w:val="0"/>
        <w:pageBreakBefore w:val="0"/>
        <w:widowControl w:val="0"/>
        <w:overflowPunct/>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val="en-US" w:eastAsia="zh-CN"/>
        </w:rPr>
        <w:t xml:space="preserve">（1）通过实地调查，环境现状监测和背景资料的收集，分析东山水库除险加固工程评价区的地表水环境、地下水环境、大气环境、声环境、生态环境和土壤环境现状，分析区域环境功能区划要求及区域存在的主要环境问题。 </w:t>
      </w:r>
    </w:p>
    <w:p w14:paraId="09314975">
      <w:pPr>
        <w:keepNext w:val="0"/>
        <w:keepLines w:val="0"/>
        <w:pageBreakBefore w:val="0"/>
        <w:widowControl w:val="0"/>
        <w:overflowPunct/>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val="en-US" w:eastAsia="zh-CN"/>
        </w:rPr>
        <w:t xml:space="preserve">（2）根据工程建设内容、施工工艺、施工时段和运行特点，预测和评价工程施工、占地与拆迁安置、工程运行对环境的影响。 </w:t>
      </w:r>
    </w:p>
    <w:p w14:paraId="75A3D76C">
      <w:pPr>
        <w:keepNext w:val="0"/>
        <w:keepLines w:val="0"/>
        <w:pageBreakBefore w:val="0"/>
        <w:widowControl w:val="0"/>
        <w:overflowPunct/>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val="en-US" w:eastAsia="zh-CN"/>
        </w:rPr>
        <w:t xml:space="preserve">（3）根据环境影响预测评价结论，提出减免不利影响的对策和措施，使区域环境质量不因工程建设和运行而下降，生态系统、生物多样性得到有效保护，充分发挥工程的社会效益、经济效益和环境效益，促进项目区社会、经济和环境的可持续发展。 </w:t>
      </w:r>
    </w:p>
    <w:p w14:paraId="06FE978D">
      <w:pPr>
        <w:keepNext w:val="0"/>
        <w:keepLines w:val="0"/>
        <w:pageBreakBefore w:val="0"/>
        <w:widowControl w:val="0"/>
        <w:overflowPunct/>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val="en-US" w:eastAsia="zh-CN"/>
        </w:rPr>
        <w:t xml:space="preserve">（4）通过制定工程施工期和运行期的环境监测计划，及时掌握工程建设对环境的实际影响范围和程度，为工程的环境管理提供科学依据。 </w:t>
      </w:r>
    </w:p>
    <w:p w14:paraId="667EAD78">
      <w:pPr>
        <w:keepNext w:val="0"/>
        <w:keepLines w:val="0"/>
        <w:pageBreakBefore w:val="0"/>
        <w:widowControl w:val="0"/>
        <w:overflowPunct/>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val="en-US" w:eastAsia="zh-CN"/>
        </w:rPr>
        <w:t xml:space="preserve">（5）制定工程环境管理计划，明确项目建设单位、施工单位的环境保护任务和职责，为环境保护措施的实施提供制度保证。 </w:t>
      </w:r>
    </w:p>
    <w:p w14:paraId="4F66C325">
      <w:pPr>
        <w:keepNext w:val="0"/>
        <w:keepLines w:val="0"/>
        <w:pageBreakBefore w:val="0"/>
        <w:widowControl w:val="0"/>
        <w:overflowPunct/>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val="en-US" w:eastAsia="zh-CN"/>
        </w:rPr>
        <w:t xml:space="preserve">（6）分析工程影响区及周边地区生态与环境的整体变化趋势，论证工程建设的环境可行性，为工程施工和主管部门决策提供科学依据，为工程环境保护设计和工程建设环境管理提供依据。 </w:t>
      </w:r>
    </w:p>
    <w:p w14:paraId="27A2C87F">
      <w:pPr>
        <w:pStyle w:val="4"/>
        <w:bidi w:val="0"/>
        <w:rPr>
          <w:rFonts w:hint="default" w:ascii="Times New Roman" w:hAnsi="Times New Roman" w:cs="Times New Roman"/>
        </w:rPr>
      </w:pPr>
      <w:bookmarkStart w:id="49" w:name="_Toc15016"/>
      <w:r>
        <w:rPr>
          <w:rFonts w:hint="default" w:ascii="Times New Roman" w:hAnsi="Times New Roman" w:cs="Times New Roman"/>
        </w:rPr>
        <w:t>评价重点</w:t>
      </w:r>
      <w:bookmarkEnd w:id="49"/>
    </w:p>
    <w:p w14:paraId="6B02C005">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根据本工程环境影响识别，确定评价重点如下：</w:t>
      </w:r>
    </w:p>
    <w:p w14:paraId="40D08EDA">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（1）生态环境</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现状调查与评价，</w:t>
      </w:r>
      <w:r>
        <w:rPr>
          <w:rFonts w:hint="default" w:ascii="Times New Roman" w:hAnsi="Times New Roman" w:eastAsia="宋体" w:cs="Times New Roman"/>
          <w:caps w:val="0"/>
          <w:smallCaps w:val="0"/>
          <w:color w:val="auto"/>
          <w:spacing w:val="0"/>
          <w:w w:val="100"/>
          <w:kern w:val="0"/>
          <w:position w:val="0"/>
          <w:sz w:val="24"/>
          <w:szCs w:val="24"/>
          <w:u w:val="none" w:color="auto"/>
        </w:rPr>
        <w:t>预测评价工程对所在区域生态环境的影响及采取的</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减缓</w:t>
      </w:r>
      <w:r>
        <w:rPr>
          <w:rFonts w:hint="default" w:ascii="Times New Roman" w:hAnsi="Times New Roman" w:eastAsia="宋体" w:cs="Times New Roman"/>
          <w:caps w:val="0"/>
          <w:smallCaps w:val="0"/>
          <w:color w:val="auto"/>
          <w:spacing w:val="0"/>
          <w:w w:val="100"/>
          <w:kern w:val="0"/>
          <w:position w:val="0"/>
          <w:sz w:val="24"/>
          <w:szCs w:val="24"/>
          <w:u w:val="none" w:color="auto"/>
        </w:rPr>
        <w:t>措施。</w:t>
      </w:r>
    </w:p>
    <w:p w14:paraId="7776FDF9">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（2）水环境质量现状及影响预测评价</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对</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饮用水源保护区水质及</w:t>
      </w:r>
      <w:r>
        <w:rPr>
          <w:rFonts w:hint="default" w:ascii="Times New Roman" w:hAnsi="Times New Roman" w:eastAsia="宋体" w:cs="Times New Roman"/>
          <w:caps w:val="0"/>
          <w:smallCaps w:val="0"/>
          <w:color w:val="auto"/>
          <w:spacing w:val="0"/>
          <w:w w:val="100"/>
          <w:kern w:val="0"/>
          <w:position w:val="0"/>
          <w:sz w:val="24"/>
          <w:szCs w:val="24"/>
          <w:u w:val="none" w:color="auto"/>
        </w:rPr>
        <w:t>水文情势的影响分析</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及采取的措施</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5D51D95C">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（3）施工环境影响及污染防治。</w:t>
      </w:r>
    </w:p>
    <w:p w14:paraId="0CDB1AD6">
      <w:pPr>
        <w:keepNext w:val="0"/>
        <w:keepLines w:val="0"/>
        <w:pageBreakBefore w:val="0"/>
        <w:widowControl w:val="0"/>
        <w:overflowPunct/>
        <w:autoSpaceDE/>
        <w:autoSpaceDN/>
        <w:bidi w:val="0"/>
        <w:adjustRightInd/>
        <w:snapToGrid/>
        <w:spacing w:line="360" w:lineRule="auto"/>
        <w:ind w:left="0" w:leftChars="0" w:firstLine="420" w:firstLineChars="175"/>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4</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olor w:val="auto"/>
          <w:spacing w:val="0"/>
          <w:w w:val="100"/>
          <w:position w:val="0"/>
          <w:sz w:val="24"/>
          <w:szCs w:val="24"/>
          <w:u w:val="none" w:color="auto"/>
          <w:lang w:val="en-US" w:eastAsia="zh-CN"/>
        </w:rPr>
        <w:t>工程评价区涉及湖南省生态保护红线、华</w:t>
      </w:r>
      <w:r>
        <w:rPr>
          <w:rFonts w:hint="default" w:ascii="Times New Roman" w:hAnsi="Times New Roman" w:eastAsia="宋体" w:cs="Times New Roman"/>
          <w:color w:val="auto"/>
          <w:spacing w:val="0"/>
          <w:w w:val="100"/>
          <w:kern w:val="0"/>
          <w:position w:val="0"/>
          <w:sz w:val="24"/>
          <w:szCs w:val="24"/>
          <w:u w:val="none" w:color="auto"/>
          <w:lang w:val="en-US" w:eastAsia="zh-CN"/>
        </w:rPr>
        <w:t>容县东山镇东山水库饮用水水源保护区</w:t>
      </w:r>
      <w:r>
        <w:rPr>
          <w:rFonts w:hint="default" w:ascii="Times New Roman" w:hAnsi="Times New Roman" w:eastAsia="宋体" w:cs="Times New Roman"/>
          <w:color w:val="auto"/>
          <w:spacing w:val="0"/>
          <w:w w:val="100"/>
          <w:position w:val="0"/>
          <w:sz w:val="24"/>
          <w:szCs w:val="24"/>
          <w:u w:val="none" w:color="auto"/>
          <w:lang w:val="en-US" w:eastAsia="zh-CN"/>
        </w:rPr>
        <w:t xml:space="preserve">、华容县桃花山省级森林公园、华容县生态公益林，工程对环境敏感区的影响和减缓措施。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p>
    <w:p w14:paraId="670DD09A">
      <w:pPr>
        <w:pStyle w:val="3"/>
        <w:bidi w:val="0"/>
        <w:rPr>
          <w:rFonts w:hint="default" w:ascii="Times New Roman" w:hAnsi="Times New Roman" w:cs="Times New Roman"/>
        </w:rPr>
      </w:pPr>
      <w:bookmarkStart w:id="50" w:name="_Toc2519"/>
      <w:r>
        <w:rPr>
          <w:rFonts w:hint="default" w:ascii="Times New Roman" w:hAnsi="Times New Roman" w:cs="Times New Roman"/>
        </w:rPr>
        <w:t>环境影响识别与评价因子</w:t>
      </w:r>
      <w:bookmarkEnd w:id="50"/>
    </w:p>
    <w:p w14:paraId="7FCF86C2">
      <w:pPr>
        <w:pStyle w:val="4"/>
        <w:bidi w:val="0"/>
        <w:rPr>
          <w:rFonts w:hint="default" w:ascii="Times New Roman" w:hAnsi="Times New Roman" w:cs="Times New Roman"/>
        </w:rPr>
      </w:pPr>
      <w:bookmarkStart w:id="51" w:name="_Toc12388"/>
      <w:r>
        <w:rPr>
          <w:rFonts w:hint="default" w:ascii="Times New Roman" w:hAnsi="Times New Roman" w:cs="Times New Roman"/>
        </w:rPr>
        <w:t>环境影响因素识别</w:t>
      </w:r>
      <w:bookmarkEnd w:id="51"/>
    </w:p>
    <w:p w14:paraId="178366A3">
      <w:pPr>
        <w:spacing w:before="78" w:line="358" w:lineRule="auto"/>
        <w:ind w:left="122" w:right="113" w:firstLine="479"/>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在开展工程区环境现状调查、发展规划资料搜集等工作基础上，根据工程区环境保护要求和保护目标特点，结合本工程的工程任务、影响范围以及开发方式等基本情况，并参考国内外同类项目环境影响及环境保护的实践经验，采用矩阵法对工程各</w:t>
      </w:r>
      <w:r>
        <w:rPr>
          <w:rFonts w:hint="default" w:ascii="Times New Roman" w:hAnsi="Times New Roman" w:eastAsia="宋体" w:cs="Times New Roman"/>
          <w:color w:val="auto"/>
          <w:spacing w:val="0"/>
          <w:w w:val="100"/>
          <w:position w:val="0"/>
          <w:sz w:val="24"/>
          <w:szCs w:val="24"/>
          <w:u w:val="none" w:color="auto"/>
          <w:lang w:eastAsia="zh-CN"/>
        </w:rPr>
        <w:t>阶段各工程活动对各</w:t>
      </w:r>
      <w:r>
        <w:rPr>
          <w:rFonts w:hint="default" w:ascii="Times New Roman" w:hAnsi="Times New Roman" w:eastAsia="宋体" w:cs="Times New Roman"/>
          <w:color w:val="auto"/>
          <w:spacing w:val="0"/>
          <w:w w:val="100"/>
          <w:position w:val="0"/>
          <w:sz w:val="24"/>
          <w:szCs w:val="24"/>
          <w:u w:val="none" w:color="auto"/>
        </w:rPr>
        <w:t>环境因素可能产生的影响进行识别分析，结果见表</w:t>
      </w:r>
      <w:r>
        <w:rPr>
          <w:rFonts w:hint="default" w:ascii="Times New Roman" w:hAnsi="Times New Roman" w:eastAsia="Times New Roman" w:cs="Times New Roman"/>
          <w:color w:val="auto"/>
          <w:spacing w:val="0"/>
          <w:w w:val="100"/>
          <w:position w:val="0"/>
          <w:sz w:val="24"/>
          <w:szCs w:val="24"/>
          <w:u w:val="none" w:color="auto"/>
        </w:rPr>
        <w:t>1.</w:t>
      </w:r>
      <w:r>
        <w:rPr>
          <w:rFonts w:hint="default" w:ascii="Times New Roman" w:hAnsi="Times New Roman" w:eastAsia="宋体" w:cs="Times New Roman"/>
          <w:color w:val="auto"/>
          <w:spacing w:val="0"/>
          <w:w w:val="100"/>
          <w:position w:val="0"/>
          <w:sz w:val="24"/>
          <w:szCs w:val="24"/>
          <w:u w:val="none" w:color="auto"/>
          <w:lang w:val="en-US" w:eastAsia="zh-CN"/>
        </w:rPr>
        <w:t>3</w:t>
      </w:r>
      <w:r>
        <w:rPr>
          <w:rFonts w:hint="default" w:ascii="Times New Roman" w:hAnsi="Times New Roman" w:eastAsia="Times New Roman" w:cs="Times New Roman"/>
          <w:color w:val="auto"/>
          <w:spacing w:val="0"/>
          <w:w w:val="100"/>
          <w:position w:val="0"/>
          <w:sz w:val="24"/>
          <w:szCs w:val="24"/>
          <w:u w:val="none" w:color="auto"/>
        </w:rPr>
        <w:t>-1</w:t>
      </w:r>
      <w:r>
        <w:rPr>
          <w:rFonts w:hint="default" w:ascii="Times New Roman" w:hAnsi="Times New Roman" w:eastAsia="宋体" w:cs="Times New Roman"/>
          <w:color w:val="auto"/>
          <w:spacing w:val="0"/>
          <w:w w:val="100"/>
          <w:position w:val="0"/>
          <w:sz w:val="24"/>
          <w:szCs w:val="24"/>
          <w:u w:val="none" w:color="auto"/>
        </w:rPr>
        <w:t>。</w:t>
      </w:r>
    </w:p>
    <w:p w14:paraId="65B30AE4">
      <w:pPr>
        <w:spacing w:line="214" w:lineRule="auto"/>
        <w:jc w:val="center"/>
        <w:rPr>
          <w:rFonts w:hint="default" w:ascii="Times New Roman" w:hAnsi="Times New Roman" w:eastAsia="宋体" w:cs="Times New Roman"/>
          <w:b/>
          <w:bCs/>
          <w:color w:val="auto"/>
          <w:spacing w:val="0"/>
          <w:w w:val="100"/>
          <w:position w:val="0"/>
          <w:sz w:val="24"/>
          <w:szCs w:val="24"/>
          <w:u w:val="none" w:color="auto"/>
        </w:rPr>
      </w:pPr>
      <w:r>
        <w:rPr>
          <w:rFonts w:hint="default" w:ascii="Times New Roman" w:hAnsi="Times New Roman" w:eastAsia="宋体" w:cs="Times New Roman"/>
          <w:b/>
          <w:bCs/>
          <w:color w:val="auto"/>
          <w:spacing w:val="0"/>
          <w:w w:val="100"/>
          <w:position w:val="0"/>
          <w:sz w:val="24"/>
          <w:szCs w:val="24"/>
          <w:u w:val="none" w:color="auto"/>
        </w:rPr>
        <w:t>表</w:t>
      </w:r>
      <w:r>
        <w:rPr>
          <w:rFonts w:hint="default" w:ascii="Times New Roman" w:hAnsi="Times New Roman" w:eastAsia="Times New Roman" w:cs="Times New Roman"/>
          <w:b/>
          <w:bCs/>
          <w:color w:val="auto"/>
          <w:spacing w:val="0"/>
          <w:w w:val="100"/>
          <w:position w:val="0"/>
          <w:sz w:val="24"/>
          <w:szCs w:val="24"/>
          <w:u w:val="none" w:color="auto"/>
        </w:rPr>
        <w:t>1.</w:t>
      </w:r>
      <w:r>
        <w:rPr>
          <w:rFonts w:hint="default" w:ascii="Times New Roman" w:hAnsi="Times New Roman" w:eastAsia="宋体" w:cs="Times New Roman"/>
          <w:b/>
          <w:bCs/>
          <w:color w:val="auto"/>
          <w:spacing w:val="0"/>
          <w:w w:val="100"/>
          <w:position w:val="0"/>
          <w:sz w:val="24"/>
          <w:szCs w:val="24"/>
          <w:u w:val="none" w:color="auto"/>
          <w:lang w:val="en-US" w:eastAsia="zh-CN"/>
        </w:rPr>
        <w:t>3</w:t>
      </w:r>
      <w:r>
        <w:rPr>
          <w:rFonts w:hint="default" w:ascii="Times New Roman" w:hAnsi="Times New Roman" w:eastAsia="Times New Roman" w:cs="Times New Roman"/>
          <w:b/>
          <w:bCs/>
          <w:color w:val="auto"/>
          <w:spacing w:val="0"/>
          <w:w w:val="100"/>
          <w:position w:val="0"/>
          <w:sz w:val="24"/>
          <w:szCs w:val="24"/>
          <w:u w:val="none" w:color="auto"/>
        </w:rPr>
        <w:t xml:space="preserve">-1    </w:t>
      </w:r>
      <w:r>
        <w:rPr>
          <w:rFonts w:hint="default" w:ascii="Times New Roman" w:hAnsi="Times New Roman" w:eastAsia="宋体" w:cs="Times New Roman"/>
          <w:b/>
          <w:bCs/>
          <w:color w:val="auto"/>
          <w:spacing w:val="0"/>
          <w:w w:val="100"/>
          <w:position w:val="0"/>
          <w:sz w:val="24"/>
          <w:szCs w:val="24"/>
          <w:u w:val="none" w:color="auto"/>
          <w:lang w:eastAsia="zh-CN"/>
        </w:rPr>
        <w:t>本</w:t>
      </w:r>
      <w:r>
        <w:rPr>
          <w:rFonts w:hint="default" w:ascii="Times New Roman" w:hAnsi="Times New Roman" w:eastAsia="宋体" w:cs="Times New Roman"/>
          <w:b/>
          <w:bCs/>
          <w:color w:val="auto"/>
          <w:spacing w:val="0"/>
          <w:w w:val="100"/>
          <w:position w:val="0"/>
          <w:sz w:val="24"/>
          <w:szCs w:val="24"/>
          <w:u w:val="none" w:color="auto"/>
        </w:rPr>
        <w:t>工程环境影响</w:t>
      </w:r>
      <w:r>
        <w:rPr>
          <w:rFonts w:hint="default" w:ascii="Times New Roman" w:hAnsi="Times New Roman" w:eastAsia="宋体" w:cs="Times New Roman"/>
          <w:b/>
          <w:bCs/>
          <w:color w:val="auto"/>
          <w:spacing w:val="0"/>
          <w:w w:val="100"/>
          <w:position w:val="0"/>
          <w:sz w:val="24"/>
          <w:szCs w:val="24"/>
          <w:u w:val="none" w:color="auto"/>
          <w:lang w:eastAsia="zh-CN"/>
        </w:rPr>
        <w:t>因子</w:t>
      </w:r>
      <w:r>
        <w:rPr>
          <w:rFonts w:hint="default" w:ascii="Times New Roman" w:hAnsi="Times New Roman" w:eastAsia="宋体" w:cs="Times New Roman"/>
          <w:b/>
          <w:bCs/>
          <w:color w:val="auto"/>
          <w:spacing w:val="0"/>
          <w:w w:val="100"/>
          <w:position w:val="0"/>
          <w:sz w:val="24"/>
          <w:szCs w:val="24"/>
          <w:u w:val="none" w:color="auto"/>
        </w:rPr>
        <w:t>识别</w:t>
      </w:r>
      <w:r>
        <w:rPr>
          <w:rFonts w:hint="default" w:ascii="Times New Roman" w:hAnsi="Times New Roman" w:eastAsia="宋体" w:cs="Times New Roman"/>
          <w:b/>
          <w:bCs/>
          <w:color w:val="auto"/>
          <w:spacing w:val="0"/>
          <w:w w:val="100"/>
          <w:position w:val="0"/>
          <w:sz w:val="24"/>
          <w:szCs w:val="24"/>
          <w:u w:val="none" w:color="auto"/>
          <w:lang w:eastAsia="zh-CN"/>
        </w:rPr>
        <w:t>矩阵</w:t>
      </w:r>
      <w:r>
        <w:rPr>
          <w:rFonts w:hint="default" w:ascii="Times New Roman" w:hAnsi="Times New Roman" w:eastAsia="宋体" w:cs="Times New Roman"/>
          <w:b/>
          <w:bCs/>
          <w:color w:val="auto"/>
          <w:spacing w:val="0"/>
          <w:w w:val="100"/>
          <w:position w:val="0"/>
          <w:sz w:val="24"/>
          <w:szCs w:val="24"/>
          <w:u w:val="none" w:color="auto"/>
        </w:rPr>
        <w:t>表</w:t>
      </w:r>
    </w:p>
    <w:tbl>
      <w:tblPr>
        <w:tblStyle w:val="9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716"/>
        <w:gridCol w:w="1104"/>
        <w:gridCol w:w="961"/>
        <w:gridCol w:w="923"/>
        <w:gridCol w:w="924"/>
        <w:gridCol w:w="924"/>
        <w:gridCol w:w="924"/>
        <w:gridCol w:w="924"/>
        <w:gridCol w:w="930"/>
      </w:tblGrid>
      <w:tr w14:paraId="633FA4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826" w:type="dxa"/>
            <w:gridSpan w:val="2"/>
            <w:vMerge w:val="restart"/>
            <w:tcBorders>
              <w:tl2br w:val="nil"/>
              <w:tr2bl w:val="nil"/>
            </w:tcBorders>
            <w:noWrap w:val="0"/>
            <w:vAlign w:val="center"/>
          </w:tcPr>
          <w:p w14:paraId="4F131569">
            <w:pPr>
              <w:jc w:val="center"/>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环境要素</w:t>
            </w:r>
          </w:p>
        </w:tc>
        <w:tc>
          <w:tcPr>
            <w:tcW w:w="4671" w:type="dxa"/>
            <w:gridSpan w:val="5"/>
            <w:tcBorders>
              <w:tl2br w:val="nil"/>
              <w:tr2bl w:val="nil"/>
            </w:tcBorders>
            <w:noWrap w:val="0"/>
            <w:vAlign w:val="center"/>
          </w:tcPr>
          <w:p w14:paraId="1253B2FB">
            <w:pPr>
              <w:jc w:val="center"/>
              <w:rPr>
                <w:rFonts w:hint="default"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lang w:eastAsia="zh-CN"/>
              </w:rPr>
              <w:t>施工期</w:t>
            </w:r>
          </w:p>
        </w:tc>
        <w:tc>
          <w:tcPr>
            <w:tcW w:w="1860" w:type="dxa"/>
            <w:gridSpan w:val="2"/>
            <w:tcBorders>
              <w:tl2br w:val="nil"/>
              <w:tr2bl w:val="nil"/>
            </w:tcBorders>
            <w:noWrap w:val="0"/>
            <w:vAlign w:val="center"/>
          </w:tcPr>
          <w:p w14:paraId="322FE9D1">
            <w:pPr>
              <w:jc w:val="center"/>
              <w:rPr>
                <w:rFonts w:hint="default"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lang w:eastAsia="zh-CN"/>
              </w:rPr>
              <w:t>运行期</w:t>
            </w:r>
          </w:p>
        </w:tc>
      </w:tr>
      <w:tr w14:paraId="0C3FDB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826" w:type="dxa"/>
            <w:gridSpan w:val="2"/>
            <w:vMerge w:val="continue"/>
            <w:tcBorders>
              <w:tl2br w:val="nil"/>
              <w:tr2bl w:val="nil"/>
            </w:tcBorders>
            <w:noWrap w:val="0"/>
            <w:vAlign w:val="center"/>
          </w:tcPr>
          <w:p w14:paraId="34C603FA">
            <w:pPr>
              <w:jc w:val="center"/>
              <w:rPr>
                <w:rFonts w:hint="default" w:ascii="Times New Roman" w:hAnsi="Times New Roman" w:eastAsia="宋体" w:cs="Times New Roman"/>
                <w:b/>
                <w:bCs/>
                <w:color w:val="auto"/>
                <w:spacing w:val="0"/>
                <w:w w:val="100"/>
                <w:position w:val="0"/>
                <w:sz w:val="21"/>
                <w:szCs w:val="21"/>
                <w:u w:val="none" w:color="auto"/>
              </w:rPr>
            </w:pPr>
          </w:p>
        </w:tc>
        <w:tc>
          <w:tcPr>
            <w:tcW w:w="964" w:type="dxa"/>
            <w:tcBorders>
              <w:tl2br w:val="nil"/>
              <w:tr2bl w:val="nil"/>
            </w:tcBorders>
            <w:noWrap w:val="0"/>
            <w:vAlign w:val="center"/>
          </w:tcPr>
          <w:p w14:paraId="63ECDB64">
            <w:pPr>
              <w:jc w:val="center"/>
              <w:rPr>
                <w:rFonts w:hint="default"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lang w:eastAsia="zh-CN"/>
              </w:rPr>
              <w:t>工程占地</w:t>
            </w:r>
          </w:p>
        </w:tc>
        <w:tc>
          <w:tcPr>
            <w:tcW w:w="926" w:type="dxa"/>
            <w:tcBorders>
              <w:tl2br w:val="nil"/>
              <w:tr2bl w:val="nil"/>
            </w:tcBorders>
            <w:noWrap w:val="0"/>
            <w:vAlign w:val="center"/>
          </w:tcPr>
          <w:p w14:paraId="220D2E43">
            <w:pPr>
              <w:jc w:val="center"/>
              <w:rPr>
                <w:rFonts w:hint="default"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lang w:eastAsia="zh-CN"/>
              </w:rPr>
              <w:t>施工道路</w:t>
            </w:r>
          </w:p>
        </w:tc>
        <w:tc>
          <w:tcPr>
            <w:tcW w:w="927" w:type="dxa"/>
            <w:tcBorders>
              <w:tl2br w:val="nil"/>
              <w:tr2bl w:val="nil"/>
            </w:tcBorders>
            <w:noWrap w:val="0"/>
            <w:vAlign w:val="center"/>
          </w:tcPr>
          <w:p w14:paraId="4B385464">
            <w:pPr>
              <w:jc w:val="center"/>
              <w:rPr>
                <w:rFonts w:hint="default"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lang w:eastAsia="zh-CN"/>
              </w:rPr>
              <w:t>交通运输</w:t>
            </w:r>
          </w:p>
        </w:tc>
        <w:tc>
          <w:tcPr>
            <w:tcW w:w="927" w:type="dxa"/>
            <w:tcBorders>
              <w:tl2br w:val="nil"/>
              <w:tr2bl w:val="nil"/>
            </w:tcBorders>
            <w:noWrap w:val="0"/>
            <w:vAlign w:val="center"/>
          </w:tcPr>
          <w:p w14:paraId="075289CE">
            <w:pPr>
              <w:jc w:val="center"/>
              <w:rPr>
                <w:rFonts w:hint="default"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lang w:eastAsia="zh-CN"/>
              </w:rPr>
              <w:t>工程施工</w:t>
            </w:r>
          </w:p>
        </w:tc>
        <w:tc>
          <w:tcPr>
            <w:tcW w:w="927" w:type="dxa"/>
            <w:tcBorders>
              <w:tl2br w:val="nil"/>
              <w:tr2bl w:val="nil"/>
            </w:tcBorders>
            <w:noWrap w:val="0"/>
            <w:vAlign w:val="center"/>
          </w:tcPr>
          <w:p w14:paraId="6D2ED39E">
            <w:pPr>
              <w:jc w:val="center"/>
              <w:rPr>
                <w:rFonts w:hint="default"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lang w:eastAsia="zh-CN"/>
              </w:rPr>
              <w:t>施工人员生活</w:t>
            </w:r>
          </w:p>
        </w:tc>
        <w:tc>
          <w:tcPr>
            <w:tcW w:w="927" w:type="dxa"/>
            <w:tcBorders>
              <w:tl2br w:val="nil"/>
              <w:tr2bl w:val="nil"/>
            </w:tcBorders>
            <w:noWrap w:val="0"/>
            <w:vAlign w:val="center"/>
          </w:tcPr>
          <w:p w14:paraId="4E737340">
            <w:pPr>
              <w:jc w:val="center"/>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工程运行</w:t>
            </w:r>
          </w:p>
        </w:tc>
        <w:tc>
          <w:tcPr>
            <w:tcW w:w="933" w:type="dxa"/>
            <w:tcBorders>
              <w:tl2br w:val="nil"/>
              <w:tr2bl w:val="nil"/>
            </w:tcBorders>
            <w:noWrap w:val="0"/>
            <w:vAlign w:val="center"/>
          </w:tcPr>
          <w:p w14:paraId="143517DE">
            <w:pPr>
              <w:jc w:val="center"/>
              <w:rPr>
                <w:rFonts w:hint="default"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lang w:eastAsia="zh-CN"/>
              </w:rPr>
              <w:t>人员生活</w:t>
            </w:r>
          </w:p>
        </w:tc>
      </w:tr>
      <w:tr w14:paraId="5E4F18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8" w:type="dxa"/>
            <w:tcBorders>
              <w:tl2br w:val="nil"/>
              <w:tr2bl w:val="nil"/>
            </w:tcBorders>
            <w:noWrap w:val="0"/>
            <w:vAlign w:val="center"/>
          </w:tcPr>
          <w:p w14:paraId="1F5667DB">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大气</w:t>
            </w:r>
          </w:p>
        </w:tc>
        <w:tc>
          <w:tcPr>
            <w:tcW w:w="1108" w:type="dxa"/>
            <w:tcBorders>
              <w:tl2br w:val="nil"/>
              <w:tr2bl w:val="nil"/>
            </w:tcBorders>
            <w:noWrap w:val="0"/>
            <w:vAlign w:val="center"/>
          </w:tcPr>
          <w:p w14:paraId="55A863F0">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环境空气</w:t>
            </w:r>
          </w:p>
        </w:tc>
        <w:tc>
          <w:tcPr>
            <w:tcW w:w="964" w:type="dxa"/>
            <w:tcBorders>
              <w:tl2br w:val="nil"/>
              <w:tr2bl w:val="nil"/>
            </w:tcBorders>
            <w:noWrap w:val="0"/>
            <w:vAlign w:val="center"/>
          </w:tcPr>
          <w:p w14:paraId="3B805E95">
            <w:pPr>
              <w:jc w:val="center"/>
              <w:rPr>
                <w:rFonts w:hint="default" w:ascii="Times New Roman" w:hAnsi="Times New Roman" w:eastAsia="宋体" w:cs="Times New Roman"/>
                <w:color w:val="auto"/>
                <w:spacing w:val="0"/>
                <w:w w:val="100"/>
                <w:position w:val="0"/>
                <w:sz w:val="21"/>
                <w:szCs w:val="21"/>
                <w:u w:val="none" w:color="auto"/>
              </w:rPr>
            </w:pPr>
          </w:p>
        </w:tc>
        <w:tc>
          <w:tcPr>
            <w:tcW w:w="926" w:type="dxa"/>
            <w:tcBorders>
              <w:tl2br w:val="nil"/>
              <w:tr2bl w:val="nil"/>
            </w:tcBorders>
            <w:noWrap w:val="0"/>
            <w:vAlign w:val="center"/>
          </w:tcPr>
          <w:p w14:paraId="7E41C225">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388B7890">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5BBDA3F8">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2E80CDCD">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4E9CBF88">
            <w:pPr>
              <w:jc w:val="center"/>
              <w:rPr>
                <w:rFonts w:hint="default" w:ascii="Times New Roman" w:hAnsi="Times New Roman" w:eastAsia="宋体" w:cs="Times New Roman"/>
                <w:color w:val="auto"/>
                <w:spacing w:val="0"/>
                <w:w w:val="100"/>
                <w:position w:val="0"/>
                <w:sz w:val="21"/>
                <w:szCs w:val="21"/>
                <w:u w:val="none" w:color="auto"/>
              </w:rPr>
            </w:pPr>
          </w:p>
        </w:tc>
        <w:tc>
          <w:tcPr>
            <w:tcW w:w="933" w:type="dxa"/>
            <w:tcBorders>
              <w:tl2br w:val="nil"/>
              <w:tr2bl w:val="nil"/>
            </w:tcBorders>
            <w:noWrap w:val="0"/>
            <w:vAlign w:val="center"/>
          </w:tcPr>
          <w:p w14:paraId="6497CF1F">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r>
      <w:tr w14:paraId="754C20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8" w:type="dxa"/>
            <w:vMerge w:val="restart"/>
            <w:tcBorders>
              <w:tl2br w:val="nil"/>
              <w:tr2bl w:val="nil"/>
            </w:tcBorders>
            <w:noWrap w:val="0"/>
            <w:vAlign w:val="center"/>
          </w:tcPr>
          <w:p w14:paraId="58609A0C">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地表水</w:t>
            </w:r>
          </w:p>
        </w:tc>
        <w:tc>
          <w:tcPr>
            <w:tcW w:w="1108" w:type="dxa"/>
            <w:tcBorders>
              <w:tl2br w:val="nil"/>
              <w:tr2bl w:val="nil"/>
            </w:tcBorders>
            <w:noWrap w:val="0"/>
            <w:vAlign w:val="center"/>
          </w:tcPr>
          <w:p w14:paraId="749B4C9F">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水质</w:t>
            </w:r>
          </w:p>
        </w:tc>
        <w:tc>
          <w:tcPr>
            <w:tcW w:w="964" w:type="dxa"/>
            <w:tcBorders>
              <w:tl2br w:val="nil"/>
              <w:tr2bl w:val="nil"/>
            </w:tcBorders>
            <w:noWrap w:val="0"/>
            <w:vAlign w:val="center"/>
          </w:tcPr>
          <w:p w14:paraId="3C515F61">
            <w:pPr>
              <w:jc w:val="center"/>
              <w:rPr>
                <w:rFonts w:hint="default" w:ascii="Times New Roman" w:hAnsi="Times New Roman" w:eastAsia="宋体" w:cs="Times New Roman"/>
                <w:color w:val="auto"/>
                <w:spacing w:val="0"/>
                <w:w w:val="100"/>
                <w:position w:val="0"/>
                <w:sz w:val="21"/>
                <w:szCs w:val="21"/>
                <w:u w:val="none" w:color="auto"/>
              </w:rPr>
            </w:pPr>
          </w:p>
        </w:tc>
        <w:tc>
          <w:tcPr>
            <w:tcW w:w="926" w:type="dxa"/>
            <w:tcBorders>
              <w:tl2br w:val="nil"/>
              <w:tr2bl w:val="nil"/>
            </w:tcBorders>
            <w:noWrap w:val="0"/>
            <w:vAlign w:val="center"/>
          </w:tcPr>
          <w:p w14:paraId="23C596B0">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13EFA2C1">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7AC0F8D2">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2913B3EB">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253DA8A3">
            <w:pPr>
              <w:jc w:val="center"/>
              <w:rPr>
                <w:rFonts w:hint="default" w:ascii="Times New Roman" w:hAnsi="Times New Roman" w:eastAsia="宋体" w:cs="Times New Roman"/>
                <w:color w:val="auto"/>
                <w:spacing w:val="0"/>
                <w:w w:val="100"/>
                <w:position w:val="0"/>
                <w:sz w:val="21"/>
                <w:szCs w:val="21"/>
                <w:u w:val="none" w:color="auto"/>
              </w:rPr>
            </w:pPr>
          </w:p>
        </w:tc>
        <w:tc>
          <w:tcPr>
            <w:tcW w:w="933" w:type="dxa"/>
            <w:tcBorders>
              <w:tl2br w:val="nil"/>
              <w:tr2bl w:val="nil"/>
            </w:tcBorders>
            <w:noWrap w:val="0"/>
            <w:vAlign w:val="center"/>
          </w:tcPr>
          <w:p w14:paraId="5944D23D">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r>
      <w:tr w14:paraId="42040B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8" w:type="dxa"/>
            <w:vMerge w:val="continue"/>
            <w:tcBorders>
              <w:tl2br w:val="nil"/>
              <w:tr2bl w:val="nil"/>
            </w:tcBorders>
            <w:noWrap w:val="0"/>
            <w:vAlign w:val="center"/>
          </w:tcPr>
          <w:p w14:paraId="4E2C6765">
            <w:pPr>
              <w:jc w:val="center"/>
              <w:rPr>
                <w:rFonts w:hint="default" w:ascii="Times New Roman" w:hAnsi="Times New Roman" w:eastAsia="宋体" w:cs="Times New Roman"/>
                <w:color w:val="auto"/>
                <w:spacing w:val="0"/>
                <w:w w:val="100"/>
                <w:position w:val="0"/>
                <w:sz w:val="21"/>
                <w:szCs w:val="21"/>
                <w:u w:val="none" w:color="auto"/>
              </w:rPr>
            </w:pPr>
          </w:p>
        </w:tc>
        <w:tc>
          <w:tcPr>
            <w:tcW w:w="1108" w:type="dxa"/>
            <w:tcBorders>
              <w:tl2br w:val="nil"/>
              <w:tr2bl w:val="nil"/>
            </w:tcBorders>
            <w:noWrap w:val="0"/>
            <w:vAlign w:val="center"/>
          </w:tcPr>
          <w:p w14:paraId="044CB289">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水文情势</w:t>
            </w:r>
          </w:p>
        </w:tc>
        <w:tc>
          <w:tcPr>
            <w:tcW w:w="964" w:type="dxa"/>
            <w:tcBorders>
              <w:tl2br w:val="nil"/>
              <w:tr2bl w:val="nil"/>
            </w:tcBorders>
            <w:noWrap w:val="0"/>
            <w:vAlign w:val="center"/>
          </w:tcPr>
          <w:p w14:paraId="55889EE9">
            <w:pPr>
              <w:jc w:val="center"/>
              <w:rPr>
                <w:rFonts w:hint="default" w:ascii="Times New Roman" w:hAnsi="Times New Roman" w:eastAsia="宋体" w:cs="Times New Roman"/>
                <w:color w:val="auto"/>
                <w:spacing w:val="0"/>
                <w:w w:val="100"/>
                <w:position w:val="0"/>
                <w:sz w:val="21"/>
                <w:szCs w:val="21"/>
                <w:u w:val="none" w:color="auto"/>
              </w:rPr>
            </w:pPr>
          </w:p>
        </w:tc>
        <w:tc>
          <w:tcPr>
            <w:tcW w:w="926" w:type="dxa"/>
            <w:tcBorders>
              <w:tl2br w:val="nil"/>
              <w:tr2bl w:val="nil"/>
            </w:tcBorders>
            <w:noWrap w:val="0"/>
            <w:vAlign w:val="center"/>
          </w:tcPr>
          <w:p w14:paraId="4ECE962F">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35D0056C">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6730808C">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62866E24">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03F2C23C">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-3</w:t>
            </w:r>
          </w:p>
        </w:tc>
        <w:tc>
          <w:tcPr>
            <w:tcW w:w="933" w:type="dxa"/>
            <w:tcBorders>
              <w:tl2br w:val="nil"/>
              <w:tr2bl w:val="nil"/>
            </w:tcBorders>
            <w:noWrap w:val="0"/>
            <w:vAlign w:val="center"/>
          </w:tcPr>
          <w:p w14:paraId="31E20FCA">
            <w:pPr>
              <w:jc w:val="center"/>
              <w:rPr>
                <w:rFonts w:hint="default" w:ascii="Times New Roman" w:hAnsi="Times New Roman" w:eastAsia="宋体" w:cs="Times New Roman"/>
                <w:color w:val="auto"/>
                <w:spacing w:val="0"/>
                <w:w w:val="100"/>
                <w:position w:val="0"/>
                <w:sz w:val="21"/>
                <w:szCs w:val="21"/>
                <w:u w:val="none" w:color="auto"/>
              </w:rPr>
            </w:pPr>
          </w:p>
        </w:tc>
      </w:tr>
      <w:tr w14:paraId="325388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8" w:type="dxa"/>
            <w:vMerge w:val="restart"/>
            <w:tcBorders>
              <w:tl2br w:val="nil"/>
              <w:tr2bl w:val="nil"/>
            </w:tcBorders>
            <w:noWrap w:val="0"/>
            <w:vAlign w:val="center"/>
          </w:tcPr>
          <w:p w14:paraId="7EC5254D">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地下水</w:t>
            </w:r>
          </w:p>
        </w:tc>
        <w:tc>
          <w:tcPr>
            <w:tcW w:w="1108" w:type="dxa"/>
            <w:tcBorders>
              <w:tl2br w:val="nil"/>
              <w:tr2bl w:val="nil"/>
            </w:tcBorders>
            <w:noWrap w:val="0"/>
            <w:vAlign w:val="center"/>
          </w:tcPr>
          <w:p w14:paraId="1D453DC4">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水质</w:t>
            </w:r>
          </w:p>
        </w:tc>
        <w:tc>
          <w:tcPr>
            <w:tcW w:w="964" w:type="dxa"/>
            <w:tcBorders>
              <w:tl2br w:val="nil"/>
              <w:tr2bl w:val="nil"/>
            </w:tcBorders>
            <w:noWrap w:val="0"/>
            <w:vAlign w:val="center"/>
          </w:tcPr>
          <w:p w14:paraId="62A9D8D0">
            <w:pPr>
              <w:jc w:val="center"/>
              <w:rPr>
                <w:rFonts w:hint="default" w:ascii="Times New Roman" w:hAnsi="Times New Roman" w:eastAsia="宋体" w:cs="Times New Roman"/>
                <w:color w:val="auto"/>
                <w:spacing w:val="0"/>
                <w:w w:val="100"/>
                <w:position w:val="0"/>
                <w:sz w:val="21"/>
                <w:szCs w:val="21"/>
                <w:u w:val="none" w:color="auto"/>
              </w:rPr>
            </w:pPr>
          </w:p>
        </w:tc>
        <w:tc>
          <w:tcPr>
            <w:tcW w:w="926" w:type="dxa"/>
            <w:tcBorders>
              <w:tl2br w:val="nil"/>
              <w:tr2bl w:val="nil"/>
            </w:tcBorders>
            <w:noWrap w:val="0"/>
            <w:vAlign w:val="center"/>
          </w:tcPr>
          <w:p w14:paraId="51EB3DE3">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29E4FF07">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5B9BF2FC">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1C4AE3A5">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7320392F">
            <w:pPr>
              <w:jc w:val="center"/>
              <w:rPr>
                <w:rFonts w:hint="default" w:ascii="Times New Roman" w:hAnsi="Times New Roman" w:eastAsia="宋体" w:cs="Times New Roman"/>
                <w:color w:val="auto"/>
                <w:spacing w:val="0"/>
                <w:w w:val="100"/>
                <w:position w:val="0"/>
                <w:sz w:val="21"/>
                <w:szCs w:val="21"/>
                <w:u w:val="none" w:color="auto"/>
              </w:rPr>
            </w:pPr>
          </w:p>
        </w:tc>
        <w:tc>
          <w:tcPr>
            <w:tcW w:w="933" w:type="dxa"/>
            <w:tcBorders>
              <w:tl2br w:val="nil"/>
              <w:tr2bl w:val="nil"/>
            </w:tcBorders>
            <w:noWrap w:val="0"/>
            <w:vAlign w:val="center"/>
          </w:tcPr>
          <w:p w14:paraId="4766AB9F">
            <w:pPr>
              <w:jc w:val="center"/>
              <w:rPr>
                <w:rFonts w:hint="default" w:ascii="Times New Roman" w:hAnsi="Times New Roman" w:eastAsia="宋体" w:cs="Times New Roman"/>
                <w:color w:val="auto"/>
                <w:spacing w:val="0"/>
                <w:w w:val="100"/>
                <w:position w:val="0"/>
                <w:sz w:val="21"/>
                <w:szCs w:val="21"/>
                <w:u w:val="none" w:color="auto"/>
              </w:rPr>
            </w:pPr>
          </w:p>
        </w:tc>
      </w:tr>
      <w:tr w14:paraId="3F9ED9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8" w:type="dxa"/>
            <w:vMerge w:val="continue"/>
            <w:tcBorders>
              <w:tl2br w:val="nil"/>
              <w:tr2bl w:val="nil"/>
            </w:tcBorders>
            <w:noWrap w:val="0"/>
            <w:vAlign w:val="center"/>
          </w:tcPr>
          <w:p w14:paraId="148D8BA9">
            <w:pPr>
              <w:jc w:val="center"/>
              <w:rPr>
                <w:rFonts w:hint="default" w:ascii="Times New Roman" w:hAnsi="Times New Roman" w:eastAsia="宋体" w:cs="Times New Roman"/>
                <w:color w:val="auto"/>
                <w:spacing w:val="0"/>
                <w:w w:val="100"/>
                <w:position w:val="0"/>
                <w:sz w:val="21"/>
                <w:szCs w:val="21"/>
                <w:u w:val="none" w:color="auto"/>
              </w:rPr>
            </w:pPr>
          </w:p>
        </w:tc>
        <w:tc>
          <w:tcPr>
            <w:tcW w:w="1108" w:type="dxa"/>
            <w:tcBorders>
              <w:tl2br w:val="nil"/>
              <w:tr2bl w:val="nil"/>
            </w:tcBorders>
            <w:noWrap w:val="0"/>
            <w:vAlign w:val="center"/>
          </w:tcPr>
          <w:p w14:paraId="5D6990D1">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水位</w:t>
            </w:r>
          </w:p>
        </w:tc>
        <w:tc>
          <w:tcPr>
            <w:tcW w:w="964" w:type="dxa"/>
            <w:tcBorders>
              <w:tl2br w:val="nil"/>
              <w:tr2bl w:val="nil"/>
            </w:tcBorders>
            <w:noWrap w:val="0"/>
            <w:vAlign w:val="center"/>
          </w:tcPr>
          <w:p w14:paraId="43F5EB11">
            <w:pPr>
              <w:jc w:val="center"/>
              <w:rPr>
                <w:rFonts w:hint="default" w:ascii="Times New Roman" w:hAnsi="Times New Roman" w:eastAsia="宋体" w:cs="Times New Roman"/>
                <w:color w:val="auto"/>
                <w:spacing w:val="0"/>
                <w:w w:val="100"/>
                <w:position w:val="0"/>
                <w:sz w:val="21"/>
                <w:szCs w:val="21"/>
                <w:u w:val="none" w:color="auto"/>
              </w:rPr>
            </w:pPr>
          </w:p>
        </w:tc>
        <w:tc>
          <w:tcPr>
            <w:tcW w:w="926" w:type="dxa"/>
            <w:tcBorders>
              <w:tl2br w:val="nil"/>
              <w:tr2bl w:val="nil"/>
            </w:tcBorders>
            <w:noWrap w:val="0"/>
            <w:vAlign w:val="center"/>
          </w:tcPr>
          <w:p w14:paraId="4C0DBE7B">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050808A1">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60E9E112">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34EE6A75">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57FCD3FB">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-2</w:t>
            </w:r>
          </w:p>
        </w:tc>
        <w:tc>
          <w:tcPr>
            <w:tcW w:w="933" w:type="dxa"/>
            <w:tcBorders>
              <w:tl2br w:val="nil"/>
              <w:tr2bl w:val="nil"/>
            </w:tcBorders>
            <w:noWrap w:val="0"/>
            <w:vAlign w:val="center"/>
          </w:tcPr>
          <w:p w14:paraId="3A8B107F">
            <w:pPr>
              <w:jc w:val="center"/>
              <w:rPr>
                <w:rFonts w:hint="default" w:ascii="Times New Roman" w:hAnsi="Times New Roman" w:eastAsia="宋体" w:cs="Times New Roman"/>
                <w:color w:val="auto"/>
                <w:spacing w:val="0"/>
                <w:w w:val="100"/>
                <w:position w:val="0"/>
                <w:sz w:val="21"/>
                <w:szCs w:val="21"/>
                <w:u w:val="none" w:color="auto"/>
              </w:rPr>
            </w:pPr>
          </w:p>
        </w:tc>
      </w:tr>
      <w:tr w14:paraId="4A3121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8" w:type="dxa"/>
            <w:tcBorders>
              <w:tl2br w:val="nil"/>
              <w:tr2bl w:val="nil"/>
            </w:tcBorders>
            <w:noWrap w:val="0"/>
            <w:vAlign w:val="center"/>
          </w:tcPr>
          <w:p w14:paraId="089005D6">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声环境</w:t>
            </w:r>
          </w:p>
        </w:tc>
        <w:tc>
          <w:tcPr>
            <w:tcW w:w="1108" w:type="dxa"/>
            <w:tcBorders>
              <w:tl2br w:val="nil"/>
              <w:tr2bl w:val="nil"/>
            </w:tcBorders>
            <w:noWrap w:val="0"/>
            <w:vAlign w:val="center"/>
          </w:tcPr>
          <w:p w14:paraId="67F49663">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噪声</w:t>
            </w:r>
          </w:p>
        </w:tc>
        <w:tc>
          <w:tcPr>
            <w:tcW w:w="964" w:type="dxa"/>
            <w:tcBorders>
              <w:tl2br w:val="nil"/>
              <w:tr2bl w:val="nil"/>
            </w:tcBorders>
            <w:noWrap w:val="0"/>
            <w:vAlign w:val="center"/>
          </w:tcPr>
          <w:p w14:paraId="35F1AE24">
            <w:pPr>
              <w:jc w:val="center"/>
              <w:rPr>
                <w:rFonts w:hint="default" w:ascii="Times New Roman" w:hAnsi="Times New Roman" w:eastAsia="宋体" w:cs="Times New Roman"/>
                <w:color w:val="auto"/>
                <w:spacing w:val="0"/>
                <w:w w:val="100"/>
                <w:position w:val="0"/>
                <w:sz w:val="21"/>
                <w:szCs w:val="21"/>
                <w:u w:val="none" w:color="auto"/>
              </w:rPr>
            </w:pPr>
          </w:p>
        </w:tc>
        <w:tc>
          <w:tcPr>
            <w:tcW w:w="926" w:type="dxa"/>
            <w:tcBorders>
              <w:tl2br w:val="nil"/>
              <w:tr2bl w:val="nil"/>
            </w:tcBorders>
            <w:noWrap w:val="0"/>
            <w:vAlign w:val="center"/>
          </w:tcPr>
          <w:p w14:paraId="2EB1B886">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1A90849C">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-2</w:t>
            </w:r>
          </w:p>
        </w:tc>
        <w:tc>
          <w:tcPr>
            <w:tcW w:w="927" w:type="dxa"/>
            <w:tcBorders>
              <w:tl2br w:val="nil"/>
              <w:tr2bl w:val="nil"/>
            </w:tcBorders>
            <w:noWrap w:val="0"/>
            <w:vAlign w:val="center"/>
          </w:tcPr>
          <w:p w14:paraId="0209BA70">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-2</w:t>
            </w:r>
          </w:p>
        </w:tc>
        <w:tc>
          <w:tcPr>
            <w:tcW w:w="927" w:type="dxa"/>
            <w:tcBorders>
              <w:tl2br w:val="nil"/>
              <w:tr2bl w:val="nil"/>
            </w:tcBorders>
            <w:noWrap w:val="0"/>
            <w:vAlign w:val="center"/>
          </w:tcPr>
          <w:p w14:paraId="7387ADB4">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754968E3">
            <w:pPr>
              <w:jc w:val="center"/>
              <w:rPr>
                <w:rFonts w:hint="default" w:ascii="Times New Roman" w:hAnsi="Times New Roman" w:eastAsia="宋体" w:cs="Times New Roman"/>
                <w:color w:val="auto"/>
                <w:spacing w:val="0"/>
                <w:w w:val="100"/>
                <w:position w:val="0"/>
                <w:sz w:val="21"/>
                <w:szCs w:val="21"/>
                <w:u w:val="none" w:color="auto"/>
              </w:rPr>
            </w:pPr>
          </w:p>
        </w:tc>
        <w:tc>
          <w:tcPr>
            <w:tcW w:w="933" w:type="dxa"/>
            <w:tcBorders>
              <w:tl2br w:val="nil"/>
              <w:tr2bl w:val="nil"/>
            </w:tcBorders>
            <w:noWrap w:val="0"/>
            <w:vAlign w:val="center"/>
          </w:tcPr>
          <w:p w14:paraId="01C2AC2B">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r>
      <w:tr w14:paraId="7539CC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8" w:type="dxa"/>
            <w:vMerge w:val="restart"/>
            <w:tcBorders>
              <w:tl2br w:val="nil"/>
              <w:tr2bl w:val="nil"/>
            </w:tcBorders>
            <w:noWrap w:val="0"/>
            <w:vAlign w:val="center"/>
          </w:tcPr>
          <w:p w14:paraId="33B7EEBE">
            <w:pPr>
              <w:jc w:val="center"/>
              <w:rPr>
                <w:rFonts w:hint="default" w:ascii="Times New Roman" w:hAnsi="Times New Roman" w:eastAsia="宋体" w:cs="Times New Roman"/>
                <w:color w:val="auto"/>
                <w:spacing w:val="0"/>
                <w:w w:val="100"/>
                <w:position w:val="0"/>
                <w:sz w:val="21"/>
                <w:szCs w:val="21"/>
                <w:u w:val="none" w:color="auto"/>
              </w:rPr>
            </w:pPr>
          </w:p>
          <w:p w14:paraId="13782A46">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土壤</w:t>
            </w:r>
          </w:p>
        </w:tc>
        <w:tc>
          <w:tcPr>
            <w:tcW w:w="1108" w:type="dxa"/>
            <w:tcBorders>
              <w:tl2br w:val="nil"/>
              <w:tr2bl w:val="nil"/>
            </w:tcBorders>
            <w:noWrap w:val="0"/>
            <w:vAlign w:val="center"/>
          </w:tcPr>
          <w:p w14:paraId="1B0868C7">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土壤侵蚀</w:t>
            </w:r>
          </w:p>
        </w:tc>
        <w:tc>
          <w:tcPr>
            <w:tcW w:w="964" w:type="dxa"/>
            <w:tcBorders>
              <w:tl2br w:val="nil"/>
              <w:tr2bl w:val="nil"/>
            </w:tcBorders>
            <w:noWrap w:val="0"/>
            <w:vAlign w:val="center"/>
          </w:tcPr>
          <w:p w14:paraId="2D2E542C">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-2</w:t>
            </w:r>
          </w:p>
        </w:tc>
        <w:tc>
          <w:tcPr>
            <w:tcW w:w="926" w:type="dxa"/>
            <w:tcBorders>
              <w:tl2br w:val="nil"/>
              <w:tr2bl w:val="nil"/>
            </w:tcBorders>
            <w:noWrap w:val="0"/>
            <w:vAlign w:val="center"/>
          </w:tcPr>
          <w:p w14:paraId="4959961E">
            <w:pPr>
              <w:jc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rPr>
              <w:t>-2</w:t>
            </w:r>
          </w:p>
        </w:tc>
        <w:tc>
          <w:tcPr>
            <w:tcW w:w="927" w:type="dxa"/>
            <w:tcBorders>
              <w:tl2br w:val="nil"/>
              <w:tr2bl w:val="nil"/>
            </w:tcBorders>
            <w:noWrap w:val="0"/>
            <w:vAlign w:val="center"/>
          </w:tcPr>
          <w:p w14:paraId="1B978E2C">
            <w:pPr>
              <w:jc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927" w:type="dxa"/>
            <w:tcBorders>
              <w:tl2br w:val="nil"/>
              <w:tr2bl w:val="nil"/>
            </w:tcBorders>
            <w:noWrap w:val="0"/>
            <w:vAlign w:val="center"/>
          </w:tcPr>
          <w:p w14:paraId="5B577E60">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-2</w:t>
            </w:r>
          </w:p>
        </w:tc>
        <w:tc>
          <w:tcPr>
            <w:tcW w:w="927" w:type="dxa"/>
            <w:tcBorders>
              <w:tl2br w:val="nil"/>
              <w:tr2bl w:val="nil"/>
            </w:tcBorders>
            <w:noWrap w:val="0"/>
            <w:vAlign w:val="center"/>
          </w:tcPr>
          <w:p w14:paraId="2CC4A179">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06F4935C">
            <w:pPr>
              <w:jc w:val="center"/>
              <w:rPr>
                <w:rFonts w:hint="default" w:ascii="Times New Roman" w:hAnsi="Times New Roman" w:eastAsia="宋体" w:cs="Times New Roman"/>
                <w:color w:val="auto"/>
                <w:spacing w:val="0"/>
                <w:w w:val="100"/>
                <w:position w:val="0"/>
                <w:sz w:val="21"/>
                <w:szCs w:val="21"/>
                <w:u w:val="none" w:color="auto"/>
              </w:rPr>
            </w:pPr>
          </w:p>
        </w:tc>
        <w:tc>
          <w:tcPr>
            <w:tcW w:w="933" w:type="dxa"/>
            <w:tcBorders>
              <w:tl2br w:val="nil"/>
              <w:tr2bl w:val="nil"/>
            </w:tcBorders>
            <w:noWrap w:val="0"/>
            <w:vAlign w:val="center"/>
          </w:tcPr>
          <w:p w14:paraId="7635B1DC">
            <w:pPr>
              <w:jc w:val="center"/>
              <w:rPr>
                <w:rFonts w:hint="default" w:ascii="Times New Roman" w:hAnsi="Times New Roman" w:eastAsia="宋体" w:cs="Times New Roman"/>
                <w:color w:val="auto"/>
                <w:spacing w:val="0"/>
                <w:w w:val="100"/>
                <w:position w:val="0"/>
                <w:sz w:val="21"/>
                <w:szCs w:val="21"/>
                <w:u w:val="none" w:color="auto"/>
              </w:rPr>
            </w:pPr>
          </w:p>
        </w:tc>
      </w:tr>
      <w:tr w14:paraId="77EF20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8" w:type="dxa"/>
            <w:vMerge w:val="continue"/>
            <w:tcBorders>
              <w:tl2br w:val="nil"/>
              <w:tr2bl w:val="nil"/>
            </w:tcBorders>
            <w:noWrap w:val="0"/>
            <w:vAlign w:val="center"/>
          </w:tcPr>
          <w:p w14:paraId="66FFC66A">
            <w:pPr>
              <w:jc w:val="center"/>
              <w:rPr>
                <w:rFonts w:hint="default" w:ascii="Times New Roman" w:hAnsi="Times New Roman" w:eastAsia="宋体" w:cs="Times New Roman"/>
                <w:color w:val="auto"/>
                <w:spacing w:val="0"/>
                <w:w w:val="100"/>
                <w:position w:val="0"/>
                <w:sz w:val="21"/>
                <w:szCs w:val="21"/>
                <w:u w:val="none" w:color="auto"/>
              </w:rPr>
            </w:pPr>
          </w:p>
        </w:tc>
        <w:tc>
          <w:tcPr>
            <w:tcW w:w="1108" w:type="dxa"/>
            <w:tcBorders>
              <w:tl2br w:val="nil"/>
              <w:tr2bl w:val="nil"/>
            </w:tcBorders>
            <w:noWrap w:val="0"/>
            <w:vAlign w:val="center"/>
          </w:tcPr>
          <w:p w14:paraId="53AC5AF5">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土壤类型与理化性质</w:t>
            </w:r>
          </w:p>
        </w:tc>
        <w:tc>
          <w:tcPr>
            <w:tcW w:w="964" w:type="dxa"/>
            <w:tcBorders>
              <w:tl2br w:val="nil"/>
              <w:tr2bl w:val="nil"/>
            </w:tcBorders>
            <w:noWrap w:val="0"/>
            <w:vAlign w:val="center"/>
          </w:tcPr>
          <w:p w14:paraId="68ACF7B8">
            <w:pPr>
              <w:jc w:val="center"/>
              <w:rPr>
                <w:rFonts w:hint="default" w:ascii="Times New Roman" w:hAnsi="Times New Roman" w:eastAsia="宋体" w:cs="Times New Roman"/>
                <w:color w:val="auto"/>
                <w:spacing w:val="0"/>
                <w:w w:val="100"/>
                <w:position w:val="0"/>
                <w:sz w:val="21"/>
                <w:szCs w:val="21"/>
                <w:u w:val="none" w:color="auto"/>
              </w:rPr>
            </w:pPr>
          </w:p>
        </w:tc>
        <w:tc>
          <w:tcPr>
            <w:tcW w:w="926" w:type="dxa"/>
            <w:tcBorders>
              <w:tl2br w:val="nil"/>
              <w:tr2bl w:val="nil"/>
            </w:tcBorders>
            <w:noWrap w:val="0"/>
            <w:vAlign w:val="center"/>
          </w:tcPr>
          <w:p w14:paraId="221A7E9C">
            <w:pPr>
              <w:jc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p>
        </w:tc>
        <w:tc>
          <w:tcPr>
            <w:tcW w:w="927" w:type="dxa"/>
            <w:tcBorders>
              <w:tl2br w:val="nil"/>
              <w:tr2bl w:val="nil"/>
            </w:tcBorders>
            <w:noWrap w:val="0"/>
            <w:vAlign w:val="center"/>
          </w:tcPr>
          <w:p w14:paraId="709CAB69">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4085F967">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7E8B80C1">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50795F9A">
            <w:pPr>
              <w:jc w:val="center"/>
              <w:rPr>
                <w:rFonts w:hint="default" w:ascii="Times New Roman" w:hAnsi="Times New Roman" w:eastAsia="宋体" w:cs="Times New Roman"/>
                <w:color w:val="auto"/>
                <w:spacing w:val="0"/>
                <w:w w:val="100"/>
                <w:position w:val="0"/>
                <w:sz w:val="21"/>
                <w:szCs w:val="21"/>
                <w:u w:val="none" w:color="auto"/>
              </w:rPr>
            </w:pPr>
          </w:p>
        </w:tc>
        <w:tc>
          <w:tcPr>
            <w:tcW w:w="933" w:type="dxa"/>
            <w:tcBorders>
              <w:tl2br w:val="nil"/>
              <w:tr2bl w:val="nil"/>
            </w:tcBorders>
            <w:noWrap w:val="0"/>
            <w:vAlign w:val="center"/>
          </w:tcPr>
          <w:p w14:paraId="6DAE7215">
            <w:pPr>
              <w:jc w:val="center"/>
              <w:rPr>
                <w:rFonts w:hint="default" w:ascii="Times New Roman" w:hAnsi="Times New Roman" w:eastAsia="宋体" w:cs="Times New Roman"/>
                <w:color w:val="auto"/>
                <w:spacing w:val="0"/>
                <w:w w:val="100"/>
                <w:position w:val="0"/>
                <w:sz w:val="21"/>
                <w:szCs w:val="21"/>
                <w:u w:val="none" w:color="auto"/>
              </w:rPr>
            </w:pPr>
          </w:p>
        </w:tc>
      </w:tr>
      <w:tr w14:paraId="4832AA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8" w:type="dxa"/>
            <w:vMerge w:val="restart"/>
            <w:tcBorders>
              <w:tl2br w:val="nil"/>
              <w:tr2bl w:val="nil"/>
            </w:tcBorders>
            <w:noWrap w:val="0"/>
            <w:vAlign w:val="center"/>
          </w:tcPr>
          <w:p w14:paraId="564CC469">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生态</w:t>
            </w:r>
          </w:p>
        </w:tc>
        <w:tc>
          <w:tcPr>
            <w:tcW w:w="1108" w:type="dxa"/>
            <w:tcBorders>
              <w:tl2br w:val="nil"/>
              <w:tr2bl w:val="nil"/>
            </w:tcBorders>
            <w:noWrap w:val="0"/>
            <w:vAlign w:val="center"/>
          </w:tcPr>
          <w:p w14:paraId="51744FC4">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陆生生态</w:t>
            </w:r>
          </w:p>
        </w:tc>
        <w:tc>
          <w:tcPr>
            <w:tcW w:w="964" w:type="dxa"/>
            <w:tcBorders>
              <w:tl2br w:val="nil"/>
              <w:tr2bl w:val="nil"/>
            </w:tcBorders>
            <w:noWrap w:val="0"/>
            <w:vAlign w:val="center"/>
          </w:tcPr>
          <w:p w14:paraId="13EA38AE">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-2</w:t>
            </w:r>
          </w:p>
        </w:tc>
        <w:tc>
          <w:tcPr>
            <w:tcW w:w="926" w:type="dxa"/>
            <w:tcBorders>
              <w:tl2br w:val="nil"/>
              <w:tr2bl w:val="nil"/>
            </w:tcBorders>
            <w:noWrap w:val="0"/>
            <w:vAlign w:val="center"/>
          </w:tcPr>
          <w:p w14:paraId="0754C60B">
            <w:pPr>
              <w:jc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rPr>
              <w:t>-2</w:t>
            </w:r>
          </w:p>
        </w:tc>
        <w:tc>
          <w:tcPr>
            <w:tcW w:w="927" w:type="dxa"/>
            <w:tcBorders>
              <w:tl2br w:val="nil"/>
              <w:tr2bl w:val="nil"/>
            </w:tcBorders>
            <w:noWrap w:val="0"/>
            <w:vAlign w:val="center"/>
          </w:tcPr>
          <w:p w14:paraId="5F7553F3">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2F0098F3">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-2</w:t>
            </w:r>
          </w:p>
        </w:tc>
        <w:tc>
          <w:tcPr>
            <w:tcW w:w="927" w:type="dxa"/>
            <w:tcBorders>
              <w:tl2br w:val="nil"/>
              <w:tr2bl w:val="nil"/>
            </w:tcBorders>
            <w:noWrap w:val="0"/>
            <w:vAlign w:val="center"/>
          </w:tcPr>
          <w:p w14:paraId="2FD7A674">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391F1F43">
            <w:pPr>
              <w:jc w:val="center"/>
              <w:rPr>
                <w:rFonts w:hint="default" w:ascii="Times New Roman" w:hAnsi="Times New Roman" w:eastAsia="宋体" w:cs="Times New Roman"/>
                <w:color w:val="auto"/>
                <w:spacing w:val="0"/>
                <w:w w:val="100"/>
                <w:position w:val="0"/>
                <w:sz w:val="21"/>
                <w:szCs w:val="21"/>
                <w:u w:val="none" w:color="auto"/>
              </w:rPr>
            </w:pPr>
          </w:p>
        </w:tc>
        <w:tc>
          <w:tcPr>
            <w:tcW w:w="933" w:type="dxa"/>
            <w:tcBorders>
              <w:tl2br w:val="nil"/>
              <w:tr2bl w:val="nil"/>
            </w:tcBorders>
            <w:noWrap w:val="0"/>
            <w:vAlign w:val="center"/>
          </w:tcPr>
          <w:p w14:paraId="6BF5E356">
            <w:pPr>
              <w:jc w:val="center"/>
              <w:rPr>
                <w:rFonts w:hint="default" w:ascii="Times New Roman" w:hAnsi="Times New Roman" w:eastAsia="宋体" w:cs="Times New Roman"/>
                <w:color w:val="auto"/>
                <w:spacing w:val="0"/>
                <w:w w:val="100"/>
                <w:position w:val="0"/>
                <w:sz w:val="21"/>
                <w:szCs w:val="21"/>
                <w:u w:val="none" w:color="auto"/>
              </w:rPr>
            </w:pPr>
          </w:p>
        </w:tc>
      </w:tr>
      <w:tr w14:paraId="610F4D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8" w:type="dxa"/>
            <w:vMerge w:val="continue"/>
            <w:tcBorders>
              <w:tl2br w:val="nil"/>
              <w:tr2bl w:val="nil"/>
            </w:tcBorders>
            <w:noWrap w:val="0"/>
            <w:vAlign w:val="center"/>
          </w:tcPr>
          <w:p w14:paraId="6BCD07A9">
            <w:pPr>
              <w:jc w:val="center"/>
              <w:rPr>
                <w:rFonts w:hint="default" w:ascii="Times New Roman" w:hAnsi="Times New Roman" w:eastAsia="宋体" w:cs="Times New Roman"/>
                <w:color w:val="auto"/>
                <w:spacing w:val="0"/>
                <w:w w:val="100"/>
                <w:position w:val="0"/>
                <w:sz w:val="21"/>
                <w:szCs w:val="21"/>
                <w:u w:val="none" w:color="auto"/>
              </w:rPr>
            </w:pPr>
          </w:p>
        </w:tc>
        <w:tc>
          <w:tcPr>
            <w:tcW w:w="1108" w:type="dxa"/>
            <w:tcBorders>
              <w:tl2br w:val="nil"/>
              <w:tr2bl w:val="nil"/>
            </w:tcBorders>
            <w:noWrap w:val="0"/>
            <w:vAlign w:val="center"/>
          </w:tcPr>
          <w:p w14:paraId="6E968EFF">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水生生态</w:t>
            </w:r>
          </w:p>
        </w:tc>
        <w:tc>
          <w:tcPr>
            <w:tcW w:w="964" w:type="dxa"/>
            <w:tcBorders>
              <w:tl2br w:val="nil"/>
              <w:tr2bl w:val="nil"/>
            </w:tcBorders>
            <w:noWrap w:val="0"/>
            <w:vAlign w:val="center"/>
          </w:tcPr>
          <w:p w14:paraId="240EB51D">
            <w:pPr>
              <w:jc w:val="center"/>
              <w:rPr>
                <w:rFonts w:hint="default" w:ascii="Times New Roman" w:hAnsi="Times New Roman" w:eastAsia="宋体" w:cs="Times New Roman"/>
                <w:color w:val="auto"/>
                <w:spacing w:val="0"/>
                <w:w w:val="100"/>
                <w:position w:val="0"/>
                <w:sz w:val="21"/>
                <w:szCs w:val="21"/>
                <w:u w:val="none" w:color="auto"/>
              </w:rPr>
            </w:pPr>
          </w:p>
        </w:tc>
        <w:tc>
          <w:tcPr>
            <w:tcW w:w="926" w:type="dxa"/>
            <w:tcBorders>
              <w:tl2br w:val="nil"/>
              <w:tr2bl w:val="nil"/>
            </w:tcBorders>
            <w:noWrap w:val="0"/>
            <w:vAlign w:val="center"/>
          </w:tcPr>
          <w:p w14:paraId="181512D1">
            <w:pPr>
              <w:jc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p>
        </w:tc>
        <w:tc>
          <w:tcPr>
            <w:tcW w:w="927" w:type="dxa"/>
            <w:tcBorders>
              <w:tl2br w:val="nil"/>
              <w:tr2bl w:val="nil"/>
            </w:tcBorders>
            <w:noWrap w:val="0"/>
            <w:vAlign w:val="center"/>
          </w:tcPr>
          <w:p w14:paraId="3EC7AB43">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1E2E6393">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2C348406">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237DFC71">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33" w:type="dxa"/>
            <w:tcBorders>
              <w:tl2br w:val="nil"/>
              <w:tr2bl w:val="nil"/>
            </w:tcBorders>
            <w:noWrap w:val="0"/>
            <w:vAlign w:val="center"/>
          </w:tcPr>
          <w:p w14:paraId="79F7FFBF">
            <w:pPr>
              <w:jc w:val="center"/>
              <w:rPr>
                <w:rFonts w:hint="default" w:ascii="Times New Roman" w:hAnsi="Times New Roman" w:eastAsia="宋体" w:cs="Times New Roman"/>
                <w:color w:val="auto"/>
                <w:spacing w:val="0"/>
                <w:w w:val="100"/>
                <w:position w:val="0"/>
                <w:sz w:val="21"/>
                <w:szCs w:val="21"/>
                <w:u w:val="none" w:color="auto"/>
              </w:rPr>
            </w:pPr>
          </w:p>
        </w:tc>
      </w:tr>
      <w:tr w14:paraId="34B6C5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826" w:type="dxa"/>
            <w:gridSpan w:val="2"/>
            <w:tcBorders>
              <w:tl2br w:val="nil"/>
              <w:tr2bl w:val="nil"/>
            </w:tcBorders>
            <w:noWrap w:val="0"/>
            <w:vAlign w:val="center"/>
          </w:tcPr>
          <w:p w14:paraId="4EEC6A67">
            <w:pPr>
              <w:jc w:val="center"/>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lang w:eastAsia="zh-CN"/>
              </w:rPr>
              <w:t>风险</w:t>
            </w:r>
          </w:p>
        </w:tc>
        <w:tc>
          <w:tcPr>
            <w:tcW w:w="964" w:type="dxa"/>
            <w:tcBorders>
              <w:tl2br w:val="nil"/>
              <w:tr2bl w:val="nil"/>
            </w:tcBorders>
            <w:noWrap w:val="0"/>
            <w:vAlign w:val="center"/>
          </w:tcPr>
          <w:p w14:paraId="54AD5608">
            <w:pPr>
              <w:jc w:val="center"/>
              <w:rPr>
                <w:rFonts w:hint="default" w:ascii="Times New Roman" w:hAnsi="Times New Roman" w:eastAsia="宋体" w:cs="Times New Roman"/>
                <w:color w:val="auto"/>
                <w:spacing w:val="0"/>
                <w:w w:val="100"/>
                <w:position w:val="0"/>
                <w:sz w:val="21"/>
                <w:szCs w:val="21"/>
                <w:u w:val="none" w:color="auto"/>
              </w:rPr>
            </w:pPr>
          </w:p>
        </w:tc>
        <w:tc>
          <w:tcPr>
            <w:tcW w:w="926" w:type="dxa"/>
            <w:tcBorders>
              <w:tl2br w:val="nil"/>
              <w:tr2bl w:val="nil"/>
            </w:tcBorders>
            <w:noWrap w:val="0"/>
            <w:vAlign w:val="center"/>
          </w:tcPr>
          <w:p w14:paraId="63293CC2">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450565D1">
            <w:pPr>
              <w:jc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p>
        </w:tc>
        <w:tc>
          <w:tcPr>
            <w:tcW w:w="927" w:type="dxa"/>
            <w:tcBorders>
              <w:tl2br w:val="nil"/>
              <w:tr2bl w:val="nil"/>
            </w:tcBorders>
            <w:noWrap w:val="0"/>
            <w:vAlign w:val="center"/>
          </w:tcPr>
          <w:p w14:paraId="6DAF9630">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171456F4">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3DEDC9DD">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33" w:type="dxa"/>
            <w:tcBorders>
              <w:tl2br w:val="nil"/>
              <w:tr2bl w:val="nil"/>
            </w:tcBorders>
            <w:noWrap w:val="0"/>
            <w:vAlign w:val="center"/>
          </w:tcPr>
          <w:p w14:paraId="4DAB5E55">
            <w:pPr>
              <w:jc w:val="center"/>
              <w:rPr>
                <w:rFonts w:hint="default" w:ascii="Times New Roman" w:hAnsi="Times New Roman" w:eastAsia="宋体" w:cs="Times New Roman"/>
                <w:color w:val="auto"/>
                <w:spacing w:val="0"/>
                <w:w w:val="100"/>
                <w:position w:val="0"/>
                <w:sz w:val="21"/>
                <w:szCs w:val="21"/>
                <w:u w:val="none" w:color="auto"/>
              </w:rPr>
            </w:pPr>
          </w:p>
        </w:tc>
      </w:tr>
      <w:tr w14:paraId="443667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8" w:type="dxa"/>
            <w:vMerge w:val="restart"/>
            <w:tcBorders>
              <w:tl2br w:val="nil"/>
              <w:tr2bl w:val="nil"/>
            </w:tcBorders>
            <w:noWrap w:val="0"/>
            <w:vAlign w:val="center"/>
          </w:tcPr>
          <w:p w14:paraId="6B6BA0A2">
            <w:pPr>
              <w:jc w:val="center"/>
              <w:rPr>
                <w:rFonts w:hint="default" w:ascii="Times New Roman" w:hAnsi="Times New Roman" w:eastAsia="宋体" w:cs="Times New Roman"/>
                <w:color w:val="auto"/>
                <w:spacing w:val="0"/>
                <w:w w:val="100"/>
                <w:position w:val="0"/>
                <w:sz w:val="21"/>
                <w:szCs w:val="21"/>
                <w:u w:val="none" w:color="auto"/>
              </w:rPr>
            </w:pPr>
          </w:p>
          <w:p w14:paraId="221E522D">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社会环境</w:t>
            </w:r>
          </w:p>
        </w:tc>
        <w:tc>
          <w:tcPr>
            <w:tcW w:w="1108" w:type="dxa"/>
            <w:tcBorders>
              <w:tl2br w:val="nil"/>
              <w:tr2bl w:val="nil"/>
            </w:tcBorders>
            <w:noWrap w:val="0"/>
            <w:vAlign w:val="center"/>
          </w:tcPr>
          <w:p w14:paraId="56B7AED5">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社会经济</w:t>
            </w:r>
          </w:p>
        </w:tc>
        <w:tc>
          <w:tcPr>
            <w:tcW w:w="964" w:type="dxa"/>
            <w:tcBorders>
              <w:tl2br w:val="nil"/>
              <w:tr2bl w:val="nil"/>
            </w:tcBorders>
            <w:noWrap w:val="0"/>
            <w:vAlign w:val="center"/>
          </w:tcPr>
          <w:p w14:paraId="29EA4862">
            <w:pPr>
              <w:jc w:val="center"/>
              <w:rPr>
                <w:rFonts w:hint="default" w:ascii="Times New Roman" w:hAnsi="Times New Roman" w:eastAsia="宋体" w:cs="Times New Roman"/>
                <w:color w:val="auto"/>
                <w:spacing w:val="0"/>
                <w:w w:val="100"/>
                <w:position w:val="0"/>
                <w:sz w:val="21"/>
                <w:szCs w:val="21"/>
                <w:u w:val="none" w:color="auto"/>
              </w:rPr>
            </w:pPr>
          </w:p>
        </w:tc>
        <w:tc>
          <w:tcPr>
            <w:tcW w:w="926" w:type="dxa"/>
            <w:tcBorders>
              <w:tl2br w:val="nil"/>
              <w:tr2bl w:val="nil"/>
            </w:tcBorders>
            <w:noWrap w:val="0"/>
            <w:vAlign w:val="center"/>
          </w:tcPr>
          <w:p w14:paraId="53A72B6B">
            <w:pPr>
              <w:jc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p>
        </w:tc>
        <w:tc>
          <w:tcPr>
            <w:tcW w:w="927" w:type="dxa"/>
            <w:tcBorders>
              <w:tl2br w:val="nil"/>
              <w:tr2bl w:val="nil"/>
            </w:tcBorders>
            <w:noWrap w:val="0"/>
            <w:vAlign w:val="center"/>
          </w:tcPr>
          <w:p w14:paraId="2242E738">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70B2497E">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09FC16F9">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652033CC">
            <w:pPr>
              <w:jc w:val="center"/>
              <w:rPr>
                <w:rFonts w:hint="default" w:ascii="Times New Roman" w:hAnsi="Times New Roman" w:eastAsia="宋体" w:cs="Times New Roman"/>
                <w:color w:val="auto"/>
                <w:spacing w:val="0"/>
                <w:w w:val="100"/>
                <w:position w:val="0"/>
                <w:sz w:val="21"/>
                <w:szCs w:val="21"/>
                <w:u w:val="none" w:color="auto"/>
              </w:rPr>
            </w:pPr>
          </w:p>
        </w:tc>
        <w:tc>
          <w:tcPr>
            <w:tcW w:w="933" w:type="dxa"/>
            <w:tcBorders>
              <w:tl2br w:val="nil"/>
              <w:tr2bl w:val="nil"/>
            </w:tcBorders>
            <w:noWrap w:val="0"/>
            <w:vAlign w:val="center"/>
          </w:tcPr>
          <w:p w14:paraId="68912D30">
            <w:pPr>
              <w:jc w:val="center"/>
              <w:rPr>
                <w:rFonts w:hint="default" w:ascii="Times New Roman" w:hAnsi="Times New Roman" w:eastAsia="宋体" w:cs="Times New Roman"/>
                <w:color w:val="auto"/>
                <w:spacing w:val="0"/>
                <w:w w:val="100"/>
                <w:position w:val="0"/>
                <w:sz w:val="21"/>
                <w:szCs w:val="21"/>
                <w:u w:val="none" w:color="auto"/>
              </w:rPr>
            </w:pPr>
          </w:p>
        </w:tc>
      </w:tr>
      <w:tr w14:paraId="5C0E07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8" w:type="dxa"/>
            <w:vMerge w:val="continue"/>
            <w:tcBorders>
              <w:tl2br w:val="nil"/>
              <w:tr2bl w:val="nil"/>
            </w:tcBorders>
            <w:noWrap w:val="0"/>
            <w:vAlign w:val="center"/>
          </w:tcPr>
          <w:p w14:paraId="3AA1CF88">
            <w:pPr>
              <w:jc w:val="center"/>
              <w:rPr>
                <w:rFonts w:hint="default" w:ascii="Times New Roman" w:hAnsi="Times New Roman" w:eastAsia="宋体" w:cs="Times New Roman"/>
                <w:color w:val="auto"/>
                <w:spacing w:val="0"/>
                <w:w w:val="100"/>
                <w:position w:val="0"/>
                <w:sz w:val="21"/>
                <w:szCs w:val="21"/>
                <w:u w:val="none" w:color="auto"/>
              </w:rPr>
            </w:pPr>
          </w:p>
        </w:tc>
        <w:tc>
          <w:tcPr>
            <w:tcW w:w="1108" w:type="dxa"/>
            <w:tcBorders>
              <w:tl2br w:val="nil"/>
              <w:tr2bl w:val="nil"/>
            </w:tcBorders>
            <w:noWrap w:val="0"/>
            <w:vAlign w:val="center"/>
          </w:tcPr>
          <w:p w14:paraId="5B2EAE1A">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土地利用</w:t>
            </w:r>
          </w:p>
        </w:tc>
        <w:tc>
          <w:tcPr>
            <w:tcW w:w="964" w:type="dxa"/>
            <w:tcBorders>
              <w:tl2br w:val="nil"/>
              <w:tr2bl w:val="nil"/>
            </w:tcBorders>
            <w:noWrap w:val="0"/>
            <w:vAlign w:val="center"/>
          </w:tcPr>
          <w:p w14:paraId="6701651C">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6" w:type="dxa"/>
            <w:tcBorders>
              <w:tl2br w:val="nil"/>
              <w:tr2bl w:val="nil"/>
            </w:tcBorders>
            <w:noWrap w:val="0"/>
            <w:vAlign w:val="center"/>
          </w:tcPr>
          <w:p w14:paraId="4E73B45F">
            <w:pPr>
              <w:jc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1153D429">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55FF2933">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5943416C">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4E71042B">
            <w:pPr>
              <w:jc w:val="center"/>
              <w:rPr>
                <w:rFonts w:hint="default" w:ascii="Times New Roman" w:hAnsi="Times New Roman" w:eastAsia="宋体" w:cs="Times New Roman"/>
                <w:color w:val="auto"/>
                <w:spacing w:val="0"/>
                <w:w w:val="100"/>
                <w:position w:val="0"/>
                <w:sz w:val="21"/>
                <w:szCs w:val="21"/>
                <w:u w:val="none" w:color="auto"/>
              </w:rPr>
            </w:pPr>
          </w:p>
        </w:tc>
        <w:tc>
          <w:tcPr>
            <w:tcW w:w="933" w:type="dxa"/>
            <w:tcBorders>
              <w:tl2br w:val="nil"/>
              <w:tr2bl w:val="nil"/>
            </w:tcBorders>
            <w:noWrap w:val="0"/>
            <w:vAlign w:val="center"/>
          </w:tcPr>
          <w:p w14:paraId="45E020C5">
            <w:pPr>
              <w:jc w:val="center"/>
              <w:rPr>
                <w:rFonts w:hint="default" w:ascii="Times New Roman" w:hAnsi="Times New Roman" w:eastAsia="宋体" w:cs="Times New Roman"/>
                <w:color w:val="auto"/>
                <w:spacing w:val="0"/>
                <w:w w:val="100"/>
                <w:position w:val="0"/>
                <w:sz w:val="21"/>
                <w:szCs w:val="21"/>
                <w:u w:val="none" w:color="auto"/>
              </w:rPr>
            </w:pPr>
          </w:p>
        </w:tc>
      </w:tr>
      <w:tr w14:paraId="57DDCB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8" w:type="dxa"/>
            <w:vMerge w:val="continue"/>
            <w:tcBorders>
              <w:tl2br w:val="nil"/>
              <w:tr2bl w:val="nil"/>
            </w:tcBorders>
            <w:noWrap w:val="0"/>
            <w:vAlign w:val="center"/>
          </w:tcPr>
          <w:p w14:paraId="094F57D2">
            <w:pPr>
              <w:jc w:val="center"/>
              <w:rPr>
                <w:rFonts w:hint="default" w:ascii="Times New Roman" w:hAnsi="Times New Roman" w:eastAsia="宋体" w:cs="Times New Roman"/>
                <w:color w:val="auto"/>
                <w:spacing w:val="0"/>
                <w:w w:val="100"/>
                <w:position w:val="0"/>
                <w:sz w:val="21"/>
                <w:szCs w:val="21"/>
                <w:u w:val="none" w:color="auto"/>
              </w:rPr>
            </w:pPr>
          </w:p>
        </w:tc>
        <w:tc>
          <w:tcPr>
            <w:tcW w:w="1108" w:type="dxa"/>
            <w:tcBorders>
              <w:tl2br w:val="nil"/>
              <w:tr2bl w:val="nil"/>
            </w:tcBorders>
            <w:noWrap w:val="0"/>
            <w:vAlign w:val="center"/>
          </w:tcPr>
          <w:p w14:paraId="74A8BAA5">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水资源利用</w:t>
            </w:r>
          </w:p>
        </w:tc>
        <w:tc>
          <w:tcPr>
            <w:tcW w:w="964" w:type="dxa"/>
            <w:tcBorders>
              <w:tl2br w:val="nil"/>
              <w:tr2bl w:val="nil"/>
            </w:tcBorders>
            <w:noWrap w:val="0"/>
            <w:vAlign w:val="center"/>
          </w:tcPr>
          <w:p w14:paraId="15405078">
            <w:pPr>
              <w:jc w:val="center"/>
              <w:rPr>
                <w:rFonts w:hint="default" w:ascii="Times New Roman" w:hAnsi="Times New Roman" w:eastAsia="宋体" w:cs="Times New Roman"/>
                <w:color w:val="auto"/>
                <w:spacing w:val="0"/>
                <w:w w:val="100"/>
                <w:position w:val="0"/>
                <w:sz w:val="21"/>
                <w:szCs w:val="21"/>
                <w:u w:val="none" w:color="auto"/>
              </w:rPr>
            </w:pPr>
          </w:p>
        </w:tc>
        <w:tc>
          <w:tcPr>
            <w:tcW w:w="926" w:type="dxa"/>
            <w:tcBorders>
              <w:tl2br w:val="nil"/>
              <w:tr2bl w:val="nil"/>
            </w:tcBorders>
            <w:noWrap w:val="0"/>
            <w:vAlign w:val="center"/>
          </w:tcPr>
          <w:p w14:paraId="7547D3CC">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2CC8A5F1">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089E0640">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3C202C70">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4FB946A3">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+2</w:t>
            </w:r>
          </w:p>
        </w:tc>
        <w:tc>
          <w:tcPr>
            <w:tcW w:w="933" w:type="dxa"/>
            <w:tcBorders>
              <w:tl2br w:val="nil"/>
              <w:tr2bl w:val="nil"/>
            </w:tcBorders>
            <w:noWrap w:val="0"/>
            <w:vAlign w:val="center"/>
          </w:tcPr>
          <w:p w14:paraId="455776A0">
            <w:pPr>
              <w:jc w:val="center"/>
              <w:rPr>
                <w:rFonts w:hint="default" w:ascii="Times New Roman" w:hAnsi="Times New Roman" w:eastAsia="宋体" w:cs="Times New Roman"/>
                <w:color w:val="auto"/>
                <w:spacing w:val="0"/>
                <w:w w:val="100"/>
                <w:position w:val="0"/>
                <w:sz w:val="21"/>
                <w:szCs w:val="21"/>
                <w:u w:val="none" w:color="auto"/>
              </w:rPr>
            </w:pPr>
          </w:p>
        </w:tc>
      </w:tr>
      <w:tr w14:paraId="6FBE17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8" w:type="dxa"/>
            <w:vMerge w:val="continue"/>
            <w:tcBorders>
              <w:tl2br w:val="nil"/>
              <w:tr2bl w:val="nil"/>
            </w:tcBorders>
            <w:noWrap w:val="0"/>
            <w:vAlign w:val="center"/>
          </w:tcPr>
          <w:p w14:paraId="0D797D01">
            <w:pPr>
              <w:jc w:val="center"/>
              <w:rPr>
                <w:rFonts w:hint="default" w:ascii="Times New Roman" w:hAnsi="Times New Roman" w:eastAsia="宋体" w:cs="Times New Roman"/>
                <w:color w:val="auto"/>
                <w:spacing w:val="0"/>
                <w:w w:val="100"/>
                <w:position w:val="0"/>
                <w:sz w:val="21"/>
                <w:szCs w:val="21"/>
                <w:u w:val="none" w:color="auto"/>
              </w:rPr>
            </w:pPr>
          </w:p>
        </w:tc>
        <w:tc>
          <w:tcPr>
            <w:tcW w:w="1108" w:type="dxa"/>
            <w:tcBorders>
              <w:tl2br w:val="nil"/>
              <w:tr2bl w:val="nil"/>
            </w:tcBorders>
            <w:noWrap w:val="0"/>
            <w:vAlign w:val="center"/>
          </w:tcPr>
          <w:p w14:paraId="3A67999E">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人群健康</w:t>
            </w:r>
          </w:p>
        </w:tc>
        <w:tc>
          <w:tcPr>
            <w:tcW w:w="964" w:type="dxa"/>
            <w:tcBorders>
              <w:tl2br w:val="nil"/>
              <w:tr2bl w:val="nil"/>
            </w:tcBorders>
            <w:noWrap w:val="0"/>
            <w:vAlign w:val="center"/>
          </w:tcPr>
          <w:p w14:paraId="4CE04900">
            <w:pPr>
              <w:jc w:val="center"/>
              <w:rPr>
                <w:rFonts w:hint="default" w:ascii="Times New Roman" w:hAnsi="Times New Roman" w:eastAsia="宋体" w:cs="Times New Roman"/>
                <w:color w:val="auto"/>
                <w:spacing w:val="0"/>
                <w:w w:val="100"/>
                <w:position w:val="0"/>
                <w:sz w:val="21"/>
                <w:szCs w:val="21"/>
                <w:u w:val="none" w:color="auto"/>
              </w:rPr>
            </w:pPr>
          </w:p>
        </w:tc>
        <w:tc>
          <w:tcPr>
            <w:tcW w:w="926" w:type="dxa"/>
            <w:tcBorders>
              <w:tl2br w:val="nil"/>
              <w:tr2bl w:val="nil"/>
            </w:tcBorders>
            <w:noWrap w:val="0"/>
            <w:vAlign w:val="center"/>
          </w:tcPr>
          <w:p w14:paraId="3D2F000B">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750EE69B">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5B59B84E">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27" w:type="dxa"/>
            <w:tcBorders>
              <w:tl2br w:val="nil"/>
              <w:tr2bl w:val="nil"/>
            </w:tcBorders>
            <w:noWrap w:val="0"/>
            <w:vAlign w:val="center"/>
          </w:tcPr>
          <w:p w14:paraId="205B734C">
            <w:pPr>
              <w:jc w:val="center"/>
              <w:rPr>
                <w:rFonts w:hint="default" w:ascii="Times New Roman" w:hAnsi="Times New Roman" w:eastAsia="宋体" w:cs="Times New Roman"/>
                <w:color w:val="auto"/>
                <w:spacing w:val="0"/>
                <w:w w:val="100"/>
                <w:position w:val="0"/>
                <w:sz w:val="21"/>
                <w:szCs w:val="21"/>
                <w:u w:val="none" w:color="auto"/>
              </w:rPr>
            </w:pPr>
          </w:p>
        </w:tc>
        <w:tc>
          <w:tcPr>
            <w:tcW w:w="927" w:type="dxa"/>
            <w:tcBorders>
              <w:tl2br w:val="nil"/>
              <w:tr2bl w:val="nil"/>
            </w:tcBorders>
            <w:noWrap w:val="0"/>
            <w:vAlign w:val="center"/>
          </w:tcPr>
          <w:p w14:paraId="5DEF780E">
            <w:pPr>
              <w:jc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+1</w:t>
            </w:r>
          </w:p>
        </w:tc>
        <w:tc>
          <w:tcPr>
            <w:tcW w:w="933" w:type="dxa"/>
            <w:tcBorders>
              <w:tl2br w:val="nil"/>
              <w:tr2bl w:val="nil"/>
            </w:tcBorders>
            <w:noWrap w:val="0"/>
            <w:vAlign w:val="center"/>
          </w:tcPr>
          <w:p w14:paraId="35E5FCDA">
            <w:pPr>
              <w:jc w:val="center"/>
              <w:rPr>
                <w:rFonts w:hint="default" w:ascii="Times New Roman" w:hAnsi="Times New Roman" w:eastAsia="宋体" w:cs="Times New Roman"/>
                <w:color w:val="auto"/>
                <w:spacing w:val="0"/>
                <w:w w:val="100"/>
                <w:position w:val="0"/>
                <w:sz w:val="21"/>
                <w:szCs w:val="21"/>
                <w:u w:val="none" w:color="auto"/>
              </w:rPr>
            </w:pPr>
          </w:p>
        </w:tc>
      </w:tr>
    </w:tbl>
    <w:p w14:paraId="11E58304">
      <w:pPr>
        <w:keepNext w:val="0"/>
        <w:keepLines w:val="0"/>
        <w:pageBreakBefore w:val="0"/>
        <w:kinsoku/>
        <w:wordWrap/>
        <w:overflowPunct/>
        <w:topLinePunct w:val="0"/>
        <w:autoSpaceDE/>
        <w:autoSpaceDN/>
        <w:bidi w:val="0"/>
        <w:adjustRightInd/>
        <w:snapToGrid/>
        <w:spacing w:beforeAutospacing="0" w:afterAutospacing="0" w:line="240" w:lineRule="auto"/>
        <w:ind w:left="0"/>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说明：</w:t>
      </w:r>
      <w:r>
        <w:rPr>
          <w:rFonts w:hint="default" w:ascii="Times New Roman" w:hAnsi="Times New Roman" w:eastAsia="宋体" w:cs="Times New Roman"/>
          <w:b/>
          <w:bCs/>
          <w:color w:val="auto"/>
          <w:spacing w:val="0"/>
          <w:w w:val="100"/>
          <w:position w:val="0"/>
          <w:sz w:val="21"/>
          <w:szCs w:val="21"/>
          <w:u w:val="none" w:color="auto"/>
          <w:lang w:val="en-US" w:eastAsia="zh-CN"/>
        </w:rPr>
        <w:t>+</w:t>
      </w:r>
      <w:r>
        <w:rPr>
          <w:rFonts w:hint="default" w:ascii="Times New Roman" w:hAnsi="Times New Roman" w:eastAsia="Times New Roman" w:cs="Times New Roman"/>
          <w:b/>
          <w:bCs/>
          <w:color w:val="auto"/>
          <w:spacing w:val="0"/>
          <w:w w:val="100"/>
          <w:position w:val="0"/>
          <w:sz w:val="21"/>
          <w:szCs w:val="21"/>
          <w:u w:val="none" w:color="auto"/>
        </w:rPr>
        <w:t>/</w:t>
      </w:r>
      <w:r>
        <w:rPr>
          <w:rFonts w:hint="default" w:ascii="Times New Roman" w:hAnsi="Times New Roman" w:eastAsia="宋体" w:cs="Times New Roman"/>
          <w:b/>
          <w:bCs/>
          <w:color w:val="auto"/>
          <w:spacing w:val="0"/>
          <w:w w:val="100"/>
          <w:position w:val="0"/>
          <w:sz w:val="21"/>
          <w:szCs w:val="21"/>
          <w:u w:val="none" w:color="auto"/>
          <w:lang w:val="en-US" w:eastAsia="zh-CN"/>
        </w:rPr>
        <w:t>-</w:t>
      </w:r>
      <w:r>
        <w:rPr>
          <w:rFonts w:hint="default" w:ascii="Times New Roman" w:hAnsi="Times New Roman" w:eastAsia="宋体" w:cs="Times New Roman"/>
          <w:b/>
          <w:bCs/>
          <w:color w:val="auto"/>
          <w:spacing w:val="0"/>
          <w:w w:val="100"/>
          <w:position w:val="0"/>
          <w:sz w:val="21"/>
          <w:szCs w:val="21"/>
          <w:u w:val="none" w:color="auto"/>
        </w:rPr>
        <w:t>：不利</w:t>
      </w:r>
      <w:r>
        <w:rPr>
          <w:rFonts w:hint="default" w:ascii="Times New Roman" w:hAnsi="Times New Roman" w:eastAsia="Times New Roman" w:cs="Times New Roman"/>
          <w:b/>
          <w:bCs/>
          <w:color w:val="auto"/>
          <w:spacing w:val="0"/>
          <w:w w:val="100"/>
          <w:position w:val="0"/>
          <w:sz w:val="21"/>
          <w:szCs w:val="21"/>
          <w:u w:val="none" w:color="auto"/>
        </w:rPr>
        <w:t>/</w:t>
      </w:r>
      <w:r>
        <w:rPr>
          <w:rFonts w:hint="default" w:ascii="Times New Roman" w:hAnsi="Times New Roman" w:eastAsia="宋体" w:cs="Times New Roman"/>
          <w:b/>
          <w:bCs/>
          <w:color w:val="auto"/>
          <w:spacing w:val="0"/>
          <w:w w:val="100"/>
          <w:position w:val="0"/>
          <w:sz w:val="21"/>
          <w:szCs w:val="21"/>
          <w:u w:val="none" w:color="auto"/>
        </w:rPr>
        <w:t>有利影响。</w:t>
      </w:r>
      <w:r>
        <w:rPr>
          <w:rFonts w:hint="default" w:ascii="Times New Roman" w:hAnsi="Times New Roman" w:eastAsia="Times New Roman" w:cs="Times New Roman"/>
          <w:b/>
          <w:bCs/>
          <w:color w:val="auto"/>
          <w:spacing w:val="0"/>
          <w:w w:val="100"/>
          <w:position w:val="0"/>
          <w:sz w:val="21"/>
          <w:szCs w:val="21"/>
          <w:u w:val="none" w:color="auto"/>
        </w:rPr>
        <w:t>“1”</w:t>
      </w:r>
      <w:r>
        <w:rPr>
          <w:rFonts w:hint="default" w:ascii="Times New Roman" w:hAnsi="Times New Roman" w:eastAsia="宋体" w:cs="Times New Roman"/>
          <w:b/>
          <w:bCs/>
          <w:color w:val="auto"/>
          <w:spacing w:val="0"/>
          <w:w w:val="100"/>
          <w:position w:val="0"/>
          <w:sz w:val="21"/>
          <w:szCs w:val="21"/>
          <w:u w:val="none" w:color="auto"/>
        </w:rPr>
        <w:t>表示影响较小；</w:t>
      </w:r>
      <w:r>
        <w:rPr>
          <w:rFonts w:hint="default" w:ascii="Times New Roman" w:hAnsi="Times New Roman" w:eastAsia="Times New Roman" w:cs="Times New Roman"/>
          <w:b/>
          <w:bCs/>
          <w:color w:val="auto"/>
          <w:spacing w:val="0"/>
          <w:w w:val="100"/>
          <w:position w:val="0"/>
          <w:sz w:val="21"/>
          <w:szCs w:val="21"/>
          <w:u w:val="none" w:color="auto"/>
        </w:rPr>
        <w:t>“2”</w:t>
      </w:r>
      <w:r>
        <w:rPr>
          <w:rFonts w:hint="default" w:ascii="Times New Roman" w:hAnsi="Times New Roman" w:eastAsia="宋体" w:cs="Times New Roman"/>
          <w:b/>
          <w:bCs/>
          <w:color w:val="auto"/>
          <w:spacing w:val="0"/>
          <w:w w:val="100"/>
          <w:position w:val="0"/>
          <w:sz w:val="21"/>
          <w:szCs w:val="21"/>
          <w:u w:val="none" w:color="auto"/>
        </w:rPr>
        <w:t>表示影响中等；</w:t>
      </w:r>
      <w:r>
        <w:rPr>
          <w:rFonts w:hint="default" w:ascii="Times New Roman" w:hAnsi="Times New Roman" w:eastAsia="Times New Roman" w:cs="Times New Roman"/>
          <w:b/>
          <w:bCs/>
          <w:color w:val="auto"/>
          <w:spacing w:val="0"/>
          <w:w w:val="100"/>
          <w:position w:val="0"/>
          <w:sz w:val="21"/>
          <w:szCs w:val="21"/>
          <w:u w:val="none" w:color="auto"/>
        </w:rPr>
        <w:t>“3”</w:t>
      </w:r>
      <w:r>
        <w:rPr>
          <w:rFonts w:hint="default" w:ascii="Times New Roman" w:hAnsi="Times New Roman" w:eastAsia="宋体" w:cs="Times New Roman"/>
          <w:b/>
          <w:bCs/>
          <w:color w:val="auto"/>
          <w:spacing w:val="0"/>
          <w:w w:val="100"/>
          <w:position w:val="0"/>
          <w:sz w:val="21"/>
          <w:szCs w:val="21"/>
          <w:u w:val="none" w:color="auto"/>
        </w:rPr>
        <w:t>表示影响较大</w:t>
      </w:r>
      <w:r>
        <w:rPr>
          <w:rFonts w:hint="default" w:ascii="Times New Roman" w:hAnsi="Times New Roman" w:eastAsia="宋体" w:cs="Times New Roman"/>
          <w:b/>
          <w:bCs/>
          <w:color w:val="auto"/>
          <w:spacing w:val="0"/>
          <w:w w:val="100"/>
          <w:position w:val="0"/>
          <w:sz w:val="21"/>
          <w:szCs w:val="21"/>
          <w:u w:val="none" w:color="auto"/>
          <w:lang w:eastAsia="zh-CN"/>
        </w:rPr>
        <w:t>；空白：无影响或基本无影响</w:t>
      </w:r>
      <w:r>
        <w:rPr>
          <w:rFonts w:hint="default" w:ascii="Times New Roman" w:hAnsi="Times New Roman" w:eastAsia="宋体" w:cs="Times New Roman"/>
          <w:b/>
          <w:bCs/>
          <w:color w:val="auto"/>
          <w:spacing w:val="0"/>
          <w:w w:val="100"/>
          <w:position w:val="0"/>
          <w:sz w:val="21"/>
          <w:szCs w:val="21"/>
          <w:u w:val="none" w:color="auto"/>
        </w:rPr>
        <w:t>。</w:t>
      </w:r>
    </w:p>
    <w:p w14:paraId="61D9D8EC">
      <w:pPr>
        <w:pStyle w:val="4"/>
        <w:bidi w:val="0"/>
        <w:rPr>
          <w:rFonts w:hint="default" w:ascii="Times New Roman" w:hAnsi="Times New Roman" w:cs="Times New Roman"/>
        </w:rPr>
      </w:pPr>
      <w:bookmarkStart w:id="52" w:name="_Toc14689"/>
      <w:bookmarkStart w:id="53" w:name="bookmark71"/>
      <w:bookmarkStart w:id="54" w:name="bookmark70"/>
      <w:r>
        <w:rPr>
          <w:rFonts w:hint="default" w:ascii="Times New Roman" w:hAnsi="Times New Roman" w:cs="Times New Roman"/>
        </w:rPr>
        <w:t>评价因子确定</w:t>
      </w:r>
      <w:bookmarkEnd w:id="52"/>
      <w:bookmarkEnd w:id="53"/>
      <w:bookmarkEnd w:id="54"/>
    </w:p>
    <w:p w14:paraId="28CCCE29">
      <w:pPr>
        <w:pStyle w:val="19"/>
        <w:keepNext w:val="0"/>
        <w:keepLines w:val="0"/>
        <w:pageBreakBefore w:val="0"/>
        <w:widowControl w:val="0"/>
        <w:kinsoku w:val="0"/>
        <w:wordWrap w:val="0"/>
        <w:overflowPunct/>
        <w:topLinePunct/>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bidi="ar-SA"/>
        </w:rPr>
      </w:pPr>
      <w:r>
        <w:rPr>
          <w:rFonts w:hint="default" w:ascii="Times New Roman" w:hAnsi="Times New Roman" w:eastAsia="宋体" w:cs="Times New Roman"/>
          <w:color w:val="auto"/>
          <w:spacing w:val="0"/>
          <w:w w:val="100"/>
          <w:position w:val="0"/>
          <w:sz w:val="24"/>
          <w:szCs w:val="24"/>
          <w:u w:val="none" w:color="auto"/>
        </w:rPr>
        <w:t>通过对工程环境影响识别，结合区域环境敏感性，以及相互影响关系的初步分析，确定本项目各环境要素影响评价因子见表</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bidi="ar-SA"/>
        </w:rPr>
        <w:t>1.3-2。</w:t>
      </w:r>
    </w:p>
    <w:p w14:paraId="15B0E878">
      <w:pPr>
        <w:pageBreakBefore w:val="0"/>
        <w:kinsoku w:val="0"/>
        <w:wordWrap w:val="0"/>
        <w:overflowPunct/>
        <w:topLinePunct/>
        <w:autoSpaceDE/>
        <w:autoSpaceDN/>
        <w:bidi w:val="0"/>
        <w:jc w:val="center"/>
        <w:rPr>
          <w:rFonts w:hint="default" w:ascii="Times New Roman" w:hAnsi="Times New Roman" w:eastAsia="宋体" w:cs="Times New Roman"/>
          <w:b/>
          <w:caps w:val="0"/>
          <w:smallCaps w:val="0"/>
          <w:color w:val="auto"/>
          <w:spacing w:val="0"/>
          <w:w w:val="100"/>
          <w:position w:val="0"/>
          <w:sz w:val="24"/>
          <w:szCs w:val="24"/>
          <w:u w:val="none" w:color="auto"/>
        </w:rPr>
      </w:pPr>
      <w:r>
        <w:rPr>
          <w:rFonts w:hint="default" w:ascii="Times New Roman" w:hAnsi="Times New Roman" w:eastAsia="宋体" w:cs="Times New Roman"/>
          <w:b/>
          <w:caps w:val="0"/>
          <w:smallCaps w:val="0"/>
          <w:color w:val="auto"/>
          <w:spacing w:val="0"/>
          <w:w w:val="100"/>
          <w:position w:val="0"/>
          <w:sz w:val="24"/>
          <w:szCs w:val="24"/>
          <w:u w:val="none" w:color="auto"/>
        </w:rPr>
        <w:t>表1.</w:t>
      </w:r>
      <w:r>
        <w:rPr>
          <w:rFonts w:hint="default" w:ascii="Times New Roman" w:hAnsi="Times New Roman" w:eastAsia="宋体" w:cs="Times New Roman"/>
          <w:b/>
          <w:caps w:val="0"/>
          <w:smallCaps w:val="0"/>
          <w:color w:val="auto"/>
          <w:spacing w:val="0"/>
          <w:w w:val="100"/>
          <w:position w:val="0"/>
          <w:sz w:val="24"/>
          <w:szCs w:val="24"/>
          <w:u w:val="none" w:color="auto"/>
          <w:lang w:val="en-US" w:eastAsia="zh-CN"/>
        </w:rPr>
        <w:t xml:space="preserve">3-2  </w:t>
      </w:r>
      <w:r>
        <w:rPr>
          <w:rFonts w:hint="default" w:ascii="Times New Roman" w:hAnsi="Times New Roman" w:eastAsia="宋体" w:cs="Times New Roman"/>
          <w:b/>
          <w:caps w:val="0"/>
          <w:smallCaps w:val="0"/>
          <w:color w:val="auto"/>
          <w:spacing w:val="0"/>
          <w:w w:val="100"/>
          <w:position w:val="0"/>
          <w:sz w:val="24"/>
          <w:szCs w:val="24"/>
          <w:u w:val="none" w:color="auto"/>
        </w:rPr>
        <w:t>评价因子一览表</w:t>
      </w:r>
    </w:p>
    <w:tbl>
      <w:tblPr>
        <w:tblStyle w:val="95"/>
        <w:tblW w:w="5036"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254"/>
        <w:gridCol w:w="4760"/>
        <w:gridCol w:w="2376"/>
      </w:tblGrid>
      <w:tr w14:paraId="4A3960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0" w:type="dxa"/>
            <w:tcBorders>
              <w:tl2br w:val="nil"/>
              <w:tr2bl w:val="nil"/>
            </w:tcBorders>
            <w:noWrap w:val="0"/>
            <w:vAlign w:val="center"/>
          </w:tcPr>
          <w:p w14:paraId="41301819">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lang w:eastAsia="zh-CN"/>
              </w:rPr>
              <w:t>环境要素</w:t>
            </w:r>
          </w:p>
        </w:tc>
        <w:tc>
          <w:tcPr>
            <w:tcW w:w="4742" w:type="dxa"/>
            <w:tcBorders>
              <w:tl2br w:val="nil"/>
              <w:tr2bl w:val="nil"/>
            </w:tcBorders>
            <w:noWrap w:val="0"/>
            <w:vAlign w:val="center"/>
          </w:tcPr>
          <w:p w14:paraId="5251D8E4">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现状评价因子</w:t>
            </w:r>
          </w:p>
        </w:tc>
        <w:tc>
          <w:tcPr>
            <w:tcW w:w="2368" w:type="dxa"/>
            <w:tcBorders>
              <w:tl2br w:val="nil"/>
              <w:tr2bl w:val="nil"/>
            </w:tcBorders>
            <w:noWrap w:val="0"/>
            <w:vAlign w:val="center"/>
          </w:tcPr>
          <w:p w14:paraId="6F67B641">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预测评价因子</w:t>
            </w:r>
          </w:p>
        </w:tc>
      </w:tr>
      <w:tr w14:paraId="30BE61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0" w:type="dxa"/>
            <w:tcBorders>
              <w:tl2br w:val="nil"/>
              <w:tr2bl w:val="nil"/>
            </w:tcBorders>
            <w:noWrap w:val="0"/>
            <w:vAlign w:val="center"/>
          </w:tcPr>
          <w:p w14:paraId="6CDE2A04">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lang w:eastAsia="zh-CN"/>
              </w:rPr>
              <w:t>大</w:t>
            </w:r>
            <w:r>
              <w:rPr>
                <w:rFonts w:hint="default" w:ascii="Times New Roman" w:hAnsi="Times New Roman" w:eastAsia="宋体" w:cs="Times New Roman"/>
                <w:color w:val="auto"/>
                <w:spacing w:val="0"/>
                <w:w w:val="100"/>
                <w:position w:val="0"/>
                <w:sz w:val="21"/>
                <w:szCs w:val="21"/>
                <w:u w:val="none" w:color="auto"/>
              </w:rPr>
              <w:t>气环境</w:t>
            </w:r>
          </w:p>
        </w:tc>
        <w:tc>
          <w:tcPr>
            <w:tcW w:w="4742" w:type="dxa"/>
            <w:tcBorders>
              <w:tl2br w:val="nil"/>
              <w:tr2bl w:val="nil"/>
            </w:tcBorders>
            <w:noWrap w:val="0"/>
            <w:vAlign w:val="center"/>
          </w:tcPr>
          <w:p w14:paraId="5763D039">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SO</w:t>
            </w:r>
            <w:r>
              <w:rPr>
                <w:rFonts w:hint="default" w:ascii="Times New Roman" w:hAnsi="Times New Roman" w:eastAsia="Times New Roman" w:cs="Times New Roman"/>
                <w:color w:val="auto"/>
                <w:spacing w:val="0"/>
                <w:w w:val="100"/>
                <w:position w:val="0"/>
                <w:sz w:val="13"/>
                <w:szCs w:val="13"/>
                <w:u w:val="none" w:color="auto"/>
              </w:rPr>
              <w:t>2</w:t>
            </w:r>
            <w:r>
              <w:rPr>
                <w:rFonts w:hint="default" w:ascii="Times New Roman" w:hAnsi="Times New Roman" w:eastAsia="宋体" w:cs="Times New Roman"/>
                <w:color w:val="auto"/>
                <w:spacing w:val="0"/>
                <w:w w:val="100"/>
                <w:position w:val="0"/>
                <w:sz w:val="21"/>
                <w:szCs w:val="21"/>
                <w:u w:val="none" w:color="auto"/>
              </w:rPr>
              <w:t>、</w:t>
            </w:r>
            <w:r>
              <w:rPr>
                <w:rFonts w:hint="default" w:ascii="Times New Roman" w:hAnsi="Times New Roman" w:eastAsia="Times New Roman" w:cs="Times New Roman"/>
                <w:color w:val="auto"/>
                <w:spacing w:val="0"/>
                <w:w w:val="100"/>
                <w:position w:val="0"/>
                <w:sz w:val="21"/>
                <w:szCs w:val="21"/>
                <w:u w:val="none" w:color="auto"/>
              </w:rPr>
              <w:t>NO</w:t>
            </w:r>
            <w:r>
              <w:rPr>
                <w:rFonts w:hint="default" w:ascii="Times New Roman" w:hAnsi="Times New Roman" w:eastAsia="Times New Roman" w:cs="Times New Roman"/>
                <w:color w:val="auto"/>
                <w:spacing w:val="0"/>
                <w:w w:val="100"/>
                <w:position w:val="0"/>
                <w:sz w:val="13"/>
                <w:szCs w:val="13"/>
                <w:u w:val="none" w:color="auto"/>
              </w:rPr>
              <w:t>2</w:t>
            </w:r>
            <w:r>
              <w:rPr>
                <w:rFonts w:hint="default" w:ascii="Times New Roman" w:hAnsi="Times New Roman" w:eastAsia="宋体" w:cs="Times New Roman"/>
                <w:color w:val="auto"/>
                <w:spacing w:val="0"/>
                <w:w w:val="100"/>
                <w:position w:val="0"/>
                <w:sz w:val="21"/>
                <w:szCs w:val="21"/>
                <w:u w:val="none" w:color="auto"/>
              </w:rPr>
              <w:t>、</w:t>
            </w:r>
            <w:r>
              <w:rPr>
                <w:rFonts w:hint="default" w:ascii="Times New Roman" w:hAnsi="Times New Roman" w:eastAsia="Times New Roman" w:cs="Times New Roman"/>
                <w:color w:val="auto"/>
                <w:spacing w:val="0"/>
                <w:w w:val="100"/>
                <w:position w:val="0"/>
                <w:sz w:val="21"/>
                <w:szCs w:val="21"/>
                <w:u w:val="none" w:color="auto"/>
              </w:rPr>
              <w:t>PM</w:t>
            </w:r>
            <w:r>
              <w:rPr>
                <w:rFonts w:hint="default" w:ascii="Times New Roman" w:hAnsi="Times New Roman" w:eastAsia="Times New Roman" w:cs="Times New Roman"/>
                <w:color w:val="auto"/>
                <w:spacing w:val="0"/>
                <w:w w:val="100"/>
                <w:position w:val="0"/>
                <w:sz w:val="13"/>
                <w:szCs w:val="13"/>
                <w:u w:val="none" w:color="auto"/>
              </w:rPr>
              <w:t>10</w:t>
            </w:r>
            <w:r>
              <w:rPr>
                <w:rFonts w:hint="default" w:ascii="Times New Roman" w:hAnsi="Times New Roman" w:eastAsia="宋体" w:cs="Times New Roman"/>
                <w:color w:val="auto"/>
                <w:spacing w:val="0"/>
                <w:w w:val="100"/>
                <w:position w:val="0"/>
                <w:sz w:val="21"/>
                <w:szCs w:val="21"/>
                <w:u w:val="none" w:color="auto"/>
              </w:rPr>
              <w:t>、</w:t>
            </w:r>
            <w:r>
              <w:rPr>
                <w:rFonts w:hint="default" w:ascii="Times New Roman" w:hAnsi="Times New Roman" w:eastAsia="Times New Roman" w:cs="Times New Roman"/>
                <w:color w:val="auto"/>
                <w:spacing w:val="0"/>
                <w:w w:val="100"/>
                <w:position w:val="0"/>
                <w:sz w:val="21"/>
                <w:szCs w:val="21"/>
                <w:u w:val="none" w:color="auto"/>
              </w:rPr>
              <w:t>PM</w:t>
            </w:r>
            <w:r>
              <w:rPr>
                <w:rFonts w:hint="default" w:ascii="Times New Roman" w:hAnsi="Times New Roman" w:eastAsia="Times New Roman" w:cs="Times New Roman"/>
                <w:color w:val="auto"/>
                <w:spacing w:val="0"/>
                <w:w w:val="100"/>
                <w:position w:val="0"/>
                <w:sz w:val="13"/>
                <w:szCs w:val="13"/>
                <w:u w:val="none" w:color="auto"/>
              </w:rPr>
              <w:t>2.5</w:t>
            </w:r>
            <w:r>
              <w:rPr>
                <w:rFonts w:hint="default" w:ascii="Times New Roman" w:hAnsi="Times New Roman" w:eastAsia="宋体" w:cs="Times New Roman"/>
                <w:color w:val="auto"/>
                <w:spacing w:val="0"/>
                <w:w w:val="100"/>
                <w:position w:val="0"/>
                <w:sz w:val="21"/>
                <w:szCs w:val="21"/>
                <w:u w:val="none" w:color="auto"/>
              </w:rPr>
              <w:t>、</w:t>
            </w:r>
            <w:r>
              <w:rPr>
                <w:rFonts w:hint="default" w:ascii="Times New Roman" w:hAnsi="Times New Roman" w:eastAsia="Times New Roman" w:cs="Times New Roman"/>
                <w:color w:val="auto"/>
                <w:spacing w:val="0"/>
                <w:w w:val="100"/>
                <w:position w:val="0"/>
                <w:sz w:val="21"/>
                <w:szCs w:val="21"/>
                <w:u w:val="none" w:color="auto"/>
              </w:rPr>
              <w:t>CO</w:t>
            </w:r>
            <w:r>
              <w:rPr>
                <w:rFonts w:hint="default" w:ascii="Times New Roman" w:hAnsi="Times New Roman" w:eastAsia="宋体" w:cs="Times New Roman"/>
                <w:color w:val="auto"/>
                <w:spacing w:val="0"/>
                <w:w w:val="100"/>
                <w:position w:val="0"/>
                <w:sz w:val="21"/>
                <w:szCs w:val="21"/>
                <w:u w:val="none" w:color="auto"/>
              </w:rPr>
              <w:t>、</w:t>
            </w:r>
            <w:r>
              <w:rPr>
                <w:rFonts w:hint="default" w:ascii="Times New Roman" w:hAnsi="Times New Roman" w:eastAsia="Times New Roman" w:cs="Times New Roman"/>
                <w:color w:val="auto"/>
                <w:spacing w:val="0"/>
                <w:w w:val="100"/>
                <w:position w:val="0"/>
                <w:sz w:val="21"/>
                <w:szCs w:val="21"/>
                <w:u w:val="none" w:color="auto"/>
              </w:rPr>
              <w:t>O</w:t>
            </w:r>
            <w:r>
              <w:rPr>
                <w:rFonts w:hint="default" w:ascii="Times New Roman" w:hAnsi="Times New Roman" w:eastAsia="Times New Roman" w:cs="Times New Roman"/>
                <w:color w:val="auto"/>
                <w:spacing w:val="0"/>
                <w:w w:val="100"/>
                <w:position w:val="0"/>
                <w:sz w:val="13"/>
                <w:szCs w:val="13"/>
                <w:u w:val="none" w:color="auto"/>
              </w:rPr>
              <w:t>3</w:t>
            </w:r>
            <w:r>
              <w:rPr>
                <w:rFonts w:hint="default" w:ascii="Times New Roman" w:hAnsi="Times New Roman" w:eastAsia="宋体" w:cs="Times New Roman"/>
                <w:color w:val="auto"/>
                <w:spacing w:val="0"/>
                <w:w w:val="100"/>
                <w:position w:val="0"/>
                <w:sz w:val="21"/>
                <w:szCs w:val="21"/>
                <w:u w:val="none" w:color="auto"/>
              </w:rPr>
              <w:t>、</w:t>
            </w:r>
            <w:r>
              <w:rPr>
                <w:rFonts w:hint="default" w:ascii="Times New Roman" w:hAnsi="Times New Roman" w:eastAsia="Times New Roman" w:cs="Times New Roman"/>
                <w:color w:val="auto"/>
                <w:spacing w:val="0"/>
                <w:w w:val="100"/>
                <w:position w:val="0"/>
                <w:sz w:val="21"/>
                <w:szCs w:val="21"/>
                <w:u w:val="none" w:color="auto"/>
              </w:rPr>
              <w:t>TSP</w:t>
            </w:r>
          </w:p>
        </w:tc>
        <w:tc>
          <w:tcPr>
            <w:tcW w:w="2368" w:type="dxa"/>
            <w:tcBorders>
              <w:tl2br w:val="nil"/>
              <w:tr2bl w:val="nil"/>
            </w:tcBorders>
            <w:noWrap w:val="0"/>
            <w:vAlign w:val="center"/>
          </w:tcPr>
          <w:p w14:paraId="431925F9">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lang w:val="en-US" w:eastAsia="zh-CN"/>
              </w:rPr>
              <w:t>/</w:t>
            </w:r>
          </w:p>
        </w:tc>
      </w:tr>
      <w:tr w14:paraId="2CE7A1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0" w:type="dxa"/>
            <w:tcBorders>
              <w:tl2br w:val="nil"/>
              <w:tr2bl w:val="nil"/>
            </w:tcBorders>
            <w:noWrap w:val="0"/>
            <w:vAlign w:val="center"/>
          </w:tcPr>
          <w:p w14:paraId="0309F2E3">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0"/>
                <w:w w:val="100"/>
                <w:position w:val="0"/>
                <w:sz w:val="21"/>
                <w:u w:val="none" w:color="auto"/>
              </w:rPr>
            </w:pPr>
          </w:p>
          <w:p w14:paraId="2E20F1E2">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0"/>
                <w:w w:val="100"/>
                <w:position w:val="0"/>
                <w:sz w:val="21"/>
                <w:u w:val="none" w:color="auto"/>
              </w:rPr>
            </w:pPr>
          </w:p>
          <w:p w14:paraId="67C1AC16">
            <w:pPr>
              <w:keepNext w:val="0"/>
              <w:keepLines w:val="0"/>
              <w:pageBreakBefore w:val="0"/>
              <w:kinsoku/>
              <w:wordWrap/>
              <w:overflowPunct/>
              <w:topLinePunct w:val="0"/>
              <w:autoSpaceDE/>
              <w:autoSpaceDN/>
              <w:bidi w:val="0"/>
              <w:adjustRightInd/>
              <w:snapToGrid/>
              <w:spacing w:line="240" w:lineRule="auto"/>
              <w:ind w:left="0" w:right="0"/>
              <w:jc w:val="both"/>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地表水环境</w:t>
            </w:r>
          </w:p>
        </w:tc>
        <w:tc>
          <w:tcPr>
            <w:tcW w:w="4742" w:type="dxa"/>
            <w:tcBorders>
              <w:tl2br w:val="nil"/>
              <w:tr2bl w:val="nil"/>
            </w:tcBorders>
            <w:noWrap w:val="0"/>
            <w:vAlign w:val="center"/>
          </w:tcPr>
          <w:p w14:paraId="1996B4C7">
            <w:pPr>
              <w:keepNext w:val="0"/>
              <w:keepLines w:val="0"/>
              <w:pageBreakBefore w:val="0"/>
              <w:kinsoku/>
              <w:wordWrap/>
              <w:overflowPunct/>
              <w:topLinePunct w:val="0"/>
              <w:autoSpaceDE/>
              <w:autoSpaceDN/>
              <w:bidi w:val="0"/>
              <w:adjustRightInd/>
              <w:snapToGrid/>
              <w:spacing w:line="240" w:lineRule="auto"/>
              <w:ind w:left="0" w:right="0" w:firstLine="3"/>
              <w:jc w:val="left"/>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aps w:val="0"/>
                <w:smallCaps w:val="0"/>
                <w:color w:val="auto"/>
                <w:spacing w:val="0"/>
                <w:w w:val="100"/>
                <w:kern w:val="0"/>
                <w:position w:val="0"/>
                <w:sz w:val="21"/>
                <w:szCs w:val="21"/>
              </w:rPr>
              <w:t>pH、溶解氧、高锰酸盐指数、氨氮、硒、砷、汞、镉、铬（六价）、铅、氰化物、粪大肠菌群、化学需氧量、五日生化需氧量、铜、锌、氟化物、石油类、挥发酚、阴离子表面活性剂、硫化物、硫酸盐、氯化物、硝酸盐、铁、锰、悬浮物、总氮、总磷、叶绿素a和透明度</w:t>
            </w:r>
            <w:r>
              <w:rPr>
                <w:rFonts w:hint="default" w:ascii="Times New Roman" w:hAnsi="Times New Roman" w:eastAsia="宋体" w:cs="Times New Roman"/>
                <w:caps w:val="0"/>
                <w:smallCaps w:val="0"/>
                <w:color w:val="auto"/>
                <w:spacing w:val="0"/>
                <w:w w:val="100"/>
                <w:kern w:val="0"/>
                <w:position w:val="0"/>
                <w:sz w:val="21"/>
                <w:szCs w:val="21"/>
                <w:lang w:eastAsia="zh-CN"/>
              </w:rPr>
              <w:t>，水温、水位</w:t>
            </w:r>
          </w:p>
        </w:tc>
        <w:tc>
          <w:tcPr>
            <w:tcW w:w="2368" w:type="dxa"/>
            <w:tcBorders>
              <w:tl2br w:val="nil"/>
              <w:tr2bl w:val="nil"/>
            </w:tcBorders>
            <w:noWrap w:val="0"/>
            <w:vAlign w:val="center"/>
          </w:tcPr>
          <w:p w14:paraId="68308335">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lang w:val="en-US" w:eastAsia="zh-CN"/>
              </w:rPr>
              <w:t>/</w:t>
            </w:r>
          </w:p>
        </w:tc>
      </w:tr>
      <w:tr w14:paraId="27DC3D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0" w:type="dxa"/>
            <w:tcBorders>
              <w:tl2br w:val="nil"/>
              <w:tr2bl w:val="nil"/>
            </w:tcBorders>
            <w:noWrap w:val="0"/>
            <w:vAlign w:val="center"/>
          </w:tcPr>
          <w:p w14:paraId="1489E8C0">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0"/>
                <w:w w:val="100"/>
                <w:position w:val="0"/>
                <w:sz w:val="21"/>
                <w:u w:val="none" w:color="auto"/>
              </w:rPr>
            </w:pPr>
          </w:p>
          <w:p w14:paraId="53129BE5">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地下水环境</w:t>
            </w:r>
          </w:p>
        </w:tc>
        <w:tc>
          <w:tcPr>
            <w:tcW w:w="4742" w:type="dxa"/>
            <w:tcBorders>
              <w:tl2br w:val="nil"/>
              <w:tr2bl w:val="nil"/>
            </w:tcBorders>
            <w:noWrap w:val="0"/>
            <w:vAlign w:val="center"/>
          </w:tcPr>
          <w:p w14:paraId="7AC5CE11">
            <w:pPr>
              <w:keepNext w:val="0"/>
              <w:keepLines w:val="0"/>
              <w:pageBreakBefore w:val="0"/>
              <w:widowControl w:val="0"/>
              <w:kinsoku/>
              <w:wordWrap/>
              <w:overflowPunct/>
              <w:topLinePunct w:val="0"/>
              <w:autoSpaceDE/>
              <w:autoSpaceDN/>
              <w:bidi w:val="0"/>
              <w:adjustRightInd/>
              <w:snapToGrid/>
              <w:spacing w:line="240" w:lineRule="auto"/>
              <w:ind w:left="0" w:right="0" w:hanging="6"/>
              <w:jc w:val="left"/>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cs="Times New Roman"/>
                <w:spacing w:val="0"/>
                <w:w w:val="100"/>
                <w:position w:val="0"/>
                <w:sz w:val="21"/>
                <w:szCs w:val="21"/>
                <w:lang w:val="en-US" w:eastAsia="zh-CN"/>
              </w:rPr>
              <w:t>K</w:t>
            </w:r>
            <w:r>
              <w:rPr>
                <w:rFonts w:hint="default" w:ascii="Times New Roman" w:hAnsi="Times New Roman" w:cs="Times New Roman"/>
                <w:spacing w:val="0"/>
                <w:w w:val="100"/>
                <w:position w:val="0"/>
                <w:sz w:val="21"/>
                <w:szCs w:val="21"/>
                <w:vertAlign w:val="superscript"/>
                <w:lang w:val="en-US" w:eastAsia="zh-CN"/>
              </w:rPr>
              <w:t>+</w:t>
            </w:r>
            <w:r>
              <w:rPr>
                <w:rFonts w:hint="default" w:ascii="Times New Roman" w:hAnsi="Times New Roman" w:cs="Times New Roman"/>
                <w:spacing w:val="0"/>
                <w:w w:val="100"/>
                <w:position w:val="0"/>
                <w:sz w:val="21"/>
                <w:szCs w:val="21"/>
                <w:lang w:val="en-US" w:eastAsia="zh-CN"/>
              </w:rPr>
              <w:t>、Na</w:t>
            </w:r>
            <w:r>
              <w:rPr>
                <w:rFonts w:hint="default" w:ascii="Times New Roman" w:hAnsi="Times New Roman" w:cs="Times New Roman"/>
                <w:spacing w:val="0"/>
                <w:w w:val="100"/>
                <w:position w:val="0"/>
                <w:sz w:val="21"/>
                <w:szCs w:val="21"/>
                <w:vertAlign w:val="superscript"/>
                <w:lang w:val="en-US" w:eastAsia="zh-CN"/>
              </w:rPr>
              <w:t>+</w:t>
            </w:r>
            <w:r>
              <w:rPr>
                <w:rFonts w:hint="default" w:ascii="Times New Roman" w:hAnsi="Times New Roman" w:cs="Times New Roman"/>
                <w:spacing w:val="0"/>
                <w:w w:val="100"/>
                <w:position w:val="0"/>
                <w:sz w:val="21"/>
                <w:szCs w:val="21"/>
                <w:lang w:val="en-US" w:eastAsia="zh-CN"/>
              </w:rPr>
              <w:t>、Ca</w:t>
            </w:r>
            <w:r>
              <w:rPr>
                <w:rFonts w:hint="default" w:ascii="Times New Roman" w:hAnsi="Times New Roman" w:cs="Times New Roman"/>
                <w:spacing w:val="0"/>
                <w:w w:val="100"/>
                <w:position w:val="0"/>
                <w:sz w:val="21"/>
                <w:szCs w:val="21"/>
                <w:vertAlign w:val="superscript"/>
                <w:lang w:val="en-US" w:eastAsia="zh-CN"/>
              </w:rPr>
              <w:t>2+</w:t>
            </w:r>
            <w:r>
              <w:rPr>
                <w:rFonts w:hint="default" w:ascii="Times New Roman" w:hAnsi="Times New Roman" w:cs="Times New Roman"/>
                <w:spacing w:val="0"/>
                <w:w w:val="100"/>
                <w:position w:val="0"/>
                <w:sz w:val="21"/>
                <w:szCs w:val="21"/>
                <w:lang w:val="en-US" w:eastAsia="zh-CN"/>
              </w:rPr>
              <w:t>、Mg</w:t>
            </w:r>
            <w:r>
              <w:rPr>
                <w:rFonts w:hint="default" w:ascii="Times New Roman" w:hAnsi="Times New Roman" w:cs="Times New Roman"/>
                <w:spacing w:val="0"/>
                <w:w w:val="100"/>
                <w:position w:val="0"/>
                <w:sz w:val="21"/>
                <w:szCs w:val="21"/>
                <w:vertAlign w:val="superscript"/>
                <w:lang w:val="en-US" w:eastAsia="zh-CN"/>
              </w:rPr>
              <w:t>2+</w:t>
            </w:r>
            <w:r>
              <w:rPr>
                <w:rFonts w:hint="default" w:ascii="Times New Roman" w:hAnsi="Times New Roman" w:cs="Times New Roman"/>
                <w:spacing w:val="0"/>
                <w:w w:val="100"/>
                <w:position w:val="0"/>
                <w:sz w:val="21"/>
                <w:szCs w:val="21"/>
                <w:lang w:val="en-US" w:eastAsia="zh-CN"/>
              </w:rPr>
              <w:t>、CO</w:t>
            </w:r>
            <w:r>
              <w:rPr>
                <w:rFonts w:hint="default" w:ascii="Times New Roman" w:hAnsi="Times New Roman" w:cs="Times New Roman"/>
                <w:spacing w:val="0"/>
                <w:w w:val="100"/>
                <w:position w:val="0"/>
                <w:sz w:val="21"/>
                <w:szCs w:val="21"/>
                <w:vertAlign w:val="subscript"/>
                <w:lang w:val="en-US" w:eastAsia="zh-CN"/>
              </w:rPr>
              <w:t>3</w:t>
            </w:r>
            <w:r>
              <w:rPr>
                <w:rFonts w:hint="default" w:ascii="Times New Roman" w:hAnsi="Times New Roman" w:cs="Times New Roman"/>
                <w:spacing w:val="0"/>
                <w:w w:val="100"/>
                <w:position w:val="0"/>
                <w:sz w:val="21"/>
                <w:szCs w:val="21"/>
                <w:vertAlign w:val="superscript"/>
                <w:lang w:val="en-US" w:eastAsia="zh-CN"/>
              </w:rPr>
              <w:t>2-</w:t>
            </w:r>
            <w:r>
              <w:rPr>
                <w:rFonts w:hint="default" w:ascii="Times New Roman" w:hAnsi="Times New Roman" w:cs="Times New Roman"/>
                <w:spacing w:val="0"/>
                <w:w w:val="100"/>
                <w:position w:val="0"/>
                <w:sz w:val="21"/>
                <w:szCs w:val="21"/>
                <w:lang w:val="en-US" w:eastAsia="zh-CN"/>
              </w:rPr>
              <w:t>、HCO</w:t>
            </w:r>
            <w:r>
              <w:rPr>
                <w:rFonts w:hint="default" w:ascii="Times New Roman" w:hAnsi="Times New Roman" w:cs="Times New Roman"/>
                <w:spacing w:val="0"/>
                <w:w w:val="100"/>
                <w:position w:val="0"/>
                <w:sz w:val="21"/>
                <w:szCs w:val="21"/>
                <w:vertAlign w:val="subscript"/>
                <w:lang w:val="en-US" w:eastAsia="zh-CN"/>
              </w:rPr>
              <w:t>3</w:t>
            </w:r>
            <w:r>
              <w:rPr>
                <w:rFonts w:hint="default" w:ascii="Times New Roman" w:hAnsi="Times New Roman" w:cs="Times New Roman"/>
                <w:spacing w:val="0"/>
                <w:w w:val="100"/>
                <w:position w:val="0"/>
                <w:sz w:val="21"/>
                <w:szCs w:val="21"/>
                <w:vertAlign w:val="superscript"/>
                <w:lang w:val="en-US" w:eastAsia="zh-CN"/>
              </w:rPr>
              <w:t>-</w:t>
            </w:r>
            <w:r>
              <w:rPr>
                <w:rFonts w:hint="default" w:ascii="Times New Roman" w:hAnsi="Times New Roman" w:cs="Times New Roman"/>
                <w:spacing w:val="0"/>
                <w:w w:val="100"/>
                <w:position w:val="0"/>
                <w:sz w:val="21"/>
                <w:szCs w:val="21"/>
                <w:lang w:val="en-US" w:eastAsia="zh-CN"/>
              </w:rPr>
              <w:t>、Cl</w:t>
            </w:r>
            <w:r>
              <w:rPr>
                <w:rFonts w:hint="default" w:ascii="Times New Roman" w:hAnsi="Times New Roman" w:cs="Times New Roman"/>
                <w:spacing w:val="0"/>
                <w:w w:val="100"/>
                <w:position w:val="0"/>
                <w:sz w:val="21"/>
                <w:szCs w:val="21"/>
                <w:vertAlign w:val="superscript"/>
                <w:lang w:val="en-US" w:eastAsia="zh-CN"/>
              </w:rPr>
              <w:t>-</w:t>
            </w:r>
            <w:r>
              <w:rPr>
                <w:rFonts w:hint="default" w:ascii="Times New Roman" w:hAnsi="Times New Roman" w:cs="Times New Roman"/>
                <w:spacing w:val="0"/>
                <w:w w:val="100"/>
                <w:position w:val="0"/>
                <w:sz w:val="21"/>
                <w:szCs w:val="21"/>
                <w:lang w:val="en-US" w:eastAsia="zh-CN"/>
              </w:rPr>
              <w:t>、SO</w:t>
            </w:r>
            <w:r>
              <w:rPr>
                <w:rFonts w:hint="default" w:ascii="Times New Roman" w:hAnsi="Times New Roman" w:cs="Times New Roman"/>
                <w:spacing w:val="0"/>
                <w:w w:val="100"/>
                <w:position w:val="0"/>
                <w:sz w:val="21"/>
                <w:szCs w:val="21"/>
                <w:vertAlign w:val="subscript"/>
                <w:lang w:val="en-US" w:eastAsia="zh-CN"/>
              </w:rPr>
              <w:t>4</w:t>
            </w:r>
            <w:r>
              <w:rPr>
                <w:rFonts w:hint="default" w:ascii="Times New Roman" w:hAnsi="Times New Roman" w:cs="Times New Roman"/>
                <w:spacing w:val="0"/>
                <w:w w:val="100"/>
                <w:position w:val="0"/>
                <w:sz w:val="21"/>
                <w:szCs w:val="21"/>
                <w:vertAlign w:val="superscript"/>
                <w:lang w:val="en-US" w:eastAsia="zh-CN"/>
              </w:rPr>
              <w:t>2-</w:t>
            </w:r>
            <w:r>
              <w:rPr>
                <w:rFonts w:hint="default" w:ascii="Times New Roman" w:hAnsi="Times New Roman" w:cs="Times New Roman"/>
                <w:spacing w:val="0"/>
                <w:w w:val="100"/>
                <w:position w:val="0"/>
                <w:sz w:val="21"/>
                <w:szCs w:val="21"/>
                <w:lang w:val="en-US" w:eastAsia="zh-CN"/>
              </w:rPr>
              <w:t>、</w:t>
            </w:r>
            <w:r>
              <w:rPr>
                <w:rFonts w:hint="default" w:ascii="Times New Roman" w:hAnsi="Times New Roman" w:eastAsia="宋体" w:cs="Times New Roman"/>
                <w:color w:val="000000"/>
                <w:spacing w:val="0"/>
                <w:w w:val="100"/>
                <w:kern w:val="0"/>
                <w:position w:val="0"/>
                <w:sz w:val="21"/>
                <w:szCs w:val="21"/>
                <w:lang w:val="en-US" w:eastAsia="zh-CN" w:bidi="ar"/>
              </w:rPr>
              <w:t>pH</w:t>
            </w:r>
            <w:r>
              <w:rPr>
                <w:rFonts w:hint="default" w:ascii="Times New Roman" w:hAnsi="Times New Roman" w:eastAsia="仿宋" w:cs="Times New Roman"/>
                <w:color w:val="000000"/>
                <w:spacing w:val="0"/>
                <w:w w:val="100"/>
                <w:kern w:val="0"/>
                <w:position w:val="0"/>
                <w:sz w:val="21"/>
                <w:szCs w:val="21"/>
                <w:lang w:val="en-US" w:eastAsia="zh-CN" w:bidi="ar"/>
              </w:rPr>
              <w:t>、</w:t>
            </w:r>
            <w:r>
              <w:rPr>
                <w:rFonts w:hint="default" w:ascii="Times New Roman" w:hAnsi="Times New Roman" w:eastAsia="宋体" w:cs="Times New Roman"/>
                <w:spacing w:val="0"/>
                <w:w w:val="100"/>
                <w:position w:val="0"/>
                <w:sz w:val="21"/>
                <w:szCs w:val="21"/>
                <w:highlight w:val="none"/>
                <w:lang w:val="en-US" w:eastAsia="zh-CN"/>
              </w:rPr>
              <w:t>氨氮、硝酸盐、亚硝酸盐、挥发性酚类、氰化物、砷、汞、铬（六价）、总硬度、铅、氟、镉、铁、锰、溶解性总固体、高锰酸盐指数、硫酸盐、氯化物、总大肠菌群、细菌总数、水位</w:t>
            </w:r>
          </w:p>
        </w:tc>
        <w:tc>
          <w:tcPr>
            <w:tcW w:w="2368" w:type="dxa"/>
            <w:tcBorders>
              <w:tl2br w:val="nil"/>
              <w:tr2bl w:val="nil"/>
            </w:tcBorders>
            <w:noWrap w:val="0"/>
            <w:vAlign w:val="center"/>
          </w:tcPr>
          <w:p w14:paraId="2CF02237">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0"/>
                <w:w w:val="100"/>
                <w:position w:val="0"/>
                <w:sz w:val="21"/>
                <w:u w:val="none" w:color="auto"/>
              </w:rPr>
            </w:pPr>
          </w:p>
          <w:p w14:paraId="0ABF8118">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水质、水位</w:t>
            </w:r>
          </w:p>
        </w:tc>
      </w:tr>
      <w:tr w14:paraId="059087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0" w:type="dxa"/>
            <w:tcBorders>
              <w:tl2br w:val="nil"/>
              <w:tr2bl w:val="nil"/>
            </w:tcBorders>
            <w:noWrap w:val="0"/>
            <w:vAlign w:val="center"/>
          </w:tcPr>
          <w:p w14:paraId="5C094265">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声环境</w:t>
            </w:r>
          </w:p>
        </w:tc>
        <w:tc>
          <w:tcPr>
            <w:tcW w:w="4742" w:type="dxa"/>
            <w:tcBorders>
              <w:tl2br w:val="nil"/>
              <w:tr2bl w:val="nil"/>
            </w:tcBorders>
            <w:noWrap w:val="0"/>
            <w:vAlign w:val="center"/>
          </w:tcPr>
          <w:p w14:paraId="489135A8">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等效连续</w:t>
            </w:r>
            <w:r>
              <w:rPr>
                <w:rFonts w:hint="default" w:ascii="Times New Roman" w:hAnsi="Times New Roman" w:eastAsia="Times New Roman" w:cs="Times New Roman"/>
                <w:color w:val="auto"/>
                <w:spacing w:val="0"/>
                <w:w w:val="100"/>
                <w:position w:val="0"/>
                <w:sz w:val="21"/>
                <w:szCs w:val="21"/>
                <w:u w:val="none" w:color="auto"/>
              </w:rPr>
              <w:t>A</w:t>
            </w:r>
            <w:r>
              <w:rPr>
                <w:rFonts w:hint="default" w:ascii="Times New Roman" w:hAnsi="Times New Roman" w:eastAsia="宋体" w:cs="Times New Roman"/>
                <w:color w:val="auto"/>
                <w:spacing w:val="0"/>
                <w:w w:val="100"/>
                <w:position w:val="0"/>
                <w:sz w:val="21"/>
                <w:szCs w:val="21"/>
                <w:u w:val="none" w:color="auto"/>
              </w:rPr>
              <w:t>声级</w:t>
            </w:r>
          </w:p>
        </w:tc>
        <w:tc>
          <w:tcPr>
            <w:tcW w:w="2368" w:type="dxa"/>
            <w:tcBorders>
              <w:tl2br w:val="nil"/>
              <w:tr2bl w:val="nil"/>
            </w:tcBorders>
            <w:noWrap w:val="0"/>
            <w:vAlign w:val="center"/>
          </w:tcPr>
          <w:p w14:paraId="08BA094E">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等效连续</w:t>
            </w:r>
            <w:r>
              <w:rPr>
                <w:rFonts w:hint="default" w:ascii="Times New Roman" w:hAnsi="Times New Roman" w:eastAsia="Times New Roman" w:cs="Times New Roman"/>
                <w:color w:val="auto"/>
                <w:spacing w:val="0"/>
                <w:w w:val="100"/>
                <w:position w:val="0"/>
                <w:sz w:val="21"/>
                <w:szCs w:val="21"/>
                <w:u w:val="none" w:color="auto"/>
              </w:rPr>
              <w:t>A</w:t>
            </w:r>
            <w:r>
              <w:rPr>
                <w:rFonts w:hint="default" w:ascii="Times New Roman" w:hAnsi="Times New Roman" w:eastAsia="宋体" w:cs="Times New Roman"/>
                <w:color w:val="auto"/>
                <w:spacing w:val="0"/>
                <w:w w:val="100"/>
                <w:position w:val="0"/>
                <w:sz w:val="21"/>
                <w:szCs w:val="21"/>
                <w:u w:val="none" w:color="auto"/>
              </w:rPr>
              <w:t>声级</w:t>
            </w:r>
          </w:p>
        </w:tc>
      </w:tr>
      <w:tr w14:paraId="0AB38C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0" w:type="dxa"/>
            <w:tcBorders>
              <w:tl2br w:val="nil"/>
              <w:tr2bl w:val="nil"/>
            </w:tcBorders>
            <w:noWrap w:val="0"/>
            <w:vAlign w:val="center"/>
          </w:tcPr>
          <w:p w14:paraId="0841A71F">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土壤环境</w:t>
            </w:r>
          </w:p>
        </w:tc>
        <w:tc>
          <w:tcPr>
            <w:tcW w:w="4742" w:type="dxa"/>
            <w:tcBorders>
              <w:tl2br w:val="nil"/>
              <w:tr2bl w:val="nil"/>
            </w:tcBorders>
            <w:noWrap w:val="0"/>
            <w:vAlign w:val="center"/>
          </w:tcPr>
          <w:p w14:paraId="1E0679D3">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left"/>
              <w:textAlignment w:val="auto"/>
              <w:rPr>
                <w:rFonts w:hint="default" w:ascii="Times New Roman" w:hAnsi="Times New Roman" w:cs="Times New Roman"/>
                <w:color w:val="auto"/>
                <w:spacing w:val="0"/>
                <w:w w:val="100"/>
                <w:position w:val="0"/>
              </w:rPr>
            </w:pPr>
            <w:r>
              <w:rPr>
                <w:rFonts w:hint="default" w:ascii="Times New Roman" w:hAnsi="Times New Roman" w:eastAsia="瀹嬩綋" w:cs="Times New Roman"/>
                <w:color w:val="auto"/>
                <w:spacing w:val="0"/>
                <w:w w:val="100"/>
                <w:kern w:val="0"/>
                <w:position w:val="0"/>
                <w:sz w:val="21"/>
                <w:szCs w:val="21"/>
                <w:lang w:val="en-US" w:eastAsia="zh-CN" w:bidi="ar"/>
              </w:rPr>
              <w:t>建设用地：</w:t>
            </w:r>
            <w:r>
              <w:rPr>
                <w:rFonts w:hint="default" w:ascii="Times New Roman" w:hAnsi="Times New Roman" w:eastAsia="宋体" w:cs="Times New Roman"/>
                <w:color w:val="auto"/>
                <w:spacing w:val="0"/>
                <w:w w:val="100"/>
                <w:position w:val="0"/>
                <w:sz w:val="21"/>
                <w:szCs w:val="21"/>
                <w:lang w:val="en-US" w:eastAsia="zh-CN"/>
              </w:rPr>
              <w:t>GB36600-2018中45项指标、pH、含盐量（SSC）</w:t>
            </w:r>
          </w:p>
          <w:p w14:paraId="40DA9843">
            <w:pPr>
              <w:keepNext w:val="0"/>
              <w:keepLines w:val="0"/>
              <w:pageBreakBefore w:val="0"/>
              <w:kinsoku/>
              <w:wordWrap/>
              <w:overflowPunct/>
              <w:topLinePunct w:val="0"/>
              <w:autoSpaceDE/>
              <w:autoSpaceDN/>
              <w:bidi w:val="0"/>
              <w:adjustRightInd/>
              <w:snapToGrid/>
              <w:spacing w:line="240" w:lineRule="auto"/>
              <w:ind w:left="0" w:right="0"/>
              <w:jc w:val="both"/>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lang w:val="en-US" w:eastAsia="zh-CN"/>
              </w:rPr>
              <w:t>农用地：pH、镉、汞、砷、铅、铬、铜、锌、镍、含盐量（SSC）</w:t>
            </w:r>
          </w:p>
        </w:tc>
        <w:tc>
          <w:tcPr>
            <w:tcW w:w="2368" w:type="dxa"/>
            <w:tcBorders>
              <w:tl2br w:val="nil"/>
              <w:tr2bl w:val="nil"/>
            </w:tcBorders>
            <w:noWrap w:val="0"/>
            <w:vAlign w:val="center"/>
          </w:tcPr>
          <w:p w14:paraId="2827BFF3">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pH</w:t>
            </w:r>
            <w:r>
              <w:rPr>
                <w:rFonts w:hint="default" w:ascii="Times New Roman" w:hAnsi="Times New Roman" w:eastAsia="宋体" w:cs="Times New Roman"/>
                <w:color w:val="auto"/>
                <w:spacing w:val="0"/>
                <w:w w:val="100"/>
                <w:position w:val="0"/>
                <w:sz w:val="21"/>
                <w:szCs w:val="21"/>
                <w:u w:val="none" w:color="auto"/>
              </w:rPr>
              <w:t>值、土壤类型、理化性质</w:t>
            </w:r>
          </w:p>
        </w:tc>
      </w:tr>
      <w:tr w14:paraId="24E6C7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0" w:type="dxa"/>
            <w:tcBorders>
              <w:tl2br w:val="nil"/>
              <w:tr2bl w:val="nil"/>
            </w:tcBorders>
            <w:noWrap w:val="0"/>
            <w:vAlign w:val="center"/>
          </w:tcPr>
          <w:p w14:paraId="25CA99AC">
            <w:pPr>
              <w:keepNext w:val="0"/>
              <w:keepLines w:val="0"/>
              <w:pageBreakBefore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生态环境</w:t>
            </w:r>
          </w:p>
        </w:tc>
        <w:tc>
          <w:tcPr>
            <w:tcW w:w="4742" w:type="dxa"/>
            <w:tcBorders>
              <w:tl2br w:val="nil"/>
              <w:tr2bl w:val="nil"/>
            </w:tcBorders>
            <w:noWrap w:val="0"/>
            <w:vAlign w:val="center"/>
          </w:tcPr>
          <w:p w14:paraId="24745203">
            <w:pPr>
              <w:keepNext w:val="0"/>
              <w:keepLines w:val="0"/>
              <w:pageBreakBefore w:val="0"/>
              <w:widowControl w:val="0"/>
              <w:kinsoku/>
              <w:wordWrap/>
              <w:overflowPunct/>
              <w:topLinePunct w:val="0"/>
              <w:autoSpaceDE/>
              <w:autoSpaceDN/>
              <w:bidi w:val="0"/>
              <w:adjustRightInd/>
              <w:snapToGrid/>
              <w:spacing w:line="240" w:lineRule="auto"/>
              <w:ind w:left="0" w:right="0" w:hanging="6"/>
              <w:jc w:val="left"/>
              <w:textAlignment w:val="auto"/>
              <w:rPr>
                <w:rFonts w:hint="default" w:ascii="Times New Roman" w:hAnsi="Times New Roman" w:eastAsia="宋体" w:cs="Times New Roman"/>
                <w:spacing w:val="0"/>
                <w:w w:val="100"/>
                <w:position w:val="0"/>
                <w:sz w:val="21"/>
                <w:szCs w:val="21"/>
                <w:highlight w:val="none"/>
                <w:lang w:val="en-US" w:eastAsia="zh-CN"/>
              </w:rPr>
            </w:pPr>
            <w:r>
              <w:rPr>
                <w:rFonts w:hint="default" w:ascii="Times New Roman" w:hAnsi="Times New Roman" w:eastAsia="宋体" w:cs="Times New Roman"/>
                <w:spacing w:val="0"/>
                <w:w w:val="100"/>
                <w:position w:val="0"/>
                <w:sz w:val="21"/>
                <w:szCs w:val="21"/>
                <w:highlight w:val="none"/>
                <w:lang w:val="en-US" w:eastAsia="zh-CN"/>
              </w:rPr>
              <w:t>土地利用类型及面积、动植物物种及分布范围、动植物物种组成和群落结构、植被覆盖度、生物量、生态系统功能、物种丰富度、生物多样性指数、生态敏感区生态功能。</w:t>
            </w:r>
          </w:p>
          <w:p w14:paraId="27CDCDCF">
            <w:pPr>
              <w:keepNext w:val="0"/>
              <w:keepLines w:val="0"/>
              <w:pageBreakBefore w:val="0"/>
              <w:widowControl w:val="0"/>
              <w:kinsoku/>
              <w:wordWrap/>
              <w:overflowPunct/>
              <w:topLinePunct w:val="0"/>
              <w:autoSpaceDE/>
              <w:autoSpaceDN/>
              <w:bidi w:val="0"/>
              <w:adjustRightInd/>
              <w:snapToGrid/>
              <w:spacing w:line="240" w:lineRule="auto"/>
              <w:ind w:left="0" w:right="0" w:hanging="6"/>
              <w:jc w:val="left"/>
              <w:textAlignment w:val="auto"/>
              <w:rPr>
                <w:rFonts w:hint="default" w:ascii="Times New Roman" w:hAnsi="Times New Roman" w:eastAsia="宋体" w:cs="Times New Roman"/>
                <w:spacing w:val="0"/>
                <w:w w:val="100"/>
                <w:position w:val="0"/>
                <w:sz w:val="21"/>
                <w:szCs w:val="21"/>
                <w:highlight w:val="none"/>
                <w:lang w:val="en-US" w:eastAsia="zh-CN"/>
              </w:rPr>
            </w:pPr>
          </w:p>
        </w:tc>
        <w:tc>
          <w:tcPr>
            <w:tcW w:w="2368" w:type="dxa"/>
            <w:tcBorders>
              <w:tl2br w:val="nil"/>
              <w:tr2bl w:val="nil"/>
            </w:tcBorders>
            <w:noWrap w:val="0"/>
            <w:vAlign w:val="center"/>
          </w:tcPr>
          <w:p w14:paraId="5D42191C">
            <w:pPr>
              <w:keepNext w:val="0"/>
              <w:keepLines w:val="0"/>
              <w:pageBreakBefore w:val="0"/>
              <w:widowControl w:val="0"/>
              <w:kinsoku/>
              <w:wordWrap/>
              <w:overflowPunct/>
              <w:topLinePunct w:val="0"/>
              <w:autoSpaceDE/>
              <w:autoSpaceDN/>
              <w:bidi w:val="0"/>
              <w:adjustRightInd/>
              <w:snapToGrid/>
              <w:spacing w:line="240" w:lineRule="auto"/>
              <w:ind w:left="0" w:right="0" w:hanging="6"/>
              <w:jc w:val="left"/>
              <w:textAlignment w:val="auto"/>
              <w:rPr>
                <w:rFonts w:hint="default" w:ascii="Times New Roman" w:hAnsi="Times New Roman" w:eastAsia="宋体" w:cs="Times New Roman"/>
                <w:spacing w:val="0"/>
                <w:w w:val="100"/>
                <w:position w:val="0"/>
                <w:sz w:val="21"/>
                <w:szCs w:val="21"/>
                <w:highlight w:val="none"/>
                <w:lang w:val="en-US" w:eastAsia="zh-CN"/>
              </w:rPr>
            </w:pPr>
            <w:r>
              <w:rPr>
                <w:rFonts w:hint="default" w:ascii="Times New Roman" w:hAnsi="Times New Roman" w:eastAsia="宋体" w:cs="Times New Roman"/>
                <w:spacing w:val="0"/>
                <w:w w:val="100"/>
                <w:position w:val="0"/>
                <w:sz w:val="21"/>
                <w:szCs w:val="21"/>
                <w:highlight w:val="none"/>
                <w:lang w:val="en-US" w:eastAsia="zh-CN"/>
              </w:rPr>
              <w:t>土地利用类型及面积、动植物物种及分布范围、动植物物种组成和群落结构、植被覆盖度、生物量、生态系统功能、生态敏感区生态功能。</w:t>
            </w:r>
          </w:p>
        </w:tc>
      </w:tr>
    </w:tbl>
    <w:p w14:paraId="46265BD7">
      <w:pPr>
        <w:pStyle w:val="3"/>
        <w:bidi w:val="0"/>
        <w:rPr>
          <w:rFonts w:hint="default" w:ascii="Times New Roman" w:hAnsi="Times New Roman" w:cs="Times New Roman"/>
        </w:rPr>
      </w:pPr>
      <w:bookmarkStart w:id="55" w:name="_Toc72569624"/>
      <w:bookmarkStart w:id="56" w:name="_Toc15791"/>
      <w:bookmarkStart w:id="57" w:name="_Toc15319394"/>
      <w:r>
        <w:rPr>
          <w:rFonts w:hint="default" w:ascii="Times New Roman" w:hAnsi="Times New Roman" w:cs="Times New Roman"/>
        </w:rPr>
        <w:t>环境功能区划</w:t>
      </w:r>
      <w:bookmarkEnd w:id="55"/>
      <w:bookmarkEnd w:id="56"/>
      <w:bookmarkEnd w:id="57"/>
    </w:p>
    <w:p w14:paraId="69BE23D4">
      <w:pPr>
        <w:pStyle w:val="4"/>
        <w:bidi w:val="0"/>
        <w:rPr>
          <w:rFonts w:hint="default" w:ascii="Times New Roman" w:hAnsi="Times New Roman" w:cs="Times New Roman"/>
        </w:rPr>
      </w:pPr>
      <w:bookmarkStart w:id="58" w:name="_Toc21348"/>
      <w:r>
        <w:rPr>
          <w:rFonts w:hint="default" w:ascii="Times New Roman" w:hAnsi="Times New Roman" w:cs="Times New Roman"/>
        </w:rPr>
        <w:t>大气环境功能区划</w:t>
      </w:r>
      <w:bookmarkEnd w:id="58"/>
    </w:p>
    <w:p w14:paraId="1517F575">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本项目位于华容县</w:t>
      </w:r>
      <w:r>
        <w:rPr>
          <w:rFonts w:hint="default" w:ascii="Times New Roman" w:hAnsi="Times New Roman" w:eastAsia="宋体" w:cs="Times New Roman"/>
          <w:color w:val="auto"/>
          <w:spacing w:val="0"/>
          <w:w w:val="100"/>
          <w:position w:val="0"/>
          <w:sz w:val="24"/>
          <w:szCs w:val="24"/>
          <w:u w:val="none" w:color="auto"/>
          <w:lang w:eastAsia="zh-CN"/>
        </w:rPr>
        <w:t>东山镇仙鹅寺村</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，属于农村地区，</w:t>
      </w:r>
      <w:r>
        <w:rPr>
          <w:rFonts w:hint="default" w:ascii="Times New Roman" w:hAnsi="Times New Roman" w:eastAsia="宋体" w:cs="Times New Roman"/>
          <w:color w:val="auto"/>
          <w:spacing w:val="0"/>
          <w:w w:val="100"/>
          <w:position w:val="0"/>
          <w:sz w:val="24"/>
          <w:szCs w:val="24"/>
          <w:u w:val="none" w:color="auto"/>
        </w:rPr>
        <w:t>目前该区域尚</w:t>
      </w:r>
      <w:r>
        <w:rPr>
          <w:rFonts w:hint="default" w:ascii="Times New Roman" w:hAnsi="Times New Roman" w:eastAsia="宋体" w:cs="Times New Roman"/>
          <w:color w:val="auto"/>
          <w:spacing w:val="0"/>
          <w:w w:val="100"/>
          <w:position w:val="0"/>
          <w:sz w:val="24"/>
          <w:szCs w:val="24"/>
          <w:u w:val="none" w:color="auto"/>
          <w:lang w:eastAsia="zh-CN"/>
        </w:rPr>
        <w:t>未划定大气</w:t>
      </w:r>
      <w:r>
        <w:rPr>
          <w:rFonts w:hint="default" w:ascii="Times New Roman" w:hAnsi="Times New Roman" w:eastAsia="宋体" w:cs="Times New Roman"/>
          <w:color w:val="auto"/>
          <w:spacing w:val="0"/>
          <w:w w:val="100"/>
          <w:position w:val="0"/>
          <w:sz w:val="24"/>
          <w:szCs w:val="24"/>
          <w:u w:val="none" w:color="auto"/>
        </w:rPr>
        <w:t>环境功能区划</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根据</w:t>
      </w:r>
      <w:r>
        <w:rPr>
          <w:rFonts w:hint="default" w:ascii="Times New Roman" w:hAnsi="Times New Roman" w:eastAsia="宋体" w:cs="Times New Roman"/>
          <w:caps w:val="0"/>
          <w:smallCaps w:val="0"/>
          <w:color w:val="auto"/>
          <w:spacing w:val="0"/>
          <w:w w:val="100"/>
          <w:kern w:val="0"/>
          <w:position w:val="0"/>
          <w:sz w:val="24"/>
          <w:szCs w:val="24"/>
          <w:u w:val="none" w:color="auto"/>
        </w:rPr>
        <w:t>《环境空气质</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量标准》（GB3095-2012）</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eastAsia="zh-CN"/>
        </w:rPr>
        <w:t>，项目所在区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为环境空气二类功能区，环境空气质量执行</w:t>
      </w:r>
      <w:r>
        <w:rPr>
          <w:rFonts w:hint="default" w:ascii="Times New Roman" w:hAnsi="Times New Roman" w:eastAsia="宋体" w:cs="Times New Roman"/>
          <w:caps w:val="0"/>
          <w:smallCaps w:val="0"/>
          <w:color w:val="auto"/>
          <w:spacing w:val="0"/>
          <w:w w:val="100"/>
          <w:kern w:val="0"/>
          <w:position w:val="0"/>
          <w:sz w:val="24"/>
          <w:szCs w:val="24"/>
          <w:u w:val="none" w:color="auto"/>
        </w:rPr>
        <w:t>《环境空气质</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量标准》（GB3095-2012）</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二类标准</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w:t>
      </w:r>
    </w:p>
    <w:p w14:paraId="7277BE6D">
      <w:pPr>
        <w:pStyle w:val="4"/>
        <w:bidi w:val="0"/>
        <w:rPr>
          <w:rFonts w:hint="default" w:ascii="Times New Roman" w:hAnsi="Times New Roman" w:cs="Times New Roman"/>
        </w:rPr>
      </w:pPr>
      <w:bookmarkStart w:id="59" w:name="_Toc26902"/>
      <w:r>
        <w:rPr>
          <w:rFonts w:hint="default" w:ascii="Times New Roman" w:hAnsi="Times New Roman" w:cs="Times New Roman"/>
        </w:rPr>
        <w:t>水环境功能区划</w:t>
      </w:r>
      <w:bookmarkEnd w:id="59"/>
    </w:p>
    <w:p w14:paraId="1A378A65">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（1）地表水</w:t>
      </w:r>
    </w:p>
    <w:p w14:paraId="7C920CF9">
      <w:pPr>
        <w:pStyle w:val="36"/>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80" w:firstLineChars="200"/>
        <w:textAlignment w:val="auto"/>
        <w:rPr>
          <w:rFonts w:hint="default" w:ascii="Times New Roman" w:hAnsi="Times New Roman" w:eastAsia="宋体" w:cs="Times New Roman"/>
          <w:color w:val="auto"/>
          <w:spacing w:val="0"/>
          <w:w w:val="100"/>
          <w:position w:val="0"/>
          <w:u w:val="none" w:color="auto"/>
        </w:rPr>
      </w:pPr>
      <w:bookmarkStart w:id="60" w:name="_Toc72275677"/>
      <w:bookmarkStart w:id="61" w:name="_Toc15319408"/>
      <w:r>
        <w:rPr>
          <w:rFonts w:hint="default" w:ascii="Times New Roman" w:hAnsi="Times New Roman" w:eastAsia="宋体" w:cs="Times New Roman"/>
          <w:b w:val="0"/>
          <w:bCs w:val="0"/>
          <w:color w:val="auto"/>
          <w:spacing w:val="0"/>
          <w:w w:val="100"/>
          <w:position w:val="0"/>
          <w:sz w:val="24"/>
          <w:szCs w:val="24"/>
          <w:u w:val="none" w:color="auto"/>
          <w:lang w:val="en-US" w:eastAsia="zh-CN"/>
        </w:rPr>
        <w:t>根据《湖南省生态环境厅关于划定全省第三批141处乡镇级千吨万人饮用水水源保护区的复函》（湘环函【2019】241号）和</w:t>
      </w:r>
      <w:r>
        <w:rPr>
          <w:rFonts w:hint="default" w:ascii="Times New Roman" w:hAnsi="Times New Roman" w:eastAsia="宋体" w:cs="Times New Roman"/>
          <w:color w:val="auto"/>
          <w:spacing w:val="0"/>
          <w:w w:val="100"/>
          <w:position w:val="0"/>
          <w:u w:val="none" w:color="auto"/>
          <w:lang w:eastAsia="zh-CN"/>
        </w:rPr>
        <w:t>《</w:t>
      </w:r>
      <w:r>
        <w:rPr>
          <w:rFonts w:hint="default" w:ascii="Times New Roman" w:hAnsi="Times New Roman" w:eastAsia="宋体" w:cs="Times New Roman"/>
          <w:color w:val="auto"/>
          <w:spacing w:val="0"/>
          <w:w w:val="100"/>
          <w:kern w:val="0"/>
          <w:position w:val="0"/>
          <w:sz w:val="24"/>
          <w:u w:val="none" w:color="auto"/>
          <w:lang w:val="en-US" w:eastAsia="zh-CN"/>
        </w:rPr>
        <w:t>华容县东山水库饮用水水源保护区划定方案》</w:t>
      </w:r>
      <w:r>
        <w:rPr>
          <w:rFonts w:hint="default" w:ascii="Times New Roman" w:hAnsi="Times New Roman" w:eastAsia="宋体" w:cs="Times New Roman"/>
          <w:b w:val="0"/>
          <w:bCs w:val="0"/>
          <w:color w:val="auto"/>
          <w:spacing w:val="0"/>
          <w:w w:val="100"/>
          <w:position w:val="0"/>
          <w:sz w:val="24"/>
          <w:szCs w:val="24"/>
          <w:u w:val="none" w:color="auto"/>
          <w:lang w:val="en-US" w:eastAsia="zh-CN"/>
        </w:rPr>
        <w:t>，划定了华容县东山水库饮用水水源保护区的范围。</w:t>
      </w:r>
      <w:r>
        <w:rPr>
          <w:rFonts w:hint="default" w:ascii="Times New Roman" w:hAnsi="Times New Roman" w:eastAsia="宋体" w:cs="Times New Roman"/>
          <w:color w:val="auto"/>
          <w:spacing w:val="0"/>
          <w:w w:val="100"/>
          <w:position w:val="0"/>
          <w:sz w:val="24"/>
          <w:szCs w:val="24"/>
          <w:u w:val="none" w:color="auto"/>
          <w:lang w:eastAsia="zh-CN"/>
        </w:rPr>
        <w:t>东山水库</w:t>
      </w:r>
      <w:r>
        <w:rPr>
          <w:rFonts w:hint="default" w:ascii="Times New Roman" w:hAnsi="Times New Roman" w:eastAsia="宋体" w:cs="Times New Roman"/>
          <w:color w:val="auto"/>
          <w:spacing w:val="0"/>
          <w:w w:val="100"/>
          <w:position w:val="0"/>
          <w:sz w:val="24"/>
          <w:szCs w:val="24"/>
          <w:u w:val="none" w:color="auto"/>
        </w:rPr>
        <w:t>饮用水源保护区分为一级保护区</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二级保护区</w:t>
      </w:r>
      <w:r>
        <w:rPr>
          <w:rFonts w:hint="default" w:ascii="Times New Roman" w:hAnsi="Times New Roman" w:eastAsia="宋体" w:cs="Times New Roman"/>
          <w:color w:val="auto"/>
          <w:spacing w:val="0"/>
          <w:w w:val="100"/>
          <w:position w:val="0"/>
          <w:sz w:val="24"/>
          <w:szCs w:val="24"/>
          <w:u w:val="none" w:color="auto"/>
          <w:lang w:eastAsia="zh-CN"/>
        </w:rPr>
        <w:t>和准保护区，</w:t>
      </w:r>
      <w:r>
        <w:rPr>
          <w:rFonts w:hint="default" w:ascii="Times New Roman" w:hAnsi="Times New Roman" w:eastAsia="宋体" w:cs="Times New Roman"/>
          <w:color w:val="auto"/>
          <w:spacing w:val="0"/>
          <w:w w:val="100"/>
          <w:position w:val="0"/>
          <w:u w:val="none" w:color="auto"/>
        </w:rPr>
        <w:t>划分情况见下表</w:t>
      </w:r>
      <w:r>
        <w:rPr>
          <w:rFonts w:hint="default" w:ascii="Times New Roman" w:hAnsi="Times New Roman" w:eastAsia="宋体" w:cs="Times New Roman"/>
          <w:color w:val="auto"/>
          <w:spacing w:val="0"/>
          <w:w w:val="100"/>
          <w:position w:val="0"/>
          <w:u w:val="none" w:color="auto"/>
          <w:lang w:val="en-US" w:eastAsia="zh-CN"/>
        </w:rPr>
        <w:t>3.1-3</w:t>
      </w:r>
      <w:r>
        <w:rPr>
          <w:rFonts w:hint="default" w:ascii="Times New Roman" w:hAnsi="Times New Roman" w:eastAsia="宋体" w:cs="Times New Roman"/>
          <w:color w:val="auto"/>
          <w:spacing w:val="0"/>
          <w:w w:val="100"/>
          <w:position w:val="0"/>
          <w:u w:val="none" w:color="auto"/>
        </w:rPr>
        <w:t>。</w:t>
      </w:r>
      <w:r>
        <w:rPr>
          <w:rFonts w:hint="default" w:ascii="Times New Roman" w:hAnsi="Times New Roman" w:eastAsia="宋体" w:cs="Times New Roman"/>
          <w:color w:val="auto"/>
          <w:spacing w:val="0"/>
          <w:w w:val="100"/>
          <w:position w:val="0"/>
          <w:sz w:val="24"/>
          <w:szCs w:val="24"/>
          <w:u w:val="none" w:color="auto"/>
        </w:rPr>
        <w:t>根据《地表水环境质量标准》(</w:t>
      </w:r>
      <w:r>
        <w:rPr>
          <w:rFonts w:hint="default" w:ascii="Times New Roman" w:hAnsi="Times New Roman" w:eastAsia="Times New Roman" w:cs="Times New Roman"/>
          <w:color w:val="auto"/>
          <w:spacing w:val="0"/>
          <w:w w:val="100"/>
          <w:position w:val="0"/>
          <w:sz w:val="24"/>
          <w:szCs w:val="24"/>
          <w:u w:val="none" w:color="auto"/>
        </w:rPr>
        <w:t>GB3838-2002</w:t>
      </w: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宋体" w:cs="Times New Roman"/>
          <w:color w:val="auto"/>
          <w:spacing w:val="0"/>
          <w:w w:val="100"/>
          <w:position w:val="0"/>
          <w:sz w:val="24"/>
          <w:szCs w:val="24"/>
          <w:u w:val="none" w:color="auto"/>
          <w:lang w:eastAsia="zh-CN"/>
        </w:rPr>
        <w:t>和</w:t>
      </w:r>
      <w:r>
        <w:rPr>
          <w:rFonts w:hint="default" w:ascii="Times New Roman" w:hAnsi="Times New Roman" w:eastAsia="宋体" w:cs="Times New Roman"/>
          <w:color w:val="auto"/>
          <w:spacing w:val="0"/>
          <w:w w:val="100"/>
          <w:position w:val="0"/>
          <w:sz w:val="24"/>
          <w:szCs w:val="24"/>
          <w:u w:val="none" w:color="auto"/>
        </w:rPr>
        <w:t>《饮用水水源保护区划分技术规范》(</w:t>
      </w:r>
      <w:r>
        <w:rPr>
          <w:rFonts w:hint="default" w:ascii="Times New Roman" w:hAnsi="Times New Roman" w:eastAsia="Times New Roman" w:cs="Times New Roman"/>
          <w:color w:val="auto"/>
          <w:spacing w:val="0"/>
          <w:w w:val="100"/>
          <w:position w:val="0"/>
          <w:sz w:val="24"/>
          <w:szCs w:val="24"/>
          <w:u w:val="none" w:color="auto"/>
        </w:rPr>
        <w:t>HJ338-2018</w:t>
      </w:r>
      <w:r>
        <w:rPr>
          <w:rFonts w:hint="default" w:ascii="Times New Roman" w:hAnsi="Times New Roman" w:eastAsia="宋体" w:cs="Times New Roman"/>
          <w:color w:val="auto"/>
          <w:spacing w:val="0"/>
          <w:w w:val="100"/>
          <w:position w:val="0"/>
          <w:sz w:val="24"/>
          <w:szCs w:val="24"/>
          <w:u w:val="none" w:color="auto"/>
        </w:rPr>
        <w:t>)，一级保护区水域水质执行《地表水环境质量标准》(</w:t>
      </w:r>
      <w:r>
        <w:rPr>
          <w:rFonts w:hint="default" w:ascii="Times New Roman" w:hAnsi="Times New Roman" w:eastAsia="Times New Roman" w:cs="Times New Roman"/>
          <w:color w:val="auto"/>
          <w:spacing w:val="0"/>
          <w:w w:val="100"/>
          <w:position w:val="0"/>
          <w:sz w:val="24"/>
          <w:szCs w:val="24"/>
          <w:u w:val="none" w:color="auto"/>
        </w:rPr>
        <w:t>GB3838-2002</w:t>
      </w: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Times New Roman" w:cs="Times New Roman"/>
          <w:color w:val="auto"/>
          <w:spacing w:val="0"/>
          <w:w w:val="100"/>
          <w:position w:val="0"/>
          <w:sz w:val="24"/>
          <w:szCs w:val="24"/>
          <w:u w:val="none" w:color="auto"/>
        </w:rPr>
        <w:t>II</w:t>
      </w:r>
      <w:r>
        <w:rPr>
          <w:rFonts w:hint="default" w:ascii="Times New Roman" w:hAnsi="Times New Roman" w:eastAsia="宋体" w:cs="Times New Roman"/>
          <w:color w:val="auto"/>
          <w:spacing w:val="0"/>
          <w:w w:val="100"/>
          <w:position w:val="0"/>
          <w:sz w:val="24"/>
          <w:szCs w:val="24"/>
          <w:u w:val="none" w:color="auto"/>
        </w:rPr>
        <w:t>类水质标准</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二级保护区水域水质执行《地表水环境质量标准》(</w:t>
      </w:r>
      <w:r>
        <w:rPr>
          <w:rFonts w:hint="default" w:ascii="Times New Roman" w:hAnsi="Times New Roman" w:eastAsia="Times New Roman" w:cs="Times New Roman"/>
          <w:color w:val="auto"/>
          <w:spacing w:val="0"/>
          <w:w w:val="100"/>
          <w:position w:val="0"/>
          <w:sz w:val="24"/>
          <w:szCs w:val="24"/>
          <w:u w:val="none" w:color="auto"/>
        </w:rPr>
        <w:t>GB3838-2002</w:t>
      </w: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Times New Roman" w:cs="Times New Roman"/>
          <w:color w:val="auto"/>
          <w:spacing w:val="0"/>
          <w:w w:val="100"/>
          <w:position w:val="0"/>
          <w:sz w:val="24"/>
          <w:szCs w:val="24"/>
          <w:u w:val="none" w:color="auto"/>
        </w:rPr>
        <w:t>III</w:t>
      </w:r>
      <w:r>
        <w:rPr>
          <w:rFonts w:hint="default" w:ascii="Times New Roman" w:hAnsi="Times New Roman" w:eastAsia="宋体" w:cs="Times New Roman"/>
          <w:color w:val="auto"/>
          <w:spacing w:val="0"/>
          <w:w w:val="100"/>
          <w:position w:val="0"/>
          <w:sz w:val="24"/>
          <w:szCs w:val="24"/>
          <w:u w:val="none" w:color="auto"/>
        </w:rPr>
        <w:t>类水质标准。</w:t>
      </w:r>
    </w:p>
    <w:p w14:paraId="0404EE5F">
      <w:pPr>
        <w:pStyle w:val="36"/>
        <w:keepNext w:val="0"/>
        <w:keepLines w:val="0"/>
        <w:pageBreakBefore w:val="0"/>
        <w:widowControl w:val="0"/>
        <w:kinsoku/>
        <w:wordWrap/>
        <w:overflowPunct/>
        <w:topLinePunct w:val="0"/>
        <w:autoSpaceDE/>
        <w:autoSpaceDN/>
        <w:bidi w:val="0"/>
        <w:adjustRightInd/>
        <w:snapToGrid/>
        <w:spacing w:before="0" w:beforeAutospacing="0" w:after="0" w:afterAutospacing="0"/>
        <w:ind w:firstLine="0" w:firstLineChars="0"/>
        <w:jc w:val="center"/>
        <w:textAlignment w:val="auto"/>
        <w:rPr>
          <w:rFonts w:hint="default" w:ascii="Times New Roman" w:hAnsi="Times New Roman" w:eastAsia="宋体" w:cs="Times New Roman"/>
          <w:b/>
          <w:bCs/>
          <w:color w:val="auto"/>
          <w:spacing w:val="0"/>
          <w:w w:val="100"/>
          <w:position w:val="0"/>
          <w:sz w:val="24"/>
          <w:szCs w:val="24"/>
          <w:u w:val="none" w:color="auto"/>
        </w:rPr>
      </w:pPr>
      <w:r>
        <w:rPr>
          <w:rFonts w:hint="default" w:ascii="Times New Roman" w:hAnsi="Times New Roman" w:eastAsia="宋体" w:cs="Times New Roman"/>
          <w:b/>
          <w:bCs/>
          <w:color w:val="auto"/>
          <w:spacing w:val="0"/>
          <w:w w:val="100"/>
          <w:position w:val="0"/>
          <w:sz w:val="24"/>
          <w:szCs w:val="24"/>
          <w:u w:val="none" w:color="auto"/>
        </w:rPr>
        <w:t>表</w:t>
      </w:r>
      <w:r>
        <w:rPr>
          <w:rFonts w:hint="default" w:ascii="Times New Roman" w:hAnsi="Times New Roman" w:eastAsia="宋体" w:cs="Times New Roman"/>
          <w:b/>
          <w:bCs/>
          <w:color w:val="auto"/>
          <w:spacing w:val="0"/>
          <w:w w:val="100"/>
          <w:position w:val="0"/>
          <w:sz w:val="24"/>
          <w:szCs w:val="24"/>
          <w:u w:val="none" w:color="auto"/>
          <w:lang w:val="en-US" w:eastAsia="zh-CN"/>
        </w:rPr>
        <w:t>1.4-1</w:t>
      </w:r>
      <w:r>
        <w:rPr>
          <w:rFonts w:hint="default" w:ascii="Times New Roman" w:hAnsi="Times New Roman" w:eastAsia="宋体" w:cs="Times New Roman"/>
          <w:b/>
          <w:bCs/>
          <w:color w:val="auto"/>
          <w:spacing w:val="0"/>
          <w:w w:val="100"/>
          <w:position w:val="0"/>
          <w:sz w:val="24"/>
          <w:szCs w:val="24"/>
          <w:u w:val="none" w:color="auto"/>
        </w:rPr>
        <w:t xml:space="preserve">  </w:t>
      </w:r>
      <w:r>
        <w:rPr>
          <w:rFonts w:hint="default" w:ascii="Times New Roman" w:hAnsi="Times New Roman" w:eastAsia="宋体" w:cs="Times New Roman"/>
          <w:b/>
          <w:bCs/>
          <w:color w:val="auto"/>
          <w:spacing w:val="0"/>
          <w:w w:val="100"/>
          <w:position w:val="0"/>
          <w:sz w:val="24"/>
          <w:szCs w:val="24"/>
          <w:u w:val="none" w:color="auto"/>
          <w:lang w:eastAsia="zh-CN"/>
        </w:rPr>
        <w:t>华容县东山水库饮用水水源保护区</w:t>
      </w:r>
      <w:r>
        <w:rPr>
          <w:rFonts w:hint="default" w:ascii="Times New Roman" w:hAnsi="Times New Roman" w:eastAsia="宋体" w:cs="Times New Roman"/>
          <w:b/>
          <w:bCs/>
          <w:color w:val="auto"/>
          <w:spacing w:val="0"/>
          <w:w w:val="100"/>
          <w:position w:val="0"/>
          <w:sz w:val="24"/>
          <w:szCs w:val="24"/>
          <w:u w:val="none" w:color="auto"/>
        </w:rPr>
        <w:t>划分</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911"/>
        <w:gridCol w:w="427"/>
        <w:gridCol w:w="442"/>
        <w:gridCol w:w="455"/>
        <w:gridCol w:w="427"/>
        <w:gridCol w:w="427"/>
        <w:gridCol w:w="450"/>
        <w:gridCol w:w="554"/>
        <w:gridCol w:w="428"/>
        <w:gridCol w:w="576"/>
        <w:gridCol w:w="984"/>
        <w:gridCol w:w="2008"/>
      </w:tblGrid>
      <w:tr w14:paraId="7381D5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 w:type="pct"/>
            <w:vMerge w:val="restart"/>
            <w:tcBorders>
              <w:tl2br w:val="nil"/>
              <w:tr2bl w:val="nil"/>
            </w:tcBorders>
            <w:noWrap w:val="0"/>
            <w:vAlign w:val="center"/>
          </w:tcPr>
          <w:p w14:paraId="0A74C02B">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r>
              <w:rPr>
                <w:rFonts w:hint="default" w:ascii="Times New Roman" w:hAnsi="Times New Roman" w:eastAsia="宋体" w:cs="Times New Roman"/>
                <w:b/>
                <w:bCs w:val="0"/>
                <w:color w:val="auto"/>
                <w:spacing w:val="0"/>
                <w:w w:val="100"/>
                <w:position w:val="0"/>
                <w:sz w:val="21"/>
                <w:szCs w:val="21"/>
                <w:u w:val="none" w:color="auto"/>
              </w:rPr>
              <w:t>序号</w:t>
            </w:r>
          </w:p>
        </w:tc>
        <w:tc>
          <w:tcPr>
            <w:tcW w:w="535" w:type="pct"/>
            <w:vMerge w:val="restart"/>
            <w:tcBorders>
              <w:tl2br w:val="nil"/>
              <w:tr2bl w:val="nil"/>
            </w:tcBorders>
            <w:noWrap w:val="0"/>
            <w:vAlign w:val="center"/>
          </w:tcPr>
          <w:p w14:paraId="7077B050">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r>
              <w:rPr>
                <w:rFonts w:hint="default" w:ascii="Times New Roman" w:hAnsi="Times New Roman" w:eastAsia="宋体" w:cs="Times New Roman"/>
                <w:b/>
                <w:bCs w:val="0"/>
                <w:color w:val="auto"/>
                <w:spacing w:val="0"/>
                <w:w w:val="100"/>
                <w:position w:val="0"/>
                <w:sz w:val="21"/>
                <w:szCs w:val="21"/>
                <w:u w:val="none" w:color="auto"/>
              </w:rPr>
              <w:t>保护区名称</w:t>
            </w:r>
          </w:p>
        </w:tc>
        <w:tc>
          <w:tcPr>
            <w:tcW w:w="250" w:type="pct"/>
            <w:vMerge w:val="restart"/>
            <w:tcBorders>
              <w:tl2br w:val="nil"/>
              <w:tr2bl w:val="nil"/>
            </w:tcBorders>
            <w:noWrap w:val="0"/>
            <w:vAlign w:val="center"/>
          </w:tcPr>
          <w:p w14:paraId="4A8FB8B2">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r>
              <w:rPr>
                <w:rFonts w:hint="default" w:ascii="Times New Roman" w:hAnsi="Times New Roman" w:eastAsia="宋体" w:cs="Times New Roman"/>
                <w:b/>
                <w:bCs w:val="0"/>
                <w:color w:val="auto"/>
                <w:spacing w:val="0"/>
                <w:w w:val="100"/>
                <w:position w:val="0"/>
                <w:sz w:val="21"/>
                <w:szCs w:val="21"/>
                <w:u w:val="none" w:color="auto"/>
              </w:rPr>
              <w:t>所在市州</w:t>
            </w:r>
          </w:p>
        </w:tc>
        <w:tc>
          <w:tcPr>
            <w:tcW w:w="260" w:type="pct"/>
            <w:vMerge w:val="restart"/>
            <w:tcBorders>
              <w:tl2br w:val="nil"/>
              <w:tr2bl w:val="nil"/>
            </w:tcBorders>
            <w:noWrap w:val="0"/>
            <w:vAlign w:val="center"/>
          </w:tcPr>
          <w:p w14:paraId="10E43077">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r>
              <w:rPr>
                <w:rFonts w:hint="default" w:ascii="Times New Roman" w:hAnsi="Times New Roman" w:eastAsia="宋体" w:cs="Times New Roman"/>
                <w:b/>
                <w:bCs w:val="0"/>
                <w:color w:val="auto"/>
                <w:spacing w:val="0"/>
                <w:w w:val="100"/>
                <w:position w:val="0"/>
                <w:sz w:val="21"/>
                <w:szCs w:val="21"/>
                <w:u w:val="none" w:color="auto"/>
              </w:rPr>
              <w:t>所在县区</w:t>
            </w:r>
          </w:p>
        </w:tc>
        <w:tc>
          <w:tcPr>
            <w:tcW w:w="267" w:type="pct"/>
            <w:vMerge w:val="restart"/>
            <w:tcBorders>
              <w:tl2br w:val="nil"/>
              <w:tr2bl w:val="nil"/>
            </w:tcBorders>
            <w:noWrap w:val="0"/>
            <w:vAlign w:val="center"/>
          </w:tcPr>
          <w:p w14:paraId="41993098">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r>
              <w:rPr>
                <w:rFonts w:hint="default" w:ascii="Times New Roman" w:hAnsi="Times New Roman" w:eastAsia="宋体" w:cs="Times New Roman"/>
                <w:b/>
                <w:bCs w:val="0"/>
                <w:color w:val="auto"/>
                <w:spacing w:val="0"/>
                <w:w w:val="100"/>
                <w:position w:val="0"/>
                <w:sz w:val="21"/>
                <w:szCs w:val="21"/>
                <w:u w:val="none" w:color="auto"/>
              </w:rPr>
              <w:t>所在乡镇</w:t>
            </w:r>
          </w:p>
        </w:tc>
        <w:tc>
          <w:tcPr>
            <w:tcW w:w="250" w:type="pct"/>
            <w:vMerge w:val="restart"/>
            <w:tcBorders>
              <w:tl2br w:val="nil"/>
              <w:tr2bl w:val="nil"/>
            </w:tcBorders>
            <w:noWrap w:val="0"/>
            <w:vAlign w:val="center"/>
          </w:tcPr>
          <w:p w14:paraId="450E6F20">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r>
              <w:rPr>
                <w:rFonts w:hint="default" w:ascii="Times New Roman" w:hAnsi="Times New Roman" w:eastAsia="宋体" w:cs="Times New Roman"/>
                <w:b/>
                <w:bCs w:val="0"/>
                <w:color w:val="auto"/>
                <w:spacing w:val="0"/>
                <w:w w:val="100"/>
                <w:position w:val="0"/>
                <w:sz w:val="21"/>
                <w:szCs w:val="21"/>
                <w:u w:val="none" w:color="auto"/>
              </w:rPr>
              <w:t>所在流域</w:t>
            </w:r>
          </w:p>
        </w:tc>
        <w:tc>
          <w:tcPr>
            <w:tcW w:w="250" w:type="pct"/>
            <w:vMerge w:val="restart"/>
            <w:tcBorders>
              <w:tl2br w:val="nil"/>
              <w:tr2bl w:val="nil"/>
            </w:tcBorders>
            <w:noWrap w:val="0"/>
            <w:vAlign w:val="center"/>
          </w:tcPr>
          <w:p w14:paraId="0A3E48FD">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r>
              <w:rPr>
                <w:rFonts w:hint="default" w:ascii="Times New Roman" w:hAnsi="Times New Roman" w:eastAsia="宋体" w:cs="Times New Roman"/>
                <w:b/>
                <w:bCs w:val="0"/>
                <w:color w:val="auto"/>
                <w:spacing w:val="0"/>
                <w:w w:val="100"/>
                <w:position w:val="0"/>
                <w:sz w:val="21"/>
                <w:szCs w:val="21"/>
                <w:u w:val="none" w:color="auto"/>
              </w:rPr>
              <w:t>类型</w:t>
            </w:r>
          </w:p>
        </w:tc>
        <w:tc>
          <w:tcPr>
            <w:tcW w:w="264" w:type="pct"/>
            <w:vMerge w:val="restart"/>
            <w:tcBorders>
              <w:tl2br w:val="nil"/>
              <w:tr2bl w:val="nil"/>
            </w:tcBorders>
            <w:noWrap w:val="0"/>
            <w:vAlign w:val="center"/>
          </w:tcPr>
          <w:p w14:paraId="765A9993">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r>
              <w:rPr>
                <w:rFonts w:hint="default" w:ascii="Times New Roman" w:hAnsi="Times New Roman" w:eastAsia="宋体" w:cs="Times New Roman"/>
                <w:b/>
                <w:bCs w:val="0"/>
                <w:color w:val="auto"/>
                <w:spacing w:val="0"/>
                <w:w w:val="100"/>
                <w:position w:val="0"/>
                <w:sz w:val="21"/>
                <w:szCs w:val="21"/>
                <w:u w:val="none" w:color="auto"/>
              </w:rPr>
              <w:t>水源地现有水厂名称</w:t>
            </w:r>
          </w:p>
        </w:tc>
        <w:tc>
          <w:tcPr>
            <w:tcW w:w="325" w:type="pct"/>
            <w:vMerge w:val="restart"/>
            <w:tcBorders>
              <w:tl2br w:val="nil"/>
              <w:tr2bl w:val="nil"/>
            </w:tcBorders>
            <w:noWrap w:val="0"/>
            <w:vAlign w:val="center"/>
          </w:tcPr>
          <w:p w14:paraId="2A46B9D1">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r>
              <w:rPr>
                <w:rFonts w:hint="default" w:ascii="Times New Roman" w:hAnsi="Times New Roman" w:eastAsia="宋体" w:cs="Times New Roman"/>
                <w:b/>
                <w:bCs w:val="0"/>
                <w:color w:val="auto"/>
                <w:spacing w:val="0"/>
                <w:w w:val="100"/>
                <w:position w:val="0"/>
                <w:sz w:val="21"/>
                <w:szCs w:val="21"/>
                <w:u w:val="none" w:color="auto"/>
              </w:rPr>
              <w:t>服务</w:t>
            </w:r>
          </w:p>
          <w:p w14:paraId="5C785112">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r>
              <w:rPr>
                <w:rFonts w:hint="default" w:ascii="Times New Roman" w:hAnsi="Times New Roman" w:eastAsia="宋体" w:cs="Times New Roman"/>
                <w:b/>
                <w:bCs w:val="0"/>
                <w:color w:val="auto"/>
                <w:spacing w:val="0"/>
                <w:w w:val="100"/>
                <w:position w:val="0"/>
                <w:sz w:val="21"/>
                <w:szCs w:val="21"/>
                <w:u w:val="none" w:color="auto"/>
              </w:rPr>
              <w:t>乡镇</w:t>
            </w:r>
          </w:p>
        </w:tc>
        <w:tc>
          <w:tcPr>
            <w:tcW w:w="251" w:type="pct"/>
            <w:vMerge w:val="restart"/>
            <w:tcBorders>
              <w:tl2br w:val="nil"/>
              <w:tr2bl w:val="nil"/>
            </w:tcBorders>
            <w:noWrap w:val="0"/>
            <w:vAlign w:val="center"/>
          </w:tcPr>
          <w:p w14:paraId="7037D95E">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r>
              <w:rPr>
                <w:rFonts w:hint="default" w:ascii="Times New Roman" w:hAnsi="Times New Roman" w:eastAsia="宋体" w:cs="Times New Roman"/>
                <w:b/>
                <w:bCs w:val="0"/>
                <w:color w:val="auto"/>
                <w:spacing w:val="0"/>
                <w:w w:val="100"/>
                <w:position w:val="0"/>
                <w:sz w:val="21"/>
                <w:szCs w:val="21"/>
                <w:u w:val="none" w:color="auto"/>
              </w:rPr>
              <w:t>规模</w:t>
            </w:r>
          </w:p>
        </w:tc>
        <w:tc>
          <w:tcPr>
            <w:tcW w:w="338" w:type="pct"/>
            <w:vMerge w:val="restart"/>
            <w:tcBorders>
              <w:tl2br w:val="nil"/>
              <w:tr2bl w:val="nil"/>
            </w:tcBorders>
            <w:noWrap w:val="0"/>
            <w:vAlign w:val="center"/>
          </w:tcPr>
          <w:p w14:paraId="7A702118">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r>
              <w:rPr>
                <w:rFonts w:hint="default" w:ascii="Times New Roman" w:hAnsi="Times New Roman" w:eastAsia="宋体" w:cs="Times New Roman"/>
                <w:b/>
                <w:bCs w:val="0"/>
                <w:color w:val="auto"/>
                <w:spacing w:val="0"/>
                <w:w w:val="100"/>
                <w:position w:val="0"/>
                <w:sz w:val="21"/>
                <w:szCs w:val="21"/>
                <w:u w:val="none" w:color="auto"/>
              </w:rPr>
              <w:t>保护级别</w:t>
            </w:r>
          </w:p>
        </w:tc>
        <w:tc>
          <w:tcPr>
            <w:tcW w:w="1755" w:type="pct"/>
            <w:gridSpan w:val="2"/>
            <w:tcBorders>
              <w:tl2br w:val="nil"/>
              <w:tr2bl w:val="nil"/>
            </w:tcBorders>
            <w:noWrap w:val="0"/>
            <w:vAlign w:val="center"/>
          </w:tcPr>
          <w:p w14:paraId="69A34921">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r>
              <w:rPr>
                <w:rFonts w:hint="default" w:ascii="Times New Roman" w:hAnsi="Times New Roman" w:eastAsia="宋体" w:cs="Times New Roman"/>
                <w:b/>
                <w:bCs w:val="0"/>
                <w:color w:val="auto"/>
                <w:spacing w:val="0"/>
                <w:w w:val="100"/>
                <w:position w:val="0"/>
                <w:sz w:val="21"/>
                <w:szCs w:val="21"/>
                <w:u w:val="none" w:color="auto"/>
              </w:rPr>
              <w:t>保护区范围</w:t>
            </w:r>
          </w:p>
        </w:tc>
      </w:tr>
      <w:tr w14:paraId="4EEB27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4" w:hRule="atLeast"/>
          <w:jc w:val="center"/>
        </w:trPr>
        <w:tc>
          <w:tcPr>
            <w:tcW w:w="250" w:type="pct"/>
            <w:vMerge w:val="continue"/>
            <w:tcBorders>
              <w:tl2br w:val="nil"/>
              <w:tr2bl w:val="nil"/>
            </w:tcBorders>
            <w:noWrap w:val="0"/>
            <w:vAlign w:val="center"/>
          </w:tcPr>
          <w:p w14:paraId="3E43B968">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p>
        </w:tc>
        <w:tc>
          <w:tcPr>
            <w:tcW w:w="535" w:type="pct"/>
            <w:vMerge w:val="continue"/>
            <w:tcBorders>
              <w:tl2br w:val="nil"/>
              <w:tr2bl w:val="nil"/>
            </w:tcBorders>
            <w:noWrap w:val="0"/>
            <w:vAlign w:val="center"/>
          </w:tcPr>
          <w:p w14:paraId="31699A5C">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p>
        </w:tc>
        <w:tc>
          <w:tcPr>
            <w:tcW w:w="250" w:type="pct"/>
            <w:vMerge w:val="continue"/>
            <w:tcBorders>
              <w:tl2br w:val="nil"/>
              <w:tr2bl w:val="nil"/>
            </w:tcBorders>
            <w:noWrap w:val="0"/>
            <w:vAlign w:val="center"/>
          </w:tcPr>
          <w:p w14:paraId="0A5F57AD">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p>
        </w:tc>
        <w:tc>
          <w:tcPr>
            <w:tcW w:w="260" w:type="pct"/>
            <w:vMerge w:val="continue"/>
            <w:tcBorders>
              <w:tl2br w:val="nil"/>
              <w:tr2bl w:val="nil"/>
            </w:tcBorders>
            <w:noWrap w:val="0"/>
            <w:vAlign w:val="center"/>
          </w:tcPr>
          <w:p w14:paraId="6457DFA9">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p>
        </w:tc>
        <w:tc>
          <w:tcPr>
            <w:tcW w:w="267" w:type="pct"/>
            <w:vMerge w:val="continue"/>
            <w:tcBorders>
              <w:tl2br w:val="nil"/>
              <w:tr2bl w:val="nil"/>
            </w:tcBorders>
            <w:noWrap w:val="0"/>
            <w:vAlign w:val="center"/>
          </w:tcPr>
          <w:p w14:paraId="0A1DA8AF">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p>
        </w:tc>
        <w:tc>
          <w:tcPr>
            <w:tcW w:w="250" w:type="pct"/>
            <w:vMerge w:val="continue"/>
            <w:tcBorders>
              <w:tl2br w:val="nil"/>
              <w:tr2bl w:val="nil"/>
            </w:tcBorders>
            <w:noWrap w:val="0"/>
            <w:vAlign w:val="center"/>
          </w:tcPr>
          <w:p w14:paraId="5E477939">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p>
        </w:tc>
        <w:tc>
          <w:tcPr>
            <w:tcW w:w="250" w:type="pct"/>
            <w:vMerge w:val="continue"/>
            <w:tcBorders>
              <w:tl2br w:val="nil"/>
              <w:tr2bl w:val="nil"/>
            </w:tcBorders>
            <w:noWrap w:val="0"/>
            <w:vAlign w:val="center"/>
          </w:tcPr>
          <w:p w14:paraId="331E72F7">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p>
        </w:tc>
        <w:tc>
          <w:tcPr>
            <w:tcW w:w="264" w:type="pct"/>
            <w:vMerge w:val="continue"/>
            <w:tcBorders>
              <w:tl2br w:val="nil"/>
              <w:tr2bl w:val="nil"/>
            </w:tcBorders>
            <w:noWrap w:val="0"/>
            <w:vAlign w:val="center"/>
          </w:tcPr>
          <w:p w14:paraId="2B4B1BBF">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p>
        </w:tc>
        <w:tc>
          <w:tcPr>
            <w:tcW w:w="325" w:type="pct"/>
            <w:vMerge w:val="continue"/>
            <w:tcBorders>
              <w:tl2br w:val="nil"/>
              <w:tr2bl w:val="nil"/>
            </w:tcBorders>
            <w:noWrap w:val="0"/>
            <w:vAlign w:val="center"/>
          </w:tcPr>
          <w:p w14:paraId="6D5F244E">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p>
        </w:tc>
        <w:tc>
          <w:tcPr>
            <w:tcW w:w="251" w:type="pct"/>
            <w:vMerge w:val="continue"/>
            <w:tcBorders>
              <w:tl2br w:val="nil"/>
              <w:tr2bl w:val="nil"/>
            </w:tcBorders>
            <w:noWrap w:val="0"/>
            <w:vAlign w:val="center"/>
          </w:tcPr>
          <w:p w14:paraId="0587B5D4">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p>
        </w:tc>
        <w:tc>
          <w:tcPr>
            <w:tcW w:w="338" w:type="pct"/>
            <w:vMerge w:val="continue"/>
            <w:tcBorders>
              <w:tl2br w:val="nil"/>
              <w:tr2bl w:val="nil"/>
            </w:tcBorders>
            <w:noWrap w:val="0"/>
            <w:vAlign w:val="center"/>
          </w:tcPr>
          <w:p w14:paraId="44C0B95D">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p>
        </w:tc>
        <w:tc>
          <w:tcPr>
            <w:tcW w:w="577" w:type="pct"/>
            <w:tcBorders>
              <w:tl2br w:val="nil"/>
              <w:tr2bl w:val="nil"/>
            </w:tcBorders>
            <w:noWrap w:val="0"/>
            <w:vAlign w:val="center"/>
          </w:tcPr>
          <w:p w14:paraId="61A3E9E8">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r>
              <w:rPr>
                <w:rFonts w:hint="default" w:ascii="Times New Roman" w:hAnsi="Times New Roman" w:eastAsia="宋体" w:cs="Times New Roman"/>
                <w:b/>
                <w:bCs w:val="0"/>
                <w:color w:val="auto"/>
                <w:spacing w:val="0"/>
                <w:w w:val="100"/>
                <w:position w:val="0"/>
                <w:sz w:val="21"/>
                <w:szCs w:val="21"/>
                <w:u w:val="none" w:color="auto"/>
              </w:rPr>
              <w:t>水域</w:t>
            </w:r>
          </w:p>
        </w:tc>
        <w:tc>
          <w:tcPr>
            <w:tcW w:w="1178" w:type="pct"/>
            <w:tcBorders>
              <w:tl2br w:val="nil"/>
              <w:tr2bl w:val="nil"/>
            </w:tcBorders>
            <w:noWrap w:val="0"/>
            <w:vAlign w:val="center"/>
          </w:tcPr>
          <w:p w14:paraId="0A262AC1">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bCs w:val="0"/>
                <w:color w:val="auto"/>
                <w:spacing w:val="0"/>
                <w:w w:val="100"/>
                <w:position w:val="0"/>
                <w:sz w:val="21"/>
                <w:szCs w:val="21"/>
                <w:u w:val="none" w:color="auto"/>
              </w:rPr>
            </w:pPr>
            <w:r>
              <w:rPr>
                <w:rFonts w:hint="default" w:ascii="Times New Roman" w:hAnsi="Times New Roman" w:eastAsia="宋体" w:cs="Times New Roman"/>
                <w:b/>
                <w:bCs w:val="0"/>
                <w:color w:val="auto"/>
                <w:spacing w:val="0"/>
                <w:w w:val="100"/>
                <w:position w:val="0"/>
                <w:sz w:val="21"/>
                <w:szCs w:val="21"/>
                <w:u w:val="none" w:color="auto"/>
              </w:rPr>
              <w:t>陆域</w:t>
            </w:r>
          </w:p>
        </w:tc>
      </w:tr>
      <w:tr w14:paraId="7D359D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 w:type="pct"/>
            <w:vMerge w:val="restart"/>
            <w:tcBorders>
              <w:tl2br w:val="nil"/>
              <w:tr2bl w:val="nil"/>
            </w:tcBorders>
            <w:noWrap w:val="0"/>
            <w:vAlign w:val="center"/>
          </w:tcPr>
          <w:p w14:paraId="15CDFCEA">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lang w:val="en-US" w:eastAsia="zh-CN"/>
              </w:rPr>
              <w:t>8</w:t>
            </w:r>
          </w:p>
        </w:tc>
        <w:tc>
          <w:tcPr>
            <w:tcW w:w="535" w:type="pct"/>
            <w:vMerge w:val="restart"/>
            <w:tcBorders>
              <w:tl2br w:val="nil"/>
              <w:tr2bl w:val="nil"/>
            </w:tcBorders>
            <w:noWrap w:val="0"/>
            <w:vAlign w:val="center"/>
          </w:tcPr>
          <w:p w14:paraId="46AFFAEE">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华容县东山镇东山水库饮用水水源保护区</w:t>
            </w:r>
          </w:p>
        </w:tc>
        <w:tc>
          <w:tcPr>
            <w:tcW w:w="250" w:type="pct"/>
            <w:vMerge w:val="restart"/>
            <w:tcBorders>
              <w:tl2br w:val="nil"/>
              <w:tr2bl w:val="nil"/>
            </w:tcBorders>
            <w:noWrap w:val="0"/>
            <w:vAlign w:val="center"/>
          </w:tcPr>
          <w:p w14:paraId="715FE53B">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岳阳市</w:t>
            </w:r>
          </w:p>
        </w:tc>
        <w:tc>
          <w:tcPr>
            <w:tcW w:w="260" w:type="pct"/>
            <w:vMerge w:val="restart"/>
            <w:tcBorders>
              <w:tl2br w:val="nil"/>
              <w:tr2bl w:val="nil"/>
            </w:tcBorders>
            <w:noWrap w:val="0"/>
            <w:vAlign w:val="center"/>
          </w:tcPr>
          <w:p w14:paraId="6654E8EF">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华容县</w:t>
            </w:r>
          </w:p>
        </w:tc>
        <w:tc>
          <w:tcPr>
            <w:tcW w:w="267" w:type="pct"/>
            <w:vMerge w:val="restart"/>
            <w:tcBorders>
              <w:tl2br w:val="nil"/>
              <w:tr2bl w:val="nil"/>
            </w:tcBorders>
            <w:noWrap w:val="0"/>
            <w:vAlign w:val="center"/>
          </w:tcPr>
          <w:p w14:paraId="1A3789DD">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东山镇</w:t>
            </w:r>
          </w:p>
        </w:tc>
        <w:tc>
          <w:tcPr>
            <w:tcW w:w="250" w:type="pct"/>
            <w:vMerge w:val="restart"/>
            <w:tcBorders>
              <w:tl2br w:val="nil"/>
              <w:tr2bl w:val="nil"/>
            </w:tcBorders>
            <w:noWrap w:val="0"/>
            <w:vAlign w:val="center"/>
          </w:tcPr>
          <w:p w14:paraId="2C0A5D7B">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长江-东山水库</w:t>
            </w:r>
          </w:p>
        </w:tc>
        <w:tc>
          <w:tcPr>
            <w:tcW w:w="250" w:type="pct"/>
            <w:vMerge w:val="restart"/>
            <w:tcBorders>
              <w:tl2br w:val="nil"/>
              <w:tr2bl w:val="nil"/>
            </w:tcBorders>
            <w:noWrap w:val="0"/>
            <w:vAlign w:val="center"/>
          </w:tcPr>
          <w:p w14:paraId="1F901A7D">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水库</w:t>
            </w:r>
          </w:p>
        </w:tc>
        <w:tc>
          <w:tcPr>
            <w:tcW w:w="264" w:type="pct"/>
            <w:vMerge w:val="restart"/>
            <w:tcBorders>
              <w:tl2br w:val="nil"/>
              <w:tr2bl w:val="nil"/>
            </w:tcBorders>
            <w:noWrap w:val="0"/>
            <w:vAlign w:val="center"/>
          </w:tcPr>
          <w:p w14:paraId="2FB03654">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三郎堰水厂</w:t>
            </w:r>
          </w:p>
        </w:tc>
        <w:tc>
          <w:tcPr>
            <w:tcW w:w="325" w:type="pct"/>
            <w:vMerge w:val="restart"/>
            <w:tcBorders>
              <w:tl2br w:val="nil"/>
              <w:tr2bl w:val="nil"/>
            </w:tcBorders>
            <w:noWrap w:val="0"/>
            <w:vAlign w:val="center"/>
          </w:tcPr>
          <w:p w14:paraId="2F4F465E">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东山镇</w:t>
            </w:r>
          </w:p>
        </w:tc>
        <w:tc>
          <w:tcPr>
            <w:tcW w:w="251" w:type="pct"/>
            <w:vMerge w:val="restart"/>
            <w:tcBorders>
              <w:tl2br w:val="nil"/>
              <w:tr2bl w:val="nil"/>
            </w:tcBorders>
            <w:noWrap w:val="0"/>
            <w:vAlign w:val="center"/>
          </w:tcPr>
          <w:p w14:paraId="5FAD7BF3">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千吨万人</w:t>
            </w:r>
          </w:p>
        </w:tc>
        <w:tc>
          <w:tcPr>
            <w:tcW w:w="338" w:type="pct"/>
            <w:tcBorders>
              <w:tl2br w:val="nil"/>
              <w:tr2bl w:val="nil"/>
            </w:tcBorders>
            <w:noWrap w:val="0"/>
            <w:vAlign w:val="center"/>
          </w:tcPr>
          <w:p w14:paraId="6160F617">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一级</w:t>
            </w:r>
          </w:p>
        </w:tc>
        <w:tc>
          <w:tcPr>
            <w:tcW w:w="577" w:type="pct"/>
            <w:tcBorders>
              <w:tl2br w:val="nil"/>
              <w:tr2bl w:val="nil"/>
            </w:tcBorders>
            <w:noWrap w:val="0"/>
            <w:vAlign w:val="center"/>
          </w:tcPr>
          <w:p w14:paraId="2A901884">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取水口半径300米范围内的水库水域。</w:t>
            </w:r>
          </w:p>
        </w:tc>
        <w:tc>
          <w:tcPr>
            <w:tcW w:w="1178" w:type="pct"/>
            <w:tcBorders>
              <w:tl2br w:val="nil"/>
              <w:tr2bl w:val="nil"/>
            </w:tcBorders>
            <w:noWrap w:val="0"/>
            <w:vAlign w:val="center"/>
          </w:tcPr>
          <w:p w14:paraId="68DDBECB">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一级保护区水域边界外200米范围内的陆域，不超过大坝迎水侧坝顶、公路迎水侧路肩。</w:t>
            </w:r>
          </w:p>
        </w:tc>
      </w:tr>
      <w:tr w14:paraId="78CA5C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 w:type="pct"/>
            <w:vMerge w:val="continue"/>
            <w:tcBorders>
              <w:tl2br w:val="nil"/>
              <w:tr2bl w:val="nil"/>
            </w:tcBorders>
            <w:noWrap w:val="0"/>
            <w:vAlign w:val="center"/>
          </w:tcPr>
          <w:p w14:paraId="48371B62">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535" w:type="pct"/>
            <w:vMerge w:val="continue"/>
            <w:tcBorders>
              <w:tl2br w:val="nil"/>
              <w:tr2bl w:val="nil"/>
            </w:tcBorders>
            <w:noWrap w:val="0"/>
            <w:vAlign w:val="center"/>
          </w:tcPr>
          <w:p w14:paraId="3B056E24">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250" w:type="pct"/>
            <w:vMerge w:val="continue"/>
            <w:tcBorders>
              <w:tl2br w:val="nil"/>
              <w:tr2bl w:val="nil"/>
            </w:tcBorders>
            <w:noWrap w:val="0"/>
            <w:vAlign w:val="center"/>
          </w:tcPr>
          <w:p w14:paraId="3894C83D">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260" w:type="pct"/>
            <w:vMerge w:val="continue"/>
            <w:tcBorders>
              <w:tl2br w:val="nil"/>
              <w:tr2bl w:val="nil"/>
            </w:tcBorders>
            <w:noWrap w:val="0"/>
            <w:vAlign w:val="center"/>
          </w:tcPr>
          <w:p w14:paraId="32F3FAC9">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267" w:type="pct"/>
            <w:vMerge w:val="continue"/>
            <w:tcBorders>
              <w:tl2br w:val="nil"/>
              <w:tr2bl w:val="nil"/>
            </w:tcBorders>
            <w:noWrap w:val="0"/>
            <w:vAlign w:val="center"/>
          </w:tcPr>
          <w:p w14:paraId="5C0935EF">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250" w:type="pct"/>
            <w:vMerge w:val="continue"/>
            <w:tcBorders>
              <w:tl2br w:val="nil"/>
              <w:tr2bl w:val="nil"/>
            </w:tcBorders>
            <w:noWrap w:val="0"/>
            <w:vAlign w:val="center"/>
          </w:tcPr>
          <w:p w14:paraId="4DE41004">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250" w:type="pct"/>
            <w:vMerge w:val="continue"/>
            <w:tcBorders>
              <w:tl2br w:val="nil"/>
              <w:tr2bl w:val="nil"/>
            </w:tcBorders>
            <w:noWrap w:val="0"/>
            <w:vAlign w:val="center"/>
          </w:tcPr>
          <w:p w14:paraId="69FFC103">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264" w:type="pct"/>
            <w:vMerge w:val="continue"/>
            <w:tcBorders>
              <w:tl2br w:val="nil"/>
              <w:tr2bl w:val="nil"/>
            </w:tcBorders>
            <w:noWrap w:val="0"/>
            <w:vAlign w:val="center"/>
          </w:tcPr>
          <w:p w14:paraId="0E15D48B">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325" w:type="pct"/>
            <w:vMerge w:val="continue"/>
            <w:tcBorders>
              <w:tl2br w:val="nil"/>
              <w:tr2bl w:val="nil"/>
            </w:tcBorders>
            <w:noWrap w:val="0"/>
            <w:vAlign w:val="center"/>
          </w:tcPr>
          <w:p w14:paraId="4271E199">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251" w:type="pct"/>
            <w:vMerge w:val="continue"/>
            <w:tcBorders>
              <w:tl2br w:val="nil"/>
              <w:tr2bl w:val="nil"/>
            </w:tcBorders>
            <w:noWrap w:val="0"/>
            <w:vAlign w:val="center"/>
          </w:tcPr>
          <w:p w14:paraId="540C0BD8">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338" w:type="pct"/>
            <w:tcBorders>
              <w:tl2br w:val="nil"/>
              <w:tr2bl w:val="nil"/>
            </w:tcBorders>
            <w:noWrap w:val="0"/>
            <w:vAlign w:val="center"/>
          </w:tcPr>
          <w:p w14:paraId="4C42D63E">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二级</w:t>
            </w:r>
          </w:p>
        </w:tc>
        <w:tc>
          <w:tcPr>
            <w:tcW w:w="577" w:type="pct"/>
            <w:tcBorders>
              <w:tl2br w:val="nil"/>
              <w:tr2bl w:val="nil"/>
            </w:tcBorders>
            <w:noWrap w:val="0"/>
            <w:vAlign w:val="center"/>
          </w:tcPr>
          <w:p w14:paraId="7D55E41B">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水库水域（一级保护区除外）。</w:t>
            </w:r>
          </w:p>
        </w:tc>
        <w:tc>
          <w:tcPr>
            <w:tcW w:w="1178" w:type="pct"/>
            <w:tcBorders>
              <w:tl2br w:val="nil"/>
              <w:tr2bl w:val="nil"/>
            </w:tcBorders>
            <w:noWrap w:val="0"/>
            <w:vAlign w:val="center"/>
          </w:tcPr>
          <w:p w14:paraId="0132E494">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东山水库周边山脊线以内及主要入库河流上溯至高山水库库尾、战备水库副坝的汇水区（一级保护区除外）。</w:t>
            </w:r>
          </w:p>
        </w:tc>
      </w:tr>
      <w:tr w14:paraId="3B91CE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 w:type="pct"/>
            <w:vMerge w:val="continue"/>
            <w:tcBorders>
              <w:tl2br w:val="nil"/>
              <w:tr2bl w:val="nil"/>
            </w:tcBorders>
            <w:noWrap w:val="0"/>
            <w:vAlign w:val="center"/>
          </w:tcPr>
          <w:p w14:paraId="1C1947C7">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535" w:type="pct"/>
            <w:vMerge w:val="continue"/>
            <w:tcBorders>
              <w:tl2br w:val="nil"/>
              <w:tr2bl w:val="nil"/>
            </w:tcBorders>
            <w:noWrap w:val="0"/>
            <w:vAlign w:val="center"/>
          </w:tcPr>
          <w:p w14:paraId="5749CF9E">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250" w:type="pct"/>
            <w:vMerge w:val="continue"/>
            <w:tcBorders>
              <w:tl2br w:val="nil"/>
              <w:tr2bl w:val="nil"/>
            </w:tcBorders>
            <w:noWrap w:val="0"/>
            <w:vAlign w:val="center"/>
          </w:tcPr>
          <w:p w14:paraId="6A984FA7">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260" w:type="pct"/>
            <w:vMerge w:val="continue"/>
            <w:tcBorders>
              <w:tl2br w:val="nil"/>
              <w:tr2bl w:val="nil"/>
            </w:tcBorders>
            <w:noWrap w:val="0"/>
            <w:vAlign w:val="center"/>
          </w:tcPr>
          <w:p w14:paraId="6DBB446B">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267" w:type="pct"/>
            <w:vMerge w:val="continue"/>
            <w:tcBorders>
              <w:tl2br w:val="nil"/>
              <w:tr2bl w:val="nil"/>
            </w:tcBorders>
            <w:noWrap w:val="0"/>
            <w:vAlign w:val="center"/>
          </w:tcPr>
          <w:p w14:paraId="643BC009">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250" w:type="pct"/>
            <w:vMerge w:val="continue"/>
            <w:tcBorders>
              <w:tl2br w:val="nil"/>
              <w:tr2bl w:val="nil"/>
            </w:tcBorders>
            <w:noWrap w:val="0"/>
            <w:vAlign w:val="center"/>
          </w:tcPr>
          <w:p w14:paraId="3C5DFA6E">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250" w:type="pct"/>
            <w:vMerge w:val="continue"/>
            <w:tcBorders>
              <w:tl2br w:val="nil"/>
              <w:tr2bl w:val="nil"/>
            </w:tcBorders>
            <w:noWrap w:val="0"/>
            <w:vAlign w:val="center"/>
          </w:tcPr>
          <w:p w14:paraId="33483193">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264" w:type="pct"/>
            <w:vMerge w:val="continue"/>
            <w:tcBorders>
              <w:tl2br w:val="nil"/>
              <w:tr2bl w:val="nil"/>
            </w:tcBorders>
            <w:noWrap w:val="0"/>
            <w:vAlign w:val="center"/>
          </w:tcPr>
          <w:p w14:paraId="41BDE2D2">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325" w:type="pct"/>
            <w:vMerge w:val="continue"/>
            <w:tcBorders>
              <w:tl2br w:val="nil"/>
              <w:tr2bl w:val="nil"/>
            </w:tcBorders>
            <w:noWrap w:val="0"/>
            <w:vAlign w:val="center"/>
          </w:tcPr>
          <w:p w14:paraId="0EA1079E">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251" w:type="pct"/>
            <w:vMerge w:val="continue"/>
            <w:tcBorders>
              <w:tl2br w:val="nil"/>
              <w:tr2bl w:val="nil"/>
            </w:tcBorders>
            <w:noWrap w:val="0"/>
            <w:vAlign w:val="center"/>
          </w:tcPr>
          <w:p w14:paraId="1AB05390">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rPr>
            </w:pPr>
          </w:p>
        </w:tc>
        <w:tc>
          <w:tcPr>
            <w:tcW w:w="338" w:type="pct"/>
            <w:tcBorders>
              <w:tl2br w:val="nil"/>
              <w:tr2bl w:val="nil"/>
            </w:tcBorders>
            <w:noWrap w:val="0"/>
            <w:vAlign w:val="center"/>
          </w:tcPr>
          <w:p w14:paraId="777E7500">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准保护区</w:t>
            </w:r>
          </w:p>
        </w:tc>
        <w:tc>
          <w:tcPr>
            <w:tcW w:w="577" w:type="pct"/>
            <w:tcBorders>
              <w:tl2br w:val="nil"/>
              <w:tr2bl w:val="nil"/>
            </w:tcBorders>
            <w:noWrap w:val="0"/>
            <w:vAlign w:val="center"/>
          </w:tcPr>
          <w:p w14:paraId="3CAE460E">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w:t>
            </w:r>
          </w:p>
        </w:tc>
        <w:tc>
          <w:tcPr>
            <w:tcW w:w="1178" w:type="pct"/>
            <w:tcBorders>
              <w:tl2br w:val="nil"/>
              <w:tr2bl w:val="nil"/>
            </w:tcBorders>
            <w:noWrap w:val="0"/>
            <w:vAlign w:val="center"/>
          </w:tcPr>
          <w:p w14:paraId="0EA64FF4">
            <w:pPr>
              <w:keepNext w:val="0"/>
              <w:keepLines w:val="0"/>
              <w:pageBreakBefore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b w:val="0"/>
                <w:bCs/>
                <w:color w:val="auto"/>
                <w:spacing w:val="0"/>
                <w:w w:val="100"/>
                <w:position w:val="0"/>
                <w:sz w:val="21"/>
                <w:szCs w:val="21"/>
                <w:u w:val="none" w:color="auto"/>
                <w:lang w:val="en-US" w:eastAsia="zh-CN"/>
              </w:rPr>
            </w:pPr>
            <w:r>
              <w:rPr>
                <w:rFonts w:hint="default" w:ascii="Times New Roman" w:hAnsi="Times New Roman" w:eastAsia="宋体" w:cs="Times New Roman"/>
                <w:b w:val="0"/>
                <w:bCs/>
                <w:color w:val="auto"/>
                <w:spacing w:val="0"/>
                <w:w w:val="100"/>
                <w:position w:val="0"/>
                <w:sz w:val="21"/>
                <w:szCs w:val="21"/>
                <w:u w:val="none" w:color="auto"/>
              </w:rPr>
              <w:t>水库汇水区域（一、二级保护区除外）</w:t>
            </w:r>
          </w:p>
        </w:tc>
      </w:tr>
      <w:bookmarkEnd w:id="60"/>
      <w:bookmarkEnd w:id="61"/>
    </w:tbl>
    <w:p w14:paraId="0D13BFCE">
      <w:pPr>
        <w:pStyle w:val="36"/>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80" w:firstLineChars="200"/>
        <w:textAlignment w:val="auto"/>
        <w:rPr>
          <w:rFonts w:hint="default" w:ascii="Times New Roman" w:hAnsi="Times New Roman" w:eastAsia="宋体" w:cs="Times New Roman"/>
          <w:color w:val="auto"/>
          <w:spacing w:val="0"/>
          <w:w w:val="100"/>
          <w:position w:val="0"/>
          <w:u w:val="none" w:color="auto"/>
        </w:rPr>
      </w:pPr>
    </w:p>
    <w:p w14:paraId="2EDF4CEE">
      <w:pPr>
        <w:pStyle w:val="36"/>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80" w:firstLineChars="200"/>
        <w:textAlignment w:val="auto"/>
        <w:rPr>
          <w:rFonts w:hint="default" w:ascii="Times New Roman" w:hAnsi="Times New Roman" w:eastAsia="宋体" w:cs="Times New Roman"/>
          <w:color w:val="auto"/>
          <w:spacing w:val="0"/>
          <w:w w:val="100"/>
          <w:position w:val="0"/>
          <w:u w:val="none" w:color="auto"/>
        </w:rPr>
      </w:pPr>
    </w:p>
    <w:p w14:paraId="1775572F">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（2）地下水</w:t>
      </w:r>
    </w:p>
    <w:p w14:paraId="57989C7C">
      <w:pPr>
        <w:keepNext w:val="0"/>
        <w:keepLines w:val="0"/>
        <w:pageBreakBefore w:val="0"/>
        <w:widowControl w:val="0"/>
        <w:tabs>
          <w:tab w:val="left" w:pos="247"/>
        </w:tabs>
        <w:overflowPunct/>
        <w:autoSpaceDE/>
        <w:autoSpaceDN/>
        <w:bidi w:val="0"/>
        <w:snapToGrid/>
        <w:spacing w:line="360" w:lineRule="auto"/>
        <w:ind w:left="0" w:right="0" w:firstLine="479"/>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目前该区域尚</w:t>
      </w:r>
      <w:r>
        <w:rPr>
          <w:rFonts w:hint="default" w:ascii="Times New Roman" w:hAnsi="Times New Roman" w:eastAsia="宋体" w:cs="Times New Roman"/>
          <w:color w:val="auto"/>
          <w:spacing w:val="0"/>
          <w:w w:val="100"/>
          <w:position w:val="0"/>
          <w:sz w:val="24"/>
          <w:szCs w:val="24"/>
          <w:u w:val="none" w:color="auto"/>
          <w:lang w:eastAsia="zh-CN"/>
        </w:rPr>
        <w:t>未划定地下水</w:t>
      </w:r>
      <w:r>
        <w:rPr>
          <w:rFonts w:hint="default" w:ascii="Times New Roman" w:hAnsi="Times New Roman" w:eastAsia="宋体" w:cs="Times New Roman"/>
          <w:color w:val="auto"/>
          <w:spacing w:val="0"/>
          <w:w w:val="100"/>
          <w:position w:val="0"/>
          <w:sz w:val="24"/>
          <w:szCs w:val="24"/>
          <w:u w:val="none" w:color="auto"/>
        </w:rPr>
        <w:t>环境功能区划</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根据《地下水质量标准》(</w:t>
      </w:r>
      <w:r>
        <w:rPr>
          <w:rFonts w:hint="default" w:ascii="Times New Roman" w:hAnsi="Times New Roman" w:eastAsia="Times New Roman" w:cs="Times New Roman"/>
          <w:color w:val="auto"/>
          <w:spacing w:val="0"/>
          <w:w w:val="100"/>
          <w:position w:val="0"/>
          <w:sz w:val="24"/>
          <w:szCs w:val="24"/>
          <w:u w:val="none" w:color="auto"/>
        </w:rPr>
        <w:t>GB/T14848-2017</w:t>
      </w:r>
      <w:r>
        <w:rPr>
          <w:rFonts w:hint="default" w:ascii="Times New Roman" w:hAnsi="Times New Roman" w:eastAsia="宋体" w:cs="Times New Roman"/>
          <w:color w:val="auto"/>
          <w:spacing w:val="0"/>
          <w:w w:val="100"/>
          <w:position w:val="0"/>
          <w:sz w:val="24"/>
          <w:szCs w:val="24"/>
          <w:u w:val="none" w:color="auto"/>
        </w:rPr>
        <w:t>)，区域地下水是以人体健康基准值为依据，主要用途为饮用、农业用水，区域地下水水质执行《地下水质量标准》(</w:t>
      </w:r>
      <w:r>
        <w:rPr>
          <w:rFonts w:hint="default" w:ascii="Times New Roman" w:hAnsi="Times New Roman" w:eastAsia="Times New Roman" w:cs="Times New Roman"/>
          <w:color w:val="auto"/>
          <w:spacing w:val="0"/>
          <w:w w:val="100"/>
          <w:position w:val="0"/>
          <w:sz w:val="24"/>
          <w:szCs w:val="24"/>
          <w:u w:val="none" w:color="auto"/>
        </w:rPr>
        <w:t>GB/T14848-2017</w:t>
      </w: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Times New Roman" w:cs="Times New Roman"/>
          <w:color w:val="auto"/>
          <w:spacing w:val="0"/>
          <w:w w:val="100"/>
          <w:position w:val="0"/>
          <w:sz w:val="24"/>
          <w:szCs w:val="24"/>
          <w:u w:val="none" w:color="auto"/>
        </w:rPr>
        <w:t>Ⅲ</w:t>
      </w:r>
      <w:r>
        <w:rPr>
          <w:rFonts w:hint="default" w:ascii="Times New Roman" w:hAnsi="Times New Roman" w:eastAsia="宋体" w:cs="Times New Roman"/>
          <w:color w:val="auto"/>
          <w:spacing w:val="0"/>
          <w:w w:val="100"/>
          <w:position w:val="0"/>
          <w:sz w:val="24"/>
          <w:szCs w:val="24"/>
          <w:u w:val="none" w:color="auto"/>
        </w:rPr>
        <w:t>类标准。</w:t>
      </w:r>
    </w:p>
    <w:p w14:paraId="34067C08">
      <w:pPr>
        <w:pStyle w:val="4"/>
        <w:bidi w:val="0"/>
        <w:rPr>
          <w:rFonts w:hint="default" w:ascii="Times New Roman" w:hAnsi="Times New Roman" w:cs="Times New Roman"/>
        </w:rPr>
      </w:pPr>
      <w:bookmarkStart w:id="62" w:name="_Toc10110"/>
      <w:r>
        <w:rPr>
          <w:rFonts w:hint="default" w:ascii="Times New Roman" w:hAnsi="Times New Roman" w:cs="Times New Roman"/>
        </w:rPr>
        <w:t>声环境功能区划</w:t>
      </w:r>
      <w:bookmarkEnd w:id="62"/>
    </w:p>
    <w:p w14:paraId="4E4CC37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themeColor="text1"/>
          <w:spacing w:val="0"/>
          <w:w w:val="100"/>
          <w:kern w:val="0"/>
          <w:position w:val="0"/>
          <w:sz w:val="24"/>
          <w:szCs w:val="24"/>
          <w:highlight w:val="none"/>
          <w:u w:val="none" w:color="auto"/>
          <w:lang w:eastAsia="zh-CN"/>
          <w14:textFill>
            <w14:solidFill>
              <w14:schemeClr w14:val="tx1"/>
            </w14:solidFill>
          </w14:textFill>
        </w:rPr>
      </w:pPr>
      <w:r>
        <w:rPr>
          <w:rFonts w:hint="default" w:ascii="Times New Roman" w:hAnsi="Times New Roman" w:eastAsia="宋体" w:cs="Times New Roman"/>
          <w:color w:val="000000" w:themeColor="text1"/>
          <w:spacing w:val="0"/>
          <w:w w:val="100"/>
          <w:kern w:val="0"/>
          <w:position w:val="0"/>
          <w:sz w:val="24"/>
          <w:szCs w:val="24"/>
          <w:highlight w:val="none"/>
          <w:u w:val="none" w:color="auto"/>
          <w:lang w:eastAsia="zh-CN"/>
          <w14:textFill>
            <w14:solidFill>
              <w14:schemeClr w14:val="tx1"/>
            </w14:solidFill>
          </w14:textFill>
        </w:rPr>
        <w:t xml:space="preserve">东山水库所在地属于农村地区，目前该区域尚未划定声环境功能区划。根据《声环境质量标准》(GB3096-2008)、《声环境功能区划分技术规范》(GB/T15190-2014)中的声环境功能区分类，农村区域原则上执行1类声环境功能区要求，项目区无工业活动分布，也没有交通干线经过。因此，本项目所在区域声环境执行《声环境质量标准》(GB3096-2008)中的1类标准。 </w:t>
      </w:r>
    </w:p>
    <w:p w14:paraId="35718310">
      <w:pPr>
        <w:pStyle w:val="4"/>
        <w:bidi w:val="0"/>
        <w:rPr>
          <w:rFonts w:hint="default" w:ascii="Times New Roman" w:hAnsi="Times New Roman" w:cs="Times New Roman"/>
        </w:rPr>
      </w:pPr>
      <w:bookmarkStart w:id="63" w:name="_Toc8696"/>
      <w:r>
        <w:rPr>
          <w:rFonts w:hint="default" w:ascii="Times New Roman" w:hAnsi="Times New Roman" w:cs="Times New Roman"/>
        </w:rPr>
        <w:t>土壤环境功能区划</w:t>
      </w:r>
      <w:bookmarkEnd w:id="63"/>
    </w:p>
    <w:p w14:paraId="585F039B">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建设用地土壤</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和</w:t>
      </w:r>
      <w:r>
        <w:rPr>
          <w:rFonts w:hint="default" w:ascii="Times New Roman" w:hAnsi="Times New Roman" w:eastAsia="宋体" w:cs="Times New Roman"/>
          <w:caps w:val="0"/>
          <w:smallCaps w:val="0"/>
          <w:color w:val="auto"/>
          <w:spacing w:val="0"/>
          <w:w w:val="100"/>
          <w:kern w:val="0"/>
          <w:position w:val="0"/>
          <w:sz w:val="24"/>
          <w:szCs w:val="24"/>
          <w:u w:val="none" w:color="auto"/>
        </w:rPr>
        <w:t>周边土地利用类型主要为旱地，土壤环境质量现状执行《土壤环境质量标准  农用地土壤污染风险管控标准》（试行）（GB15618-2018）标准限值要求。</w:t>
      </w:r>
    </w:p>
    <w:p w14:paraId="4351D358">
      <w:pPr>
        <w:pStyle w:val="4"/>
        <w:bidi w:val="0"/>
        <w:rPr>
          <w:rFonts w:hint="default" w:ascii="Times New Roman" w:hAnsi="Times New Roman" w:cs="Times New Roman"/>
        </w:rPr>
      </w:pPr>
      <w:bookmarkStart w:id="64" w:name="_Toc13541"/>
      <w:r>
        <w:rPr>
          <w:rFonts w:hint="default" w:ascii="Times New Roman" w:hAnsi="Times New Roman" w:cs="Times New Roman"/>
          <w:lang w:val="en-US" w:eastAsia="zh-CN"/>
        </w:rPr>
        <w:t>生</w:t>
      </w:r>
      <w:r>
        <w:rPr>
          <w:rFonts w:hint="default" w:ascii="Times New Roman" w:hAnsi="Times New Roman" w:cs="Times New Roman"/>
        </w:rPr>
        <w:t>环境功能区划</w:t>
      </w:r>
      <w:bookmarkEnd w:id="64"/>
    </w:p>
    <w:p w14:paraId="028E710F">
      <w:pPr>
        <w:keepNext w:val="0"/>
        <w:keepLines w:val="0"/>
        <w:pageBreakBefore w:val="0"/>
        <w:widowControl w:val="0"/>
        <w:kinsoku/>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kern w:val="0"/>
          <w:sz w:val="24"/>
          <w:szCs w:val="24"/>
          <w:lang w:val="en-US" w:eastAsia="zh-CN" w:bidi="ar"/>
        </w:rPr>
      </w:pPr>
      <w:bookmarkStart w:id="65" w:name="_Toc72569625"/>
      <w:bookmarkStart w:id="66" w:name="_Toc15319395"/>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根据《全国生态功能区划》（2015年修编版）和《湖南省主体功能区规划》，东山水库除险加固工程牌洞庭湖洪水调蓄与生物多样性保护功能区。该区主要生态问题是湖泊围垦和泥沙淤积导致湖泊面积和容积缩小，洪水调蓄能力降低；迁徙鸟类等重要物种的栖息地受到损害；随着洞庭湖流域经济发展与城市化，水环境质量面临威胁。该区的生态保护与建设重点：以湿地生物多样性保护为核心，加强区内湿地自然保护区的建设与管理，处理好湿地生态保护与经济发展关系，保护渔业资源与水生生物多样性；控制点源和面源污染，加强江湖关系演变的监测和研究，实施长江干流水利工程的生态调度，保护与恢复洞庭湖生态系统结构与功能。</w:t>
      </w:r>
      <w:r>
        <w:rPr>
          <w:rFonts w:hint="default" w:ascii="Times New Roman" w:hAnsi="Times New Roman" w:eastAsia="宋体" w:cs="Times New Roman"/>
          <w:color w:val="000000"/>
          <w:kern w:val="0"/>
          <w:sz w:val="24"/>
          <w:szCs w:val="24"/>
          <w:lang w:val="en-US" w:eastAsia="zh-CN" w:bidi="ar"/>
        </w:rPr>
        <w:t xml:space="preserve"> </w:t>
      </w:r>
    </w:p>
    <w:p w14:paraId="715A23C4">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lang w:val="en-US" w:eastAsia="zh-CN"/>
        </w:rPr>
        <w:t>根据《湖南省主体功能区规划》，项目位于华容县东山镇，项目工程区域所在桃花山省级森林公园属于湖南省主体功能区规划中“禁止开发区域（禁止进行工业化城镇化开发的特定区域）”，主要包括：各级各类自然保护区、风景名胜区、森林公园、地质公园、重要湿地、历史文化自然遗产、基本农田、蓄滞洪区、重要水源地等）”。禁止开发区功能定位：</w:t>
      </w:r>
      <w:r>
        <w:rPr>
          <w:rFonts w:hint="default" w:ascii="Times New Roman" w:hAnsi="Times New Roman" w:eastAsia="宋体" w:cs="Times New Roman"/>
          <w:color w:val="auto"/>
          <w:spacing w:val="0"/>
          <w:w w:val="100"/>
          <w:kern w:val="0"/>
          <w:position w:val="0"/>
          <w:sz w:val="24"/>
          <w:highlight w:val="none"/>
          <w:u w:val="none" w:color="auto"/>
        </w:rPr>
        <w:t>保护自然文化资源的重要区域，点状分布的重要生态功能区，珍贵动植物基因资源保护地，防洪减灾、确保流域安全的重要区域。管制原则</w:t>
      </w:r>
      <w:r>
        <w:rPr>
          <w:rFonts w:hint="default" w:ascii="Times New Roman" w:hAnsi="Times New Roman" w:eastAsia="宋体" w:cs="Times New Roman"/>
          <w:color w:val="auto"/>
          <w:spacing w:val="0"/>
          <w:w w:val="100"/>
          <w:kern w:val="0"/>
          <w:position w:val="0"/>
          <w:sz w:val="24"/>
          <w:highlight w:val="none"/>
          <w:u w:val="none" w:color="auto"/>
          <w:lang w:eastAsia="zh-CN"/>
        </w:rPr>
        <w:t>：</w:t>
      </w:r>
      <w:r>
        <w:rPr>
          <w:rFonts w:hint="default" w:ascii="Times New Roman" w:hAnsi="Times New Roman" w:eastAsia="宋体" w:cs="Times New Roman"/>
          <w:color w:val="auto"/>
          <w:spacing w:val="0"/>
          <w:w w:val="100"/>
          <w:kern w:val="0"/>
          <w:position w:val="0"/>
          <w:sz w:val="24"/>
          <w:highlight w:val="none"/>
          <w:u w:val="none" w:color="auto"/>
        </w:rPr>
        <w:t>依据法律法规和相关规划实行强制性保护，控制人为因素对自然生态和文化自然遗产原真性、完整性的干扰，严禁不符合主体功能定位的各类开发活动，引导人口逐步有序转移，实行污染物“零排放”，提高环境质量。</w:t>
      </w:r>
    </w:p>
    <w:p w14:paraId="687D8D6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本项目所在区域环境功能区划见表</w:t>
      </w:r>
      <w:r>
        <w:rPr>
          <w:rFonts w:hint="default" w:ascii="Times New Roman" w:hAnsi="Times New Roman" w:eastAsia="Times New Roman" w:cs="Times New Roman"/>
          <w:color w:val="auto"/>
          <w:spacing w:val="0"/>
          <w:w w:val="100"/>
          <w:position w:val="0"/>
          <w:sz w:val="24"/>
          <w:szCs w:val="24"/>
          <w:u w:val="none" w:color="auto"/>
        </w:rPr>
        <w:t>1.</w:t>
      </w:r>
      <w:r>
        <w:rPr>
          <w:rFonts w:hint="default" w:ascii="Times New Roman" w:hAnsi="Times New Roman" w:eastAsia="宋体" w:cs="Times New Roman"/>
          <w:color w:val="auto"/>
          <w:spacing w:val="0"/>
          <w:w w:val="100"/>
          <w:position w:val="0"/>
          <w:sz w:val="24"/>
          <w:szCs w:val="24"/>
          <w:u w:val="none" w:color="auto"/>
          <w:lang w:val="en-US" w:eastAsia="zh-CN"/>
        </w:rPr>
        <w:t>4</w:t>
      </w:r>
      <w:r>
        <w:rPr>
          <w:rFonts w:hint="default" w:ascii="Times New Roman" w:hAnsi="Times New Roman" w:eastAsia="Times New Roman" w:cs="Times New Roman"/>
          <w:color w:val="auto"/>
          <w:spacing w:val="0"/>
          <w:w w:val="100"/>
          <w:position w:val="0"/>
          <w:sz w:val="24"/>
          <w:szCs w:val="24"/>
          <w:u w:val="none" w:color="auto"/>
        </w:rPr>
        <w:t>-2</w:t>
      </w:r>
      <w:r>
        <w:rPr>
          <w:rFonts w:hint="default" w:ascii="Times New Roman" w:hAnsi="Times New Roman" w:eastAsia="宋体" w:cs="Times New Roman"/>
          <w:color w:val="auto"/>
          <w:spacing w:val="0"/>
          <w:w w:val="100"/>
          <w:position w:val="0"/>
          <w:sz w:val="24"/>
          <w:szCs w:val="24"/>
          <w:u w:val="none" w:color="auto"/>
        </w:rPr>
        <w:t>。</w:t>
      </w:r>
    </w:p>
    <w:p w14:paraId="00904F9C">
      <w:pPr>
        <w:jc w:val="center"/>
        <w:rPr>
          <w:rFonts w:hint="default" w:ascii="Times New Roman" w:hAnsi="Times New Roman" w:eastAsia="宋体" w:cs="Times New Roman"/>
          <w:b/>
          <w:color w:val="auto"/>
          <w:spacing w:val="0"/>
          <w:w w:val="100"/>
          <w:position w:val="0"/>
          <w:sz w:val="24"/>
          <w:szCs w:val="24"/>
          <w:u w:val="none" w:color="auto"/>
        </w:rPr>
      </w:pPr>
      <w:r>
        <w:rPr>
          <w:rFonts w:hint="default" w:ascii="Times New Roman" w:hAnsi="Times New Roman" w:eastAsia="宋体" w:cs="Times New Roman"/>
          <w:b/>
          <w:color w:val="auto"/>
          <w:spacing w:val="0"/>
          <w:w w:val="100"/>
          <w:position w:val="0"/>
          <w:sz w:val="24"/>
          <w:szCs w:val="24"/>
          <w:u w:val="none" w:color="auto"/>
        </w:rPr>
        <w:t>表1.</w:t>
      </w:r>
      <w:r>
        <w:rPr>
          <w:rFonts w:hint="default" w:ascii="Times New Roman" w:hAnsi="Times New Roman" w:eastAsia="宋体" w:cs="Times New Roman"/>
          <w:b/>
          <w:color w:val="auto"/>
          <w:spacing w:val="0"/>
          <w:w w:val="100"/>
          <w:position w:val="0"/>
          <w:sz w:val="24"/>
          <w:szCs w:val="24"/>
          <w:u w:val="none" w:color="auto"/>
          <w:lang w:val="en-US" w:eastAsia="zh-CN"/>
        </w:rPr>
        <w:t>4</w:t>
      </w:r>
      <w:r>
        <w:rPr>
          <w:rFonts w:hint="default" w:ascii="Times New Roman" w:hAnsi="Times New Roman" w:eastAsia="宋体" w:cs="Times New Roman"/>
          <w:b/>
          <w:color w:val="auto"/>
          <w:spacing w:val="0"/>
          <w:w w:val="100"/>
          <w:position w:val="0"/>
          <w:sz w:val="24"/>
          <w:szCs w:val="24"/>
          <w:u w:val="none" w:color="auto"/>
        </w:rPr>
        <w:noBreakHyphen/>
      </w:r>
      <w:r>
        <w:rPr>
          <w:rFonts w:hint="default" w:ascii="Times New Roman" w:hAnsi="Times New Roman" w:eastAsia="宋体" w:cs="Times New Roman"/>
          <w:b/>
          <w:color w:val="auto"/>
          <w:spacing w:val="0"/>
          <w:w w:val="100"/>
          <w:position w:val="0"/>
          <w:sz w:val="24"/>
          <w:szCs w:val="24"/>
          <w:u w:val="none" w:color="auto"/>
          <w:lang w:val="en-US" w:eastAsia="zh-CN"/>
        </w:rPr>
        <w:t>2</w:t>
      </w:r>
      <w:r>
        <w:rPr>
          <w:rFonts w:hint="default" w:ascii="Times New Roman" w:hAnsi="Times New Roman" w:eastAsia="宋体" w:cs="Times New Roman"/>
          <w:b/>
          <w:color w:val="auto"/>
          <w:spacing w:val="0"/>
          <w:w w:val="100"/>
          <w:position w:val="0"/>
          <w:sz w:val="24"/>
          <w:szCs w:val="24"/>
          <w:u w:val="none" w:color="auto"/>
        </w:rPr>
        <w:t>环境功能区划表</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809"/>
        <w:gridCol w:w="2770"/>
        <w:gridCol w:w="4937"/>
      </w:tblGrid>
      <w:tr w14:paraId="67C0C2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09" w:type="dxa"/>
            <w:noWrap w:val="0"/>
            <w:vAlign w:val="center"/>
          </w:tcPr>
          <w:p w14:paraId="33F16CC1">
            <w:pPr>
              <w:jc w:val="center"/>
              <w:rPr>
                <w:rFonts w:hint="default" w:ascii="Times New Roman" w:hAnsi="Times New Roman" w:eastAsia="宋体" w:cs="Times New Roman"/>
                <w:b/>
                <w:bCs/>
                <w:color w:val="auto"/>
                <w:spacing w:val="0"/>
                <w:w w:val="100"/>
                <w:position w:val="0"/>
                <w:sz w:val="21"/>
                <w:szCs w:val="21"/>
                <w:u w:val="none" w:color="auto"/>
              </w:rPr>
            </w:pPr>
            <w:r>
              <w:rPr>
                <w:rStyle w:val="96"/>
                <w:rFonts w:hint="default" w:ascii="Times New Roman" w:hAnsi="Times New Roman" w:eastAsia="宋体" w:cs="Times New Roman"/>
                <w:b/>
                <w:bCs/>
                <w:color w:val="auto"/>
                <w:spacing w:val="0"/>
                <w:w w:val="100"/>
                <w:position w:val="0"/>
                <w:sz w:val="21"/>
                <w:szCs w:val="21"/>
                <w:u w:val="none" w:color="auto"/>
              </w:rPr>
              <w:t>编号</w:t>
            </w:r>
          </w:p>
        </w:tc>
        <w:tc>
          <w:tcPr>
            <w:tcW w:w="2770" w:type="dxa"/>
            <w:noWrap w:val="0"/>
            <w:vAlign w:val="center"/>
          </w:tcPr>
          <w:p w14:paraId="6D9BCFD8">
            <w:pPr>
              <w:jc w:val="center"/>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环境要素</w:t>
            </w:r>
          </w:p>
        </w:tc>
        <w:tc>
          <w:tcPr>
            <w:tcW w:w="4937" w:type="dxa"/>
            <w:noWrap w:val="0"/>
            <w:vAlign w:val="center"/>
          </w:tcPr>
          <w:p w14:paraId="6800A062">
            <w:pPr>
              <w:jc w:val="center"/>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环境功能属性</w:t>
            </w:r>
          </w:p>
        </w:tc>
      </w:tr>
      <w:tr w14:paraId="250B87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09" w:type="dxa"/>
            <w:noWrap w:val="0"/>
            <w:vAlign w:val="center"/>
          </w:tcPr>
          <w:p w14:paraId="05B4414E">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1</w:t>
            </w:r>
          </w:p>
        </w:tc>
        <w:tc>
          <w:tcPr>
            <w:tcW w:w="2770" w:type="dxa"/>
            <w:noWrap w:val="0"/>
            <w:vAlign w:val="center"/>
          </w:tcPr>
          <w:p w14:paraId="1A97BA80">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环境空气</w:t>
            </w:r>
          </w:p>
        </w:tc>
        <w:tc>
          <w:tcPr>
            <w:tcW w:w="4937" w:type="dxa"/>
            <w:noWrap w:val="0"/>
            <w:vAlign w:val="center"/>
          </w:tcPr>
          <w:p w14:paraId="1AAD5EF7">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二类区，执行（GB3095-2012）二级标准</w:t>
            </w:r>
          </w:p>
        </w:tc>
      </w:tr>
      <w:tr w14:paraId="05BD23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09" w:type="dxa"/>
            <w:noWrap w:val="0"/>
            <w:vAlign w:val="center"/>
          </w:tcPr>
          <w:p w14:paraId="5B45AD13">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2</w:t>
            </w:r>
          </w:p>
        </w:tc>
        <w:tc>
          <w:tcPr>
            <w:tcW w:w="2770" w:type="dxa"/>
            <w:noWrap w:val="0"/>
            <w:vAlign w:val="center"/>
          </w:tcPr>
          <w:p w14:paraId="134A3BA9">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地表水</w:t>
            </w:r>
          </w:p>
        </w:tc>
        <w:tc>
          <w:tcPr>
            <w:tcW w:w="4937" w:type="dxa"/>
            <w:noWrap w:val="0"/>
            <w:vAlign w:val="center"/>
          </w:tcPr>
          <w:p w14:paraId="7A16CB9B">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 xml:space="preserve"> </w:t>
            </w:r>
            <w:r>
              <w:rPr>
                <w:rFonts w:hint="default" w:ascii="Times New Roman" w:hAnsi="Times New Roman" w:eastAsia="Times New Roman" w:cs="Times New Roman"/>
                <w:color w:val="auto"/>
                <w:spacing w:val="0"/>
                <w:w w:val="100"/>
                <w:position w:val="0"/>
                <w:sz w:val="21"/>
                <w:szCs w:val="21"/>
                <w:u w:val="none" w:color="auto"/>
              </w:rPr>
              <w:t>II</w:t>
            </w:r>
            <w:r>
              <w:rPr>
                <w:rFonts w:hint="default" w:ascii="Times New Roman" w:hAnsi="Times New Roman" w:eastAsia="宋体" w:cs="Times New Roman"/>
                <w:color w:val="auto"/>
                <w:spacing w:val="0"/>
                <w:w w:val="100"/>
                <w:position w:val="0"/>
                <w:sz w:val="21"/>
                <w:szCs w:val="21"/>
                <w:u w:val="none" w:color="auto"/>
              </w:rPr>
              <w:t>、</w:t>
            </w:r>
            <w:r>
              <w:rPr>
                <w:rFonts w:hint="default" w:ascii="Times New Roman" w:hAnsi="Times New Roman" w:eastAsia="Times New Roman" w:cs="Times New Roman"/>
                <w:color w:val="auto"/>
                <w:spacing w:val="0"/>
                <w:w w:val="100"/>
                <w:position w:val="0"/>
                <w:sz w:val="21"/>
                <w:szCs w:val="21"/>
                <w:u w:val="none" w:color="auto"/>
              </w:rPr>
              <w:t>III</w:t>
            </w:r>
            <w:r>
              <w:rPr>
                <w:rFonts w:hint="default" w:ascii="Times New Roman" w:hAnsi="Times New Roman" w:eastAsia="宋体" w:cs="Times New Roman"/>
                <w:color w:val="auto"/>
                <w:spacing w:val="0"/>
                <w:w w:val="100"/>
                <w:position w:val="0"/>
                <w:sz w:val="21"/>
                <w:szCs w:val="21"/>
                <w:u w:val="none" w:color="auto"/>
              </w:rPr>
              <w:t>类</w:t>
            </w:r>
            <w:r>
              <w:rPr>
                <w:rFonts w:hint="default" w:ascii="Times New Roman" w:hAnsi="Times New Roman" w:eastAsia="宋体" w:cs="Times New Roman"/>
                <w:color w:val="auto"/>
                <w:spacing w:val="0"/>
                <w:w w:val="100"/>
                <w:position w:val="0"/>
                <w:sz w:val="21"/>
                <w:szCs w:val="21"/>
                <w:u w:val="none" w:color="auto"/>
                <w:lang w:eastAsia="zh-CN"/>
              </w:rPr>
              <w:t>，分别执行</w:t>
            </w:r>
            <w:r>
              <w:rPr>
                <w:rFonts w:hint="default" w:ascii="Times New Roman" w:hAnsi="Times New Roman" w:eastAsia="宋体" w:cs="Times New Roman"/>
                <w:color w:val="auto"/>
                <w:spacing w:val="0"/>
                <w:w w:val="100"/>
                <w:position w:val="0"/>
                <w:sz w:val="21"/>
                <w:szCs w:val="21"/>
                <w:u w:val="none" w:color="auto"/>
              </w:rPr>
              <w:t>《地表水环境质量标准》(</w:t>
            </w:r>
            <w:r>
              <w:rPr>
                <w:rFonts w:hint="default" w:ascii="Times New Roman" w:hAnsi="Times New Roman" w:eastAsia="Times New Roman" w:cs="Times New Roman"/>
                <w:color w:val="auto"/>
                <w:spacing w:val="0"/>
                <w:w w:val="100"/>
                <w:position w:val="0"/>
                <w:sz w:val="21"/>
                <w:szCs w:val="21"/>
                <w:u w:val="none" w:color="auto"/>
              </w:rPr>
              <w:t>GB3838-2002</w:t>
            </w:r>
            <w:r>
              <w:rPr>
                <w:rFonts w:hint="default" w:ascii="Times New Roman" w:hAnsi="Times New Roman" w:eastAsia="宋体" w:cs="Times New Roman"/>
                <w:color w:val="auto"/>
                <w:spacing w:val="0"/>
                <w:w w:val="100"/>
                <w:position w:val="0"/>
                <w:sz w:val="21"/>
                <w:szCs w:val="21"/>
                <w:u w:val="none" w:color="auto"/>
              </w:rPr>
              <w:t>)</w:t>
            </w:r>
            <w:r>
              <w:rPr>
                <w:rFonts w:hint="default" w:ascii="Times New Roman" w:hAnsi="Times New Roman" w:eastAsia="宋体" w:cs="Times New Roman"/>
                <w:color w:val="auto"/>
                <w:spacing w:val="0"/>
                <w:w w:val="100"/>
                <w:position w:val="0"/>
                <w:sz w:val="21"/>
                <w:szCs w:val="21"/>
                <w:u w:val="none" w:color="auto"/>
                <w:lang w:eastAsia="zh-CN"/>
              </w:rPr>
              <w:t>中</w:t>
            </w:r>
            <w:r>
              <w:rPr>
                <w:rFonts w:hint="default" w:ascii="Times New Roman" w:hAnsi="Times New Roman" w:eastAsia="Times New Roman" w:cs="Times New Roman"/>
                <w:color w:val="auto"/>
                <w:spacing w:val="0"/>
                <w:w w:val="100"/>
                <w:position w:val="0"/>
                <w:sz w:val="21"/>
                <w:szCs w:val="21"/>
                <w:u w:val="none" w:color="auto"/>
              </w:rPr>
              <w:t>II</w:t>
            </w:r>
            <w:r>
              <w:rPr>
                <w:rFonts w:hint="default" w:ascii="Times New Roman" w:hAnsi="Times New Roman" w:eastAsia="宋体" w:cs="Times New Roman"/>
                <w:color w:val="auto"/>
                <w:spacing w:val="0"/>
                <w:w w:val="100"/>
                <w:position w:val="0"/>
                <w:sz w:val="21"/>
                <w:szCs w:val="21"/>
                <w:u w:val="none" w:color="auto"/>
              </w:rPr>
              <w:t>、</w:t>
            </w:r>
            <w:r>
              <w:rPr>
                <w:rFonts w:hint="default" w:ascii="Times New Roman" w:hAnsi="Times New Roman" w:eastAsia="Times New Roman" w:cs="Times New Roman"/>
                <w:color w:val="auto"/>
                <w:spacing w:val="0"/>
                <w:w w:val="100"/>
                <w:position w:val="0"/>
                <w:sz w:val="21"/>
                <w:szCs w:val="21"/>
                <w:u w:val="none" w:color="auto"/>
              </w:rPr>
              <w:t>III</w:t>
            </w:r>
            <w:r>
              <w:rPr>
                <w:rFonts w:hint="default" w:ascii="Times New Roman" w:hAnsi="Times New Roman" w:eastAsia="宋体" w:cs="Times New Roman"/>
                <w:color w:val="auto"/>
                <w:spacing w:val="0"/>
                <w:w w:val="100"/>
                <w:position w:val="0"/>
                <w:sz w:val="21"/>
                <w:szCs w:val="21"/>
                <w:u w:val="none" w:color="auto"/>
              </w:rPr>
              <w:t>类标准</w:t>
            </w:r>
          </w:p>
        </w:tc>
      </w:tr>
      <w:tr w14:paraId="40C89A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09" w:type="dxa"/>
            <w:noWrap w:val="0"/>
            <w:vAlign w:val="center"/>
          </w:tcPr>
          <w:p w14:paraId="75FBB880">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3</w:t>
            </w:r>
          </w:p>
        </w:tc>
        <w:tc>
          <w:tcPr>
            <w:tcW w:w="2770" w:type="dxa"/>
            <w:noWrap w:val="0"/>
            <w:vAlign w:val="center"/>
          </w:tcPr>
          <w:p w14:paraId="477781E1">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地下水</w:t>
            </w:r>
          </w:p>
        </w:tc>
        <w:tc>
          <w:tcPr>
            <w:tcW w:w="4937" w:type="dxa"/>
            <w:noWrap w:val="0"/>
            <w:vAlign w:val="center"/>
          </w:tcPr>
          <w:p w14:paraId="3D12FAAC">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《地下水质量标准》（GB/T14848-2017）中的Ⅲ类标准</w:t>
            </w:r>
          </w:p>
        </w:tc>
      </w:tr>
      <w:tr w14:paraId="672498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09" w:type="dxa"/>
            <w:noWrap w:val="0"/>
            <w:vAlign w:val="center"/>
          </w:tcPr>
          <w:p w14:paraId="6F500FB4">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4</w:t>
            </w:r>
          </w:p>
        </w:tc>
        <w:tc>
          <w:tcPr>
            <w:tcW w:w="2770" w:type="dxa"/>
            <w:noWrap w:val="0"/>
            <w:vAlign w:val="center"/>
          </w:tcPr>
          <w:p w14:paraId="28B669C6">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声环境</w:t>
            </w:r>
          </w:p>
        </w:tc>
        <w:tc>
          <w:tcPr>
            <w:tcW w:w="4937" w:type="dxa"/>
            <w:noWrap w:val="0"/>
            <w:vAlign w:val="center"/>
          </w:tcPr>
          <w:p w14:paraId="2F75B7EB">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lang w:val="en-US" w:eastAsia="zh-CN"/>
              </w:rPr>
              <w:t>1类区，</w:t>
            </w:r>
            <w:r>
              <w:rPr>
                <w:rFonts w:hint="default" w:ascii="Times New Roman" w:hAnsi="Times New Roman" w:eastAsia="宋体" w:cs="Times New Roman"/>
                <w:color w:val="auto"/>
                <w:spacing w:val="0"/>
                <w:w w:val="100"/>
                <w:position w:val="0"/>
                <w:sz w:val="21"/>
                <w:szCs w:val="21"/>
                <w:u w:val="none" w:color="auto"/>
              </w:rPr>
              <w:t>执行</w:t>
            </w:r>
            <w:r>
              <w:rPr>
                <w:rFonts w:hint="default" w:ascii="Times New Roman" w:hAnsi="Times New Roman" w:eastAsia="宋体" w:cs="Times New Roman"/>
                <w:color w:val="000000" w:themeColor="text1"/>
                <w:spacing w:val="0"/>
                <w:w w:val="100"/>
                <w:kern w:val="0"/>
                <w:position w:val="0"/>
                <w:sz w:val="24"/>
                <w:szCs w:val="24"/>
                <w:highlight w:val="none"/>
                <w:u w:val="none" w:color="auto"/>
                <w:lang w:eastAsia="zh-CN"/>
                <w14:textFill>
                  <w14:solidFill>
                    <w14:schemeClr w14:val="tx1"/>
                  </w14:solidFill>
                </w14:textFill>
              </w:rPr>
              <w:t>《声环境质量标准》</w:t>
            </w:r>
            <w:r>
              <w:rPr>
                <w:rFonts w:hint="default" w:ascii="Times New Roman" w:hAnsi="Times New Roman" w:eastAsia="宋体" w:cs="Times New Roman"/>
                <w:color w:val="auto"/>
                <w:spacing w:val="0"/>
                <w:w w:val="100"/>
                <w:position w:val="0"/>
                <w:sz w:val="21"/>
                <w:szCs w:val="21"/>
                <w:u w:val="none" w:color="auto"/>
              </w:rPr>
              <w:t>（GB3096-2008）</w:t>
            </w:r>
            <w:r>
              <w:rPr>
                <w:rFonts w:hint="default" w:ascii="Times New Roman" w:hAnsi="Times New Roman" w:eastAsia="宋体" w:cs="Times New Roman"/>
                <w:color w:val="auto"/>
                <w:spacing w:val="0"/>
                <w:w w:val="100"/>
                <w:position w:val="0"/>
                <w:sz w:val="21"/>
                <w:szCs w:val="21"/>
                <w:u w:val="none" w:color="auto"/>
                <w:lang w:val="en-US" w:eastAsia="zh-CN"/>
              </w:rPr>
              <w:t>1</w:t>
            </w:r>
            <w:r>
              <w:rPr>
                <w:rFonts w:hint="default" w:ascii="Times New Roman" w:hAnsi="Times New Roman" w:eastAsia="宋体" w:cs="Times New Roman"/>
                <w:color w:val="auto"/>
                <w:spacing w:val="0"/>
                <w:w w:val="100"/>
                <w:position w:val="0"/>
                <w:sz w:val="21"/>
                <w:szCs w:val="21"/>
                <w:u w:val="none" w:color="auto"/>
              </w:rPr>
              <w:t>类标准</w:t>
            </w:r>
          </w:p>
        </w:tc>
      </w:tr>
      <w:tr w14:paraId="1E90AC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09" w:type="dxa"/>
            <w:noWrap w:val="0"/>
            <w:vAlign w:val="center"/>
          </w:tcPr>
          <w:p w14:paraId="6C0B7360">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5</w:t>
            </w:r>
          </w:p>
        </w:tc>
        <w:tc>
          <w:tcPr>
            <w:tcW w:w="2770" w:type="dxa"/>
            <w:noWrap w:val="0"/>
            <w:vAlign w:val="center"/>
          </w:tcPr>
          <w:p w14:paraId="573F3B6E">
            <w:pPr>
              <w:jc w:val="center"/>
              <w:rPr>
                <w:rStyle w:val="96"/>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是否基本农田保护区</w:t>
            </w:r>
          </w:p>
        </w:tc>
        <w:tc>
          <w:tcPr>
            <w:tcW w:w="4937" w:type="dxa"/>
            <w:noWrap w:val="0"/>
            <w:vAlign w:val="center"/>
          </w:tcPr>
          <w:p w14:paraId="18B4776B">
            <w:pPr>
              <w:jc w:val="center"/>
              <w:rPr>
                <w:rStyle w:val="96"/>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否</w:t>
            </w:r>
          </w:p>
        </w:tc>
      </w:tr>
      <w:tr w14:paraId="26C254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09" w:type="dxa"/>
            <w:noWrap w:val="0"/>
            <w:vAlign w:val="center"/>
          </w:tcPr>
          <w:p w14:paraId="4EFFF955">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6</w:t>
            </w:r>
          </w:p>
        </w:tc>
        <w:tc>
          <w:tcPr>
            <w:tcW w:w="2770" w:type="dxa"/>
            <w:noWrap w:val="0"/>
            <w:vAlign w:val="center"/>
          </w:tcPr>
          <w:p w14:paraId="111BD1DB">
            <w:pPr>
              <w:jc w:val="center"/>
              <w:rPr>
                <w:rStyle w:val="96"/>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是否森林公园</w:t>
            </w:r>
          </w:p>
        </w:tc>
        <w:tc>
          <w:tcPr>
            <w:tcW w:w="4937" w:type="dxa"/>
            <w:noWrap w:val="0"/>
            <w:vAlign w:val="center"/>
          </w:tcPr>
          <w:p w14:paraId="7407D27B">
            <w:pPr>
              <w:jc w:val="center"/>
              <w:rPr>
                <w:rStyle w:val="96"/>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lang w:eastAsia="zh-CN"/>
              </w:rPr>
              <w:t>是</w:t>
            </w:r>
          </w:p>
        </w:tc>
      </w:tr>
      <w:tr w14:paraId="08BF9E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09" w:type="dxa"/>
            <w:noWrap w:val="0"/>
            <w:vAlign w:val="center"/>
          </w:tcPr>
          <w:p w14:paraId="789DC9AA">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7</w:t>
            </w:r>
          </w:p>
        </w:tc>
        <w:tc>
          <w:tcPr>
            <w:tcW w:w="2770" w:type="dxa"/>
            <w:noWrap w:val="0"/>
            <w:vAlign w:val="center"/>
          </w:tcPr>
          <w:p w14:paraId="2AFE4610">
            <w:pPr>
              <w:jc w:val="center"/>
              <w:rPr>
                <w:rStyle w:val="96"/>
                <w:rFonts w:hint="default" w:ascii="Times New Roman" w:hAnsi="Times New Roman" w:eastAsia="宋体" w:cs="Times New Roman"/>
                <w:color w:val="auto"/>
                <w:spacing w:val="0"/>
                <w:w w:val="100"/>
                <w:position w:val="0"/>
                <w:sz w:val="21"/>
                <w:szCs w:val="21"/>
                <w:highlight w:val="none"/>
                <w:u w:val="none" w:color="auto"/>
              </w:rPr>
            </w:pPr>
            <w:r>
              <w:rPr>
                <w:rFonts w:hint="default" w:ascii="Times New Roman" w:hAnsi="Times New Roman" w:eastAsia="宋体" w:cs="Times New Roman"/>
                <w:color w:val="auto"/>
                <w:spacing w:val="0"/>
                <w:w w:val="100"/>
                <w:position w:val="0"/>
                <w:sz w:val="21"/>
                <w:szCs w:val="21"/>
                <w:highlight w:val="none"/>
                <w:u w:val="none" w:color="auto"/>
              </w:rPr>
              <w:t>是否生态功能保护区</w:t>
            </w:r>
          </w:p>
        </w:tc>
        <w:tc>
          <w:tcPr>
            <w:tcW w:w="4937" w:type="dxa"/>
            <w:noWrap w:val="0"/>
            <w:vAlign w:val="center"/>
          </w:tcPr>
          <w:p w14:paraId="0A1FC211">
            <w:pPr>
              <w:jc w:val="center"/>
              <w:rPr>
                <w:rStyle w:val="96"/>
                <w:rFonts w:hint="default" w:ascii="Times New Roman" w:hAnsi="Times New Roman" w:eastAsia="宋体" w:cs="Times New Roman"/>
                <w:color w:val="auto"/>
                <w:spacing w:val="0"/>
                <w:w w:val="100"/>
                <w:position w:val="0"/>
                <w:sz w:val="21"/>
                <w:szCs w:val="21"/>
                <w:highlight w:val="none"/>
                <w:u w:val="none" w:color="auto"/>
                <w:lang w:eastAsia="zh-CN"/>
              </w:rPr>
            </w:pPr>
            <w:r>
              <w:rPr>
                <w:rFonts w:hint="default" w:ascii="Times New Roman" w:hAnsi="Times New Roman" w:eastAsia="宋体" w:cs="Times New Roman"/>
                <w:color w:val="auto"/>
                <w:spacing w:val="0"/>
                <w:w w:val="100"/>
                <w:position w:val="0"/>
                <w:sz w:val="21"/>
                <w:szCs w:val="21"/>
                <w:highlight w:val="none"/>
                <w:u w:val="none" w:color="auto"/>
                <w:lang w:eastAsia="zh-CN"/>
              </w:rPr>
              <w:t>是</w:t>
            </w:r>
          </w:p>
        </w:tc>
      </w:tr>
      <w:tr w14:paraId="1609D0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09" w:type="dxa"/>
            <w:noWrap w:val="0"/>
            <w:vAlign w:val="center"/>
          </w:tcPr>
          <w:p w14:paraId="05751775">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8</w:t>
            </w:r>
          </w:p>
        </w:tc>
        <w:tc>
          <w:tcPr>
            <w:tcW w:w="2770" w:type="dxa"/>
            <w:noWrap w:val="0"/>
            <w:vAlign w:val="center"/>
          </w:tcPr>
          <w:p w14:paraId="5D03E58D">
            <w:pPr>
              <w:jc w:val="center"/>
              <w:rPr>
                <w:rStyle w:val="96"/>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是否水土流失重点防治区</w:t>
            </w:r>
          </w:p>
        </w:tc>
        <w:tc>
          <w:tcPr>
            <w:tcW w:w="4937" w:type="dxa"/>
            <w:noWrap w:val="0"/>
            <w:vAlign w:val="center"/>
          </w:tcPr>
          <w:p w14:paraId="36EBED20">
            <w:pPr>
              <w:jc w:val="center"/>
              <w:rPr>
                <w:rStyle w:val="96"/>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lang w:eastAsia="zh-CN"/>
              </w:rPr>
              <w:t>是</w:t>
            </w:r>
          </w:p>
        </w:tc>
      </w:tr>
      <w:tr w14:paraId="770144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09" w:type="dxa"/>
            <w:noWrap w:val="0"/>
            <w:vAlign w:val="center"/>
          </w:tcPr>
          <w:p w14:paraId="24725FF4">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9</w:t>
            </w:r>
          </w:p>
        </w:tc>
        <w:tc>
          <w:tcPr>
            <w:tcW w:w="2770" w:type="dxa"/>
            <w:noWrap w:val="0"/>
            <w:vAlign w:val="center"/>
          </w:tcPr>
          <w:p w14:paraId="758DE203">
            <w:pPr>
              <w:jc w:val="center"/>
              <w:rPr>
                <w:rStyle w:val="96"/>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是否人口密集区</w:t>
            </w:r>
          </w:p>
        </w:tc>
        <w:tc>
          <w:tcPr>
            <w:tcW w:w="4937" w:type="dxa"/>
            <w:noWrap w:val="0"/>
            <w:vAlign w:val="center"/>
          </w:tcPr>
          <w:p w14:paraId="72800828">
            <w:pPr>
              <w:jc w:val="center"/>
              <w:rPr>
                <w:rStyle w:val="96"/>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否</w:t>
            </w:r>
          </w:p>
        </w:tc>
      </w:tr>
      <w:tr w14:paraId="472214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09" w:type="dxa"/>
            <w:noWrap w:val="0"/>
            <w:vAlign w:val="center"/>
          </w:tcPr>
          <w:p w14:paraId="0967B687">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10</w:t>
            </w:r>
          </w:p>
        </w:tc>
        <w:tc>
          <w:tcPr>
            <w:tcW w:w="2770" w:type="dxa"/>
            <w:noWrap w:val="0"/>
            <w:vAlign w:val="center"/>
          </w:tcPr>
          <w:p w14:paraId="44105ED2">
            <w:pPr>
              <w:jc w:val="center"/>
              <w:rPr>
                <w:rStyle w:val="96"/>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是否重点文物保护单位</w:t>
            </w:r>
          </w:p>
        </w:tc>
        <w:tc>
          <w:tcPr>
            <w:tcW w:w="4937" w:type="dxa"/>
            <w:noWrap w:val="0"/>
            <w:vAlign w:val="center"/>
          </w:tcPr>
          <w:p w14:paraId="2156EAF9">
            <w:pPr>
              <w:jc w:val="center"/>
              <w:rPr>
                <w:rStyle w:val="96"/>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否</w:t>
            </w:r>
          </w:p>
        </w:tc>
      </w:tr>
      <w:tr w14:paraId="32BFDC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09" w:type="dxa"/>
            <w:noWrap w:val="0"/>
            <w:vAlign w:val="center"/>
          </w:tcPr>
          <w:p w14:paraId="6CDB0052">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11</w:t>
            </w:r>
          </w:p>
        </w:tc>
        <w:tc>
          <w:tcPr>
            <w:tcW w:w="2770" w:type="dxa"/>
            <w:noWrap w:val="0"/>
            <w:vAlign w:val="center"/>
          </w:tcPr>
          <w:p w14:paraId="2563AF07">
            <w:pPr>
              <w:jc w:val="center"/>
              <w:rPr>
                <w:rStyle w:val="96"/>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是否三河、三湖、两控区</w:t>
            </w:r>
          </w:p>
        </w:tc>
        <w:tc>
          <w:tcPr>
            <w:tcW w:w="4937" w:type="dxa"/>
            <w:noWrap w:val="0"/>
            <w:vAlign w:val="center"/>
          </w:tcPr>
          <w:p w14:paraId="4EBAFA79">
            <w:pPr>
              <w:jc w:val="center"/>
              <w:rPr>
                <w:rStyle w:val="96"/>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lang w:eastAsia="zh-CN"/>
              </w:rPr>
              <w:t>是（两控区）</w:t>
            </w:r>
          </w:p>
        </w:tc>
      </w:tr>
      <w:tr w14:paraId="457E5B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09" w:type="dxa"/>
            <w:noWrap w:val="0"/>
            <w:vAlign w:val="center"/>
          </w:tcPr>
          <w:p w14:paraId="6E5A039C">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12</w:t>
            </w:r>
          </w:p>
        </w:tc>
        <w:tc>
          <w:tcPr>
            <w:tcW w:w="2770" w:type="dxa"/>
            <w:noWrap w:val="0"/>
            <w:vAlign w:val="center"/>
          </w:tcPr>
          <w:p w14:paraId="7E0A56CF">
            <w:pPr>
              <w:jc w:val="center"/>
              <w:rPr>
                <w:rStyle w:val="96"/>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是否水库库区</w:t>
            </w:r>
          </w:p>
        </w:tc>
        <w:tc>
          <w:tcPr>
            <w:tcW w:w="4937" w:type="dxa"/>
            <w:noWrap w:val="0"/>
            <w:vAlign w:val="center"/>
          </w:tcPr>
          <w:p w14:paraId="6C80E2C9">
            <w:pPr>
              <w:jc w:val="center"/>
              <w:rPr>
                <w:rStyle w:val="96"/>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lang w:eastAsia="zh-CN"/>
              </w:rPr>
              <w:t>是</w:t>
            </w:r>
          </w:p>
        </w:tc>
      </w:tr>
      <w:tr w14:paraId="0C3F60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09" w:type="dxa"/>
            <w:noWrap w:val="0"/>
            <w:vAlign w:val="center"/>
          </w:tcPr>
          <w:p w14:paraId="36BC29A7">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13</w:t>
            </w:r>
          </w:p>
        </w:tc>
        <w:tc>
          <w:tcPr>
            <w:tcW w:w="2770" w:type="dxa"/>
            <w:noWrap w:val="0"/>
            <w:vAlign w:val="center"/>
          </w:tcPr>
          <w:p w14:paraId="07F52C62">
            <w:pPr>
              <w:jc w:val="center"/>
              <w:rPr>
                <w:rStyle w:val="96"/>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是否污水处理厂集水范围</w:t>
            </w:r>
          </w:p>
        </w:tc>
        <w:tc>
          <w:tcPr>
            <w:tcW w:w="4937" w:type="dxa"/>
            <w:noWrap w:val="0"/>
            <w:vAlign w:val="center"/>
          </w:tcPr>
          <w:p w14:paraId="4D451DF7">
            <w:pPr>
              <w:jc w:val="center"/>
              <w:rPr>
                <w:rStyle w:val="96"/>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否</w:t>
            </w:r>
          </w:p>
        </w:tc>
      </w:tr>
      <w:tr w14:paraId="0D12E7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09" w:type="dxa"/>
            <w:noWrap w:val="0"/>
            <w:vAlign w:val="center"/>
          </w:tcPr>
          <w:p w14:paraId="092A6B03">
            <w:pPr>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14</w:t>
            </w:r>
          </w:p>
        </w:tc>
        <w:tc>
          <w:tcPr>
            <w:tcW w:w="2770" w:type="dxa"/>
            <w:noWrap w:val="0"/>
            <w:vAlign w:val="center"/>
          </w:tcPr>
          <w:p w14:paraId="4EB7A8DC">
            <w:pPr>
              <w:jc w:val="center"/>
              <w:rPr>
                <w:rStyle w:val="96"/>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是否属于生态敏感与脆弱区</w:t>
            </w:r>
          </w:p>
        </w:tc>
        <w:tc>
          <w:tcPr>
            <w:tcW w:w="4937" w:type="dxa"/>
            <w:noWrap w:val="0"/>
            <w:vAlign w:val="center"/>
          </w:tcPr>
          <w:p w14:paraId="05738A10">
            <w:pPr>
              <w:jc w:val="center"/>
              <w:rPr>
                <w:rStyle w:val="96"/>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lang w:eastAsia="zh-CN"/>
              </w:rPr>
              <w:t>是</w:t>
            </w:r>
          </w:p>
        </w:tc>
      </w:tr>
    </w:tbl>
    <w:p w14:paraId="463B3E45">
      <w:pPr>
        <w:pStyle w:val="3"/>
        <w:bidi w:val="0"/>
        <w:rPr>
          <w:rFonts w:hint="default" w:ascii="Times New Roman" w:hAnsi="Times New Roman" w:cs="Times New Roman"/>
        </w:rPr>
      </w:pPr>
      <w:bookmarkStart w:id="67" w:name="_Toc19137"/>
      <w:r>
        <w:rPr>
          <w:rFonts w:hint="default" w:ascii="Times New Roman" w:hAnsi="Times New Roman" w:cs="Times New Roman"/>
        </w:rPr>
        <w:t>评价标准</w:t>
      </w:r>
      <w:bookmarkEnd w:id="65"/>
      <w:bookmarkEnd w:id="66"/>
      <w:bookmarkEnd w:id="67"/>
    </w:p>
    <w:p w14:paraId="4E23D2B1">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bookmarkStart w:id="68" w:name="_Toc517710658"/>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根据岳阳市生态环境局华容分局《关于湖南省华容县东山水库除险加固工程环境影响评价执行标准的复函》（附件6），本次评价执行标准如下：</w:t>
      </w:r>
    </w:p>
    <w:p w14:paraId="7D49F77D">
      <w:pPr>
        <w:pStyle w:val="4"/>
        <w:bidi w:val="0"/>
        <w:rPr>
          <w:rFonts w:hint="default" w:ascii="Times New Roman" w:hAnsi="Times New Roman" w:cs="Times New Roman"/>
        </w:rPr>
      </w:pPr>
      <w:bookmarkStart w:id="69" w:name="_Toc23604"/>
      <w:r>
        <w:rPr>
          <w:rFonts w:hint="default" w:ascii="Times New Roman" w:hAnsi="Times New Roman" w:cs="Times New Roman"/>
        </w:rPr>
        <w:t>环境质量标准</w:t>
      </w:r>
      <w:bookmarkEnd w:id="68"/>
      <w:bookmarkEnd w:id="69"/>
    </w:p>
    <w:p w14:paraId="0BA14D15">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（1）环境空气质量标准</w:t>
      </w:r>
    </w:p>
    <w:p w14:paraId="7D657F35">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项目所在区域属于环境空气质量二类功能区，环境空气质量执行《环境空气质量标准》（GB3095-2012）二级标准，SO</w:t>
      </w:r>
      <w:r>
        <w:rPr>
          <w:rFonts w:hint="default" w:ascii="Times New Roman" w:hAnsi="Times New Roman" w:eastAsia="宋体" w:cs="Times New Roman"/>
          <w:caps w:val="0"/>
          <w:smallCaps w:val="0"/>
          <w:color w:val="auto"/>
          <w:spacing w:val="0"/>
          <w:w w:val="100"/>
          <w:kern w:val="0"/>
          <w:position w:val="0"/>
          <w:sz w:val="24"/>
          <w:szCs w:val="24"/>
          <w:u w:val="none" w:color="auto"/>
          <w:vertAlign w:val="subscript"/>
        </w:rPr>
        <w:t>2</w:t>
      </w:r>
      <w:r>
        <w:rPr>
          <w:rFonts w:hint="default" w:ascii="Times New Roman" w:hAnsi="Times New Roman" w:eastAsia="宋体" w:cs="Times New Roman"/>
          <w:caps w:val="0"/>
          <w:smallCaps w:val="0"/>
          <w:color w:val="auto"/>
          <w:spacing w:val="0"/>
          <w:w w:val="100"/>
          <w:kern w:val="0"/>
          <w:position w:val="0"/>
          <w:sz w:val="24"/>
          <w:szCs w:val="24"/>
          <w:u w:val="none" w:color="auto"/>
        </w:rPr>
        <w:t>、NO</w:t>
      </w:r>
      <w:r>
        <w:rPr>
          <w:rFonts w:hint="default" w:ascii="Times New Roman" w:hAnsi="Times New Roman" w:eastAsia="宋体" w:cs="Times New Roman"/>
          <w:caps w:val="0"/>
          <w:smallCaps w:val="0"/>
          <w:color w:val="auto"/>
          <w:spacing w:val="0"/>
          <w:w w:val="100"/>
          <w:kern w:val="0"/>
          <w:position w:val="0"/>
          <w:sz w:val="24"/>
          <w:szCs w:val="24"/>
          <w:u w:val="none" w:color="auto"/>
          <w:vertAlign w:val="subscript"/>
        </w:rPr>
        <w:t>2</w:t>
      </w:r>
      <w:r>
        <w:rPr>
          <w:rFonts w:hint="default" w:ascii="Times New Roman" w:hAnsi="Times New Roman" w:eastAsia="宋体" w:cs="Times New Roman"/>
          <w:caps w:val="0"/>
          <w:smallCaps w:val="0"/>
          <w:color w:val="auto"/>
          <w:spacing w:val="0"/>
          <w:w w:val="100"/>
          <w:kern w:val="0"/>
          <w:position w:val="0"/>
          <w:sz w:val="24"/>
          <w:szCs w:val="24"/>
          <w:u w:val="none" w:color="auto"/>
        </w:rPr>
        <w:t>、PM</w:t>
      </w:r>
      <w:r>
        <w:rPr>
          <w:rFonts w:hint="default" w:ascii="Times New Roman" w:hAnsi="Times New Roman" w:eastAsia="宋体" w:cs="Times New Roman"/>
          <w:caps w:val="0"/>
          <w:smallCaps w:val="0"/>
          <w:color w:val="auto"/>
          <w:spacing w:val="0"/>
          <w:w w:val="100"/>
          <w:kern w:val="0"/>
          <w:position w:val="0"/>
          <w:sz w:val="24"/>
          <w:szCs w:val="24"/>
          <w:u w:val="none" w:color="auto"/>
          <w:vertAlign w:val="subscript"/>
        </w:rPr>
        <w:t>10</w:t>
      </w:r>
      <w:r>
        <w:rPr>
          <w:rFonts w:hint="default" w:ascii="Times New Roman" w:hAnsi="Times New Roman" w:eastAsia="宋体" w:cs="Times New Roman"/>
          <w:caps w:val="0"/>
          <w:smallCaps w:val="0"/>
          <w:color w:val="auto"/>
          <w:spacing w:val="0"/>
          <w:w w:val="100"/>
          <w:kern w:val="0"/>
          <w:position w:val="0"/>
          <w:sz w:val="24"/>
          <w:szCs w:val="24"/>
          <w:u w:val="none" w:color="auto"/>
        </w:rPr>
        <w:t>、PM</w:t>
      </w:r>
      <w:r>
        <w:rPr>
          <w:rFonts w:hint="default" w:ascii="Times New Roman" w:hAnsi="Times New Roman" w:eastAsia="宋体" w:cs="Times New Roman"/>
          <w:caps w:val="0"/>
          <w:smallCaps w:val="0"/>
          <w:color w:val="auto"/>
          <w:spacing w:val="0"/>
          <w:w w:val="100"/>
          <w:kern w:val="0"/>
          <w:position w:val="0"/>
          <w:sz w:val="24"/>
          <w:szCs w:val="24"/>
          <w:u w:val="none" w:color="auto"/>
          <w:vertAlign w:val="subscript"/>
        </w:rPr>
        <w:t>2.5</w:t>
      </w:r>
      <w:r>
        <w:rPr>
          <w:rFonts w:hint="default" w:ascii="Times New Roman" w:hAnsi="Times New Roman" w:eastAsia="宋体" w:cs="Times New Roman"/>
          <w:caps w:val="0"/>
          <w:smallCaps w:val="0"/>
          <w:color w:val="auto"/>
          <w:spacing w:val="0"/>
          <w:w w:val="100"/>
          <w:kern w:val="0"/>
          <w:position w:val="0"/>
          <w:sz w:val="24"/>
          <w:szCs w:val="24"/>
          <w:u w:val="none" w:color="auto"/>
        </w:rPr>
        <w:t>、CO、O</w:t>
      </w:r>
      <w:r>
        <w:rPr>
          <w:rFonts w:hint="default" w:ascii="Times New Roman" w:hAnsi="Times New Roman" w:eastAsia="宋体" w:cs="Times New Roman"/>
          <w:caps w:val="0"/>
          <w:smallCaps w:val="0"/>
          <w:color w:val="auto"/>
          <w:spacing w:val="0"/>
          <w:w w:val="100"/>
          <w:kern w:val="0"/>
          <w:position w:val="0"/>
          <w:sz w:val="24"/>
          <w:szCs w:val="24"/>
          <w:u w:val="none" w:color="auto"/>
          <w:vertAlign w:val="subscript"/>
        </w:rPr>
        <w:t>3</w:t>
      </w:r>
      <w:r>
        <w:rPr>
          <w:rFonts w:hint="default" w:ascii="Times New Roman" w:hAnsi="Times New Roman" w:eastAsia="宋体" w:cs="Times New Roman"/>
          <w:caps w:val="0"/>
          <w:smallCaps w:val="0"/>
          <w:color w:val="auto"/>
          <w:spacing w:val="0"/>
          <w:w w:val="100"/>
          <w:kern w:val="0"/>
          <w:position w:val="0"/>
          <w:sz w:val="24"/>
          <w:szCs w:val="24"/>
          <w:u w:val="none" w:color="auto"/>
        </w:rPr>
        <w:t>、执行《环境空气质量标准》（GB3095-2012）二级标准。</w:t>
      </w:r>
    </w:p>
    <w:p w14:paraId="435D293F">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项目大气环境质量评价标准值具体详见表1.5-1。</w:t>
      </w:r>
    </w:p>
    <w:p w14:paraId="4AF17D1A">
      <w:pPr>
        <w:pageBreakBefore w:val="0"/>
        <w:kinsoku w:val="0"/>
        <w:wordWrap w:val="0"/>
        <w:overflowPunct/>
        <w:topLinePunct/>
        <w:autoSpaceDE/>
        <w:autoSpaceDN/>
        <w:bidi w:val="0"/>
        <w:adjustRightInd w:val="0"/>
        <w:spacing w:line="360" w:lineRule="auto"/>
        <w:jc w:val="center"/>
        <w:rPr>
          <w:rFonts w:hint="default" w:ascii="Times New Roman" w:hAnsi="Times New Roman" w:eastAsia="宋体" w:cs="Times New Roman"/>
          <w:b/>
          <w:caps w:val="0"/>
          <w:smallCaps w:val="0"/>
          <w:color w:val="auto"/>
          <w:spacing w:val="0"/>
          <w:w w:val="100"/>
          <w:kern w:val="0"/>
          <w:position w:val="0"/>
          <w:sz w:val="24"/>
          <w:szCs w:val="24"/>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表1.5-1  环境空气质量标准</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79"/>
        <w:gridCol w:w="3120"/>
        <w:gridCol w:w="3317"/>
      </w:tblGrid>
      <w:tr w14:paraId="3F7F82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2079" w:type="dxa"/>
            <w:tcBorders>
              <w:tl2br w:val="nil"/>
              <w:tr2bl w:val="nil"/>
            </w:tcBorders>
            <w:vAlign w:val="center"/>
          </w:tcPr>
          <w:p w14:paraId="1A565D56">
            <w:pPr>
              <w:pageBreakBefore w:val="0"/>
              <w:kinsoku w:val="0"/>
              <w:wordWrap w:val="0"/>
              <w:overflowPunct/>
              <w:topLinePunct/>
              <w:autoSpaceDE/>
              <w:autoSpaceDN/>
              <w:bidi w:val="0"/>
              <w:jc w:val="center"/>
              <w:rPr>
                <w:rFonts w:hint="default" w:ascii="Times New Roman" w:hAnsi="Times New Roman" w:eastAsia="宋体" w:cs="Times New Roman"/>
                <w:b/>
                <w:bCs w:val="0"/>
                <w:caps w:val="0"/>
                <w:smallCaps w:val="0"/>
                <w:color w:val="auto"/>
                <w:spacing w:val="0"/>
                <w:w w:val="100"/>
                <w:position w:val="0"/>
                <w:szCs w:val="21"/>
                <w:u w:val="none" w:color="auto"/>
              </w:rPr>
            </w:pPr>
            <w:r>
              <w:rPr>
                <w:rFonts w:hint="default" w:ascii="Times New Roman" w:hAnsi="Times New Roman" w:eastAsia="宋体" w:cs="Times New Roman"/>
                <w:b/>
                <w:bCs w:val="0"/>
                <w:caps w:val="0"/>
                <w:smallCaps w:val="0"/>
                <w:color w:val="auto"/>
                <w:spacing w:val="0"/>
                <w:w w:val="100"/>
                <w:position w:val="0"/>
                <w:szCs w:val="21"/>
                <w:u w:val="none" w:color="auto"/>
              </w:rPr>
              <w:t>污染物名称</w:t>
            </w:r>
          </w:p>
        </w:tc>
        <w:tc>
          <w:tcPr>
            <w:tcW w:w="3120" w:type="dxa"/>
            <w:tcBorders>
              <w:tl2br w:val="nil"/>
              <w:tr2bl w:val="nil"/>
            </w:tcBorders>
            <w:vAlign w:val="center"/>
          </w:tcPr>
          <w:p w14:paraId="6E058DE7">
            <w:pPr>
              <w:pageBreakBefore w:val="0"/>
              <w:kinsoku w:val="0"/>
              <w:wordWrap w:val="0"/>
              <w:overflowPunct/>
              <w:topLinePunct/>
              <w:autoSpaceDE/>
              <w:autoSpaceDN/>
              <w:bidi w:val="0"/>
              <w:jc w:val="center"/>
              <w:rPr>
                <w:rFonts w:hint="default" w:ascii="Times New Roman" w:hAnsi="Times New Roman" w:eastAsia="宋体" w:cs="Times New Roman"/>
                <w:b/>
                <w:bCs w:val="0"/>
                <w:caps w:val="0"/>
                <w:smallCaps w:val="0"/>
                <w:color w:val="auto"/>
                <w:spacing w:val="0"/>
                <w:w w:val="100"/>
                <w:position w:val="0"/>
                <w:szCs w:val="21"/>
                <w:u w:val="none" w:color="auto"/>
              </w:rPr>
            </w:pPr>
            <w:r>
              <w:rPr>
                <w:rFonts w:hint="default" w:ascii="Times New Roman" w:hAnsi="Times New Roman" w:eastAsia="宋体" w:cs="Times New Roman"/>
                <w:b/>
                <w:bCs w:val="0"/>
                <w:caps w:val="0"/>
                <w:smallCaps w:val="0"/>
                <w:color w:val="auto"/>
                <w:spacing w:val="0"/>
                <w:w w:val="100"/>
                <w:position w:val="0"/>
                <w:szCs w:val="21"/>
                <w:u w:val="none" w:color="auto"/>
              </w:rPr>
              <w:t>取值时间</w:t>
            </w:r>
          </w:p>
        </w:tc>
        <w:tc>
          <w:tcPr>
            <w:tcW w:w="3317" w:type="dxa"/>
            <w:tcBorders>
              <w:tl2br w:val="nil"/>
              <w:tr2bl w:val="nil"/>
            </w:tcBorders>
            <w:vAlign w:val="center"/>
          </w:tcPr>
          <w:p w14:paraId="5B4A82A1">
            <w:pPr>
              <w:pageBreakBefore w:val="0"/>
              <w:kinsoku w:val="0"/>
              <w:wordWrap w:val="0"/>
              <w:overflowPunct/>
              <w:topLinePunct/>
              <w:autoSpaceDE/>
              <w:autoSpaceDN/>
              <w:bidi w:val="0"/>
              <w:jc w:val="center"/>
              <w:rPr>
                <w:rFonts w:hint="default" w:ascii="Times New Roman" w:hAnsi="Times New Roman" w:eastAsia="宋体" w:cs="Times New Roman"/>
                <w:b/>
                <w:bCs w:val="0"/>
                <w:caps w:val="0"/>
                <w:smallCaps w:val="0"/>
                <w:color w:val="auto"/>
                <w:spacing w:val="0"/>
                <w:w w:val="100"/>
                <w:position w:val="0"/>
                <w:szCs w:val="21"/>
                <w:u w:val="none" w:color="auto"/>
              </w:rPr>
            </w:pPr>
            <w:r>
              <w:rPr>
                <w:rFonts w:hint="default" w:ascii="Times New Roman" w:hAnsi="Times New Roman" w:eastAsia="宋体" w:cs="Times New Roman"/>
                <w:b/>
                <w:bCs w:val="0"/>
                <w:caps w:val="0"/>
                <w:smallCaps w:val="0"/>
                <w:color w:val="auto"/>
                <w:spacing w:val="0"/>
                <w:w w:val="100"/>
                <w:position w:val="0"/>
                <w:szCs w:val="21"/>
                <w:u w:val="none" w:color="auto"/>
              </w:rPr>
              <w:t>浓度限值</w:t>
            </w:r>
          </w:p>
        </w:tc>
      </w:tr>
      <w:tr w14:paraId="685233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79" w:type="dxa"/>
            <w:vMerge w:val="restart"/>
            <w:tcBorders>
              <w:tl2br w:val="nil"/>
              <w:tr2bl w:val="nil"/>
            </w:tcBorders>
            <w:vAlign w:val="center"/>
          </w:tcPr>
          <w:p w14:paraId="314FD723">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SO</w:t>
            </w:r>
            <w:r>
              <w:rPr>
                <w:rFonts w:hint="default" w:ascii="Times New Roman" w:hAnsi="Times New Roman" w:eastAsia="宋体" w:cs="Times New Roman"/>
                <w:bCs/>
                <w:caps w:val="0"/>
                <w:smallCaps w:val="0"/>
                <w:color w:val="auto"/>
                <w:spacing w:val="0"/>
                <w:w w:val="100"/>
                <w:position w:val="0"/>
                <w:szCs w:val="21"/>
                <w:u w:val="none" w:color="auto"/>
                <w:vertAlign w:val="subscript"/>
              </w:rPr>
              <w:t>2</w:t>
            </w:r>
          </w:p>
        </w:tc>
        <w:tc>
          <w:tcPr>
            <w:tcW w:w="3120" w:type="dxa"/>
            <w:tcBorders>
              <w:tl2br w:val="nil"/>
              <w:tr2bl w:val="nil"/>
            </w:tcBorders>
            <w:vAlign w:val="center"/>
          </w:tcPr>
          <w:p w14:paraId="3BB7C87C">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1小时平均</w:t>
            </w:r>
          </w:p>
        </w:tc>
        <w:tc>
          <w:tcPr>
            <w:tcW w:w="3317" w:type="dxa"/>
            <w:tcBorders>
              <w:tl2br w:val="nil"/>
              <w:tr2bl w:val="nil"/>
            </w:tcBorders>
            <w:vAlign w:val="center"/>
          </w:tcPr>
          <w:p w14:paraId="28786475">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500μg/m</w:t>
            </w:r>
            <w:r>
              <w:rPr>
                <w:rFonts w:hint="default" w:ascii="Times New Roman" w:hAnsi="Times New Roman" w:eastAsia="宋体" w:cs="Times New Roman"/>
                <w:bCs/>
                <w:caps w:val="0"/>
                <w:smallCaps w:val="0"/>
                <w:color w:val="auto"/>
                <w:spacing w:val="0"/>
                <w:w w:val="100"/>
                <w:position w:val="0"/>
                <w:szCs w:val="21"/>
                <w:u w:val="none" w:color="auto"/>
                <w:vertAlign w:val="superscript"/>
              </w:rPr>
              <w:t>3</w:t>
            </w:r>
          </w:p>
        </w:tc>
      </w:tr>
      <w:tr w14:paraId="7C6EEE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79" w:type="dxa"/>
            <w:vMerge w:val="continue"/>
            <w:tcBorders>
              <w:tl2br w:val="nil"/>
              <w:tr2bl w:val="nil"/>
            </w:tcBorders>
            <w:vAlign w:val="center"/>
          </w:tcPr>
          <w:p w14:paraId="3973BAF3">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p>
        </w:tc>
        <w:tc>
          <w:tcPr>
            <w:tcW w:w="3120" w:type="dxa"/>
            <w:tcBorders>
              <w:tl2br w:val="nil"/>
              <w:tr2bl w:val="nil"/>
            </w:tcBorders>
            <w:vAlign w:val="center"/>
          </w:tcPr>
          <w:p w14:paraId="01226E2D">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24小时平均</w:t>
            </w:r>
          </w:p>
        </w:tc>
        <w:tc>
          <w:tcPr>
            <w:tcW w:w="3317" w:type="dxa"/>
            <w:tcBorders>
              <w:tl2br w:val="nil"/>
              <w:tr2bl w:val="nil"/>
            </w:tcBorders>
            <w:vAlign w:val="center"/>
          </w:tcPr>
          <w:p w14:paraId="6DE626A3">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150μg/m</w:t>
            </w:r>
            <w:r>
              <w:rPr>
                <w:rFonts w:hint="default" w:ascii="Times New Roman" w:hAnsi="Times New Roman" w:eastAsia="宋体" w:cs="Times New Roman"/>
                <w:bCs/>
                <w:caps w:val="0"/>
                <w:smallCaps w:val="0"/>
                <w:color w:val="auto"/>
                <w:spacing w:val="0"/>
                <w:w w:val="100"/>
                <w:position w:val="0"/>
                <w:szCs w:val="21"/>
                <w:u w:val="none" w:color="auto"/>
                <w:vertAlign w:val="superscript"/>
              </w:rPr>
              <w:t>3</w:t>
            </w:r>
          </w:p>
        </w:tc>
      </w:tr>
      <w:tr w14:paraId="5A3C6A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79" w:type="dxa"/>
            <w:vMerge w:val="continue"/>
            <w:tcBorders>
              <w:tl2br w:val="nil"/>
              <w:tr2bl w:val="nil"/>
            </w:tcBorders>
            <w:vAlign w:val="center"/>
          </w:tcPr>
          <w:p w14:paraId="2A068C67">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p>
        </w:tc>
        <w:tc>
          <w:tcPr>
            <w:tcW w:w="3120" w:type="dxa"/>
            <w:tcBorders>
              <w:tl2br w:val="nil"/>
              <w:tr2bl w:val="nil"/>
            </w:tcBorders>
            <w:vAlign w:val="center"/>
          </w:tcPr>
          <w:p w14:paraId="20DFA708">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年平均</w:t>
            </w:r>
          </w:p>
        </w:tc>
        <w:tc>
          <w:tcPr>
            <w:tcW w:w="3317" w:type="dxa"/>
            <w:tcBorders>
              <w:tl2br w:val="nil"/>
              <w:tr2bl w:val="nil"/>
            </w:tcBorders>
            <w:vAlign w:val="center"/>
          </w:tcPr>
          <w:p w14:paraId="199001FC">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60μg/m</w:t>
            </w:r>
            <w:r>
              <w:rPr>
                <w:rFonts w:hint="default" w:ascii="Times New Roman" w:hAnsi="Times New Roman" w:eastAsia="宋体" w:cs="Times New Roman"/>
                <w:bCs/>
                <w:caps w:val="0"/>
                <w:smallCaps w:val="0"/>
                <w:color w:val="auto"/>
                <w:spacing w:val="0"/>
                <w:w w:val="100"/>
                <w:position w:val="0"/>
                <w:szCs w:val="21"/>
                <w:u w:val="none" w:color="auto"/>
                <w:vertAlign w:val="superscript"/>
              </w:rPr>
              <w:t>3</w:t>
            </w:r>
          </w:p>
        </w:tc>
      </w:tr>
      <w:tr w14:paraId="22085D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79" w:type="dxa"/>
            <w:vMerge w:val="restart"/>
            <w:tcBorders>
              <w:tl2br w:val="nil"/>
              <w:tr2bl w:val="nil"/>
            </w:tcBorders>
            <w:vAlign w:val="center"/>
          </w:tcPr>
          <w:p w14:paraId="7B98E122">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NO</w:t>
            </w:r>
            <w:r>
              <w:rPr>
                <w:rFonts w:hint="default" w:ascii="Times New Roman" w:hAnsi="Times New Roman" w:eastAsia="宋体" w:cs="Times New Roman"/>
                <w:bCs/>
                <w:caps w:val="0"/>
                <w:smallCaps w:val="0"/>
                <w:color w:val="auto"/>
                <w:spacing w:val="0"/>
                <w:w w:val="100"/>
                <w:position w:val="0"/>
                <w:szCs w:val="21"/>
                <w:u w:val="none" w:color="auto"/>
                <w:vertAlign w:val="subscript"/>
              </w:rPr>
              <w:t>2</w:t>
            </w:r>
          </w:p>
        </w:tc>
        <w:tc>
          <w:tcPr>
            <w:tcW w:w="3120" w:type="dxa"/>
            <w:tcBorders>
              <w:tl2br w:val="nil"/>
              <w:tr2bl w:val="nil"/>
            </w:tcBorders>
            <w:vAlign w:val="center"/>
          </w:tcPr>
          <w:p w14:paraId="681EDCC4">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1小时平均</w:t>
            </w:r>
          </w:p>
        </w:tc>
        <w:tc>
          <w:tcPr>
            <w:tcW w:w="3317" w:type="dxa"/>
            <w:tcBorders>
              <w:tl2br w:val="nil"/>
              <w:tr2bl w:val="nil"/>
            </w:tcBorders>
            <w:vAlign w:val="center"/>
          </w:tcPr>
          <w:p w14:paraId="5D7930D5">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200μg/m</w:t>
            </w:r>
            <w:r>
              <w:rPr>
                <w:rFonts w:hint="default" w:ascii="Times New Roman" w:hAnsi="Times New Roman" w:eastAsia="宋体" w:cs="Times New Roman"/>
                <w:bCs/>
                <w:caps w:val="0"/>
                <w:smallCaps w:val="0"/>
                <w:color w:val="auto"/>
                <w:spacing w:val="0"/>
                <w:w w:val="100"/>
                <w:position w:val="0"/>
                <w:szCs w:val="21"/>
                <w:u w:val="none" w:color="auto"/>
                <w:vertAlign w:val="superscript"/>
              </w:rPr>
              <w:t>3</w:t>
            </w:r>
          </w:p>
        </w:tc>
      </w:tr>
      <w:tr w14:paraId="5B75D0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79" w:type="dxa"/>
            <w:vMerge w:val="continue"/>
            <w:tcBorders>
              <w:tl2br w:val="nil"/>
              <w:tr2bl w:val="nil"/>
            </w:tcBorders>
            <w:vAlign w:val="center"/>
          </w:tcPr>
          <w:p w14:paraId="639BA9E7">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p>
        </w:tc>
        <w:tc>
          <w:tcPr>
            <w:tcW w:w="3120" w:type="dxa"/>
            <w:tcBorders>
              <w:tl2br w:val="nil"/>
              <w:tr2bl w:val="nil"/>
            </w:tcBorders>
            <w:vAlign w:val="center"/>
          </w:tcPr>
          <w:p w14:paraId="7C17CD47">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24小时平均</w:t>
            </w:r>
          </w:p>
        </w:tc>
        <w:tc>
          <w:tcPr>
            <w:tcW w:w="3317" w:type="dxa"/>
            <w:tcBorders>
              <w:tl2br w:val="nil"/>
              <w:tr2bl w:val="nil"/>
            </w:tcBorders>
            <w:vAlign w:val="center"/>
          </w:tcPr>
          <w:p w14:paraId="72D2FCF0">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80μg/m</w:t>
            </w:r>
            <w:r>
              <w:rPr>
                <w:rFonts w:hint="default" w:ascii="Times New Roman" w:hAnsi="Times New Roman" w:eastAsia="宋体" w:cs="Times New Roman"/>
                <w:bCs/>
                <w:caps w:val="0"/>
                <w:smallCaps w:val="0"/>
                <w:color w:val="auto"/>
                <w:spacing w:val="0"/>
                <w:w w:val="100"/>
                <w:position w:val="0"/>
                <w:szCs w:val="21"/>
                <w:u w:val="none" w:color="auto"/>
                <w:vertAlign w:val="superscript"/>
              </w:rPr>
              <w:t>3</w:t>
            </w:r>
          </w:p>
        </w:tc>
      </w:tr>
      <w:tr w14:paraId="77A53E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79" w:type="dxa"/>
            <w:vMerge w:val="continue"/>
            <w:tcBorders>
              <w:tl2br w:val="nil"/>
              <w:tr2bl w:val="nil"/>
            </w:tcBorders>
            <w:vAlign w:val="center"/>
          </w:tcPr>
          <w:p w14:paraId="31608E87">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p>
        </w:tc>
        <w:tc>
          <w:tcPr>
            <w:tcW w:w="3120" w:type="dxa"/>
            <w:tcBorders>
              <w:tl2br w:val="nil"/>
              <w:tr2bl w:val="nil"/>
            </w:tcBorders>
            <w:vAlign w:val="center"/>
          </w:tcPr>
          <w:p w14:paraId="2D04092B">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年平均</w:t>
            </w:r>
          </w:p>
        </w:tc>
        <w:tc>
          <w:tcPr>
            <w:tcW w:w="3317" w:type="dxa"/>
            <w:tcBorders>
              <w:tl2br w:val="nil"/>
              <w:tr2bl w:val="nil"/>
            </w:tcBorders>
            <w:vAlign w:val="center"/>
          </w:tcPr>
          <w:p w14:paraId="5C6503CF">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40μg/m</w:t>
            </w:r>
            <w:r>
              <w:rPr>
                <w:rFonts w:hint="default" w:ascii="Times New Roman" w:hAnsi="Times New Roman" w:eastAsia="宋体" w:cs="Times New Roman"/>
                <w:bCs/>
                <w:caps w:val="0"/>
                <w:smallCaps w:val="0"/>
                <w:color w:val="auto"/>
                <w:spacing w:val="0"/>
                <w:w w:val="100"/>
                <w:position w:val="0"/>
                <w:szCs w:val="21"/>
                <w:u w:val="none" w:color="auto"/>
                <w:vertAlign w:val="superscript"/>
              </w:rPr>
              <w:t>3</w:t>
            </w:r>
          </w:p>
        </w:tc>
      </w:tr>
      <w:tr w14:paraId="3BD416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79" w:type="dxa"/>
            <w:vMerge w:val="restart"/>
            <w:tcBorders>
              <w:tl2br w:val="nil"/>
              <w:tr2bl w:val="nil"/>
            </w:tcBorders>
            <w:vAlign w:val="center"/>
          </w:tcPr>
          <w:p w14:paraId="13BCC718">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PM</w:t>
            </w:r>
            <w:r>
              <w:rPr>
                <w:rFonts w:hint="default" w:ascii="Times New Roman" w:hAnsi="Times New Roman" w:eastAsia="宋体" w:cs="Times New Roman"/>
                <w:bCs/>
                <w:caps w:val="0"/>
                <w:smallCaps w:val="0"/>
                <w:color w:val="auto"/>
                <w:spacing w:val="0"/>
                <w:w w:val="100"/>
                <w:position w:val="0"/>
                <w:szCs w:val="21"/>
                <w:u w:val="none" w:color="auto"/>
                <w:vertAlign w:val="subscript"/>
              </w:rPr>
              <w:t>10</w:t>
            </w:r>
          </w:p>
        </w:tc>
        <w:tc>
          <w:tcPr>
            <w:tcW w:w="3120" w:type="dxa"/>
            <w:tcBorders>
              <w:tl2br w:val="nil"/>
              <w:tr2bl w:val="nil"/>
            </w:tcBorders>
            <w:vAlign w:val="center"/>
          </w:tcPr>
          <w:p w14:paraId="69298B09">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24小时平均</w:t>
            </w:r>
          </w:p>
        </w:tc>
        <w:tc>
          <w:tcPr>
            <w:tcW w:w="3317" w:type="dxa"/>
            <w:tcBorders>
              <w:tl2br w:val="nil"/>
              <w:tr2bl w:val="nil"/>
            </w:tcBorders>
            <w:vAlign w:val="center"/>
          </w:tcPr>
          <w:p w14:paraId="5020145C">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150μg/m</w:t>
            </w:r>
            <w:r>
              <w:rPr>
                <w:rFonts w:hint="default" w:ascii="Times New Roman" w:hAnsi="Times New Roman" w:eastAsia="宋体" w:cs="Times New Roman"/>
                <w:bCs/>
                <w:caps w:val="0"/>
                <w:smallCaps w:val="0"/>
                <w:color w:val="auto"/>
                <w:spacing w:val="0"/>
                <w:w w:val="100"/>
                <w:position w:val="0"/>
                <w:szCs w:val="21"/>
                <w:u w:val="none" w:color="auto"/>
                <w:vertAlign w:val="superscript"/>
              </w:rPr>
              <w:t>3</w:t>
            </w:r>
          </w:p>
        </w:tc>
      </w:tr>
      <w:tr w14:paraId="5E6195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79" w:type="dxa"/>
            <w:vMerge w:val="continue"/>
            <w:tcBorders>
              <w:tl2br w:val="nil"/>
              <w:tr2bl w:val="nil"/>
            </w:tcBorders>
            <w:vAlign w:val="center"/>
          </w:tcPr>
          <w:p w14:paraId="7E7DF0F3">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p>
        </w:tc>
        <w:tc>
          <w:tcPr>
            <w:tcW w:w="3120" w:type="dxa"/>
            <w:tcBorders>
              <w:tl2br w:val="nil"/>
              <w:tr2bl w:val="nil"/>
            </w:tcBorders>
            <w:vAlign w:val="center"/>
          </w:tcPr>
          <w:p w14:paraId="564B9E20">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年平均</w:t>
            </w:r>
          </w:p>
        </w:tc>
        <w:tc>
          <w:tcPr>
            <w:tcW w:w="3317" w:type="dxa"/>
            <w:tcBorders>
              <w:tl2br w:val="nil"/>
              <w:tr2bl w:val="nil"/>
            </w:tcBorders>
            <w:vAlign w:val="center"/>
          </w:tcPr>
          <w:p w14:paraId="738B911E">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70μg/m</w:t>
            </w:r>
            <w:r>
              <w:rPr>
                <w:rFonts w:hint="default" w:ascii="Times New Roman" w:hAnsi="Times New Roman" w:eastAsia="宋体" w:cs="Times New Roman"/>
                <w:bCs/>
                <w:caps w:val="0"/>
                <w:smallCaps w:val="0"/>
                <w:color w:val="auto"/>
                <w:spacing w:val="0"/>
                <w:w w:val="100"/>
                <w:position w:val="0"/>
                <w:szCs w:val="21"/>
                <w:u w:val="none" w:color="auto"/>
                <w:vertAlign w:val="superscript"/>
              </w:rPr>
              <w:t>3</w:t>
            </w:r>
          </w:p>
        </w:tc>
      </w:tr>
      <w:tr w14:paraId="04C28E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79" w:type="dxa"/>
            <w:vMerge w:val="restart"/>
            <w:tcBorders>
              <w:tl2br w:val="nil"/>
              <w:tr2bl w:val="nil"/>
            </w:tcBorders>
            <w:vAlign w:val="center"/>
          </w:tcPr>
          <w:p w14:paraId="2BF94830">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kern w:val="0"/>
                <w:position w:val="0"/>
                <w:szCs w:val="21"/>
                <w:u w:val="none" w:color="auto"/>
              </w:rPr>
              <w:t>PM</w:t>
            </w:r>
            <w:r>
              <w:rPr>
                <w:rFonts w:hint="default" w:ascii="Times New Roman" w:hAnsi="Times New Roman" w:eastAsia="宋体" w:cs="Times New Roman"/>
                <w:bCs/>
                <w:caps w:val="0"/>
                <w:smallCaps w:val="0"/>
                <w:color w:val="auto"/>
                <w:spacing w:val="0"/>
                <w:w w:val="100"/>
                <w:kern w:val="0"/>
                <w:position w:val="0"/>
                <w:szCs w:val="21"/>
                <w:u w:val="none" w:color="auto"/>
                <w:vertAlign w:val="subscript"/>
              </w:rPr>
              <w:t>2.5</w:t>
            </w:r>
          </w:p>
        </w:tc>
        <w:tc>
          <w:tcPr>
            <w:tcW w:w="3120" w:type="dxa"/>
            <w:tcBorders>
              <w:tl2br w:val="nil"/>
              <w:tr2bl w:val="nil"/>
            </w:tcBorders>
            <w:vAlign w:val="center"/>
          </w:tcPr>
          <w:p w14:paraId="002872BA">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24小时平均</w:t>
            </w:r>
          </w:p>
        </w:tc>
        <w:tc>
          <w:tcPr>
            <w:tcW w:w="3317" w:type="dxa"/>
            <w:tcBorders>
              <w:tl2br w:val="nil"/>
              <w:tr2bl w:val="nil"/>
            </w:tcBorders>
            <w:vAlign w:val="center"/>
          </w:tcPr>
          <w:p w14:paraId="03C7AD3D">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75μg/m</w:t>
            </w:r>
            <w:r>
              <w:rPr>
                <w:rFonts w:hint="default" w:ascii="Times New Roman" w:hAnsi="Times New Roman" w:eastAsia="宋体" w:cs="Times New Roman"/>
                <w:bCs/>
                <w:caps w:val="0"/>
                <w:smallCaps w:val="0"/>
                <w:color w:val="auto"/>
                <w:spacing w:val="0"/>
                <w:w w:val="100"/>
                <w:position w:val="0"/>
                <w:szCs w:val="21"/>
                <w:u w:val="none" w:color="auto"/>
                <w:vertAlign w:val="superscript"/>
              </w:rPr>
              <w:t>3</w:t>
            </w:r>
          </w:p>
        </w:tc>
      </w:tr>
      <w:tr w14:paraId="1E3345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79" w:type="dxa"/>
            <w:vMerge w:val="continue"/>
            <w:tcBorders>
              <w:tl2br w:val="nil"/>
              <w:tr2bl w:val="nil"/>
            </w:tcBorders>
            <w:vAlign w:val="center"/>
          </w:tcPr>
          <w:p w14:paraId="5995CFD5">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p>
        </w:tc>
        <w:tc>
          <w:tcPr>
            <w:tcW w:w="3120" w:type="dxa"/>
            <w:tcBorders>
              <w:tl2br w:val="nil"/>
              <w:tr2bl w:val="nil"/>
            </w:tcBorders>
            <w:vAlign w:val="center"/>
          </w:tcPr>
          <w:p w14:paraId="41BB7FDD">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年平均</w:t>
            </w:r>
          </w:p>
        </w:tc>
        <w:tc>
          <w:tcPr>
            <w:tcW w:w="3317" w:type="dxa"/>
            <w:tcBorders>
              <w:tl2br w:val="nil"/>
              <w:tr2bl w:val="nil"/>
            </w:tcBorders>
            <w:vAlign w:val="center"/>
          </w:tcPr>
          <w:p w14:paraId="6E5F77AB">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35μg/m</w:t>
            </w:r>
            <w:r>
              <w:rPr>
                <w:rFonts w:hint="default" w:ascii="Times New Roman" w:hAnsi="Times New Roman" w:eastAsia="宋体" w:cs="Times New Roman"/>
                <w:bCs/>
                <w:caps w:val="0"/>
                <w:smallCaps w:val="0"/>
                <w:color w:val="auto"/>
                <w:spacing w:val="0"/>
                <w:w w:val="100"/>
                <w:position w:val="0"/>
                <w:szCs w:val="21"/>
                <w:u w:val="none" w:color="auto"/>
                <w:vertAlign w:val="superscript"/>
              </w:rPr>
              <w:t>3</w:t>
            </w:r>
          </w:p>
        </w:tc>
      </w:tr>
      <w:tr w14:paraId="470F73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79" w:type="dxa"/>
            <w:vMerge w:val="restart"/>
            <w:tcBorders>
              <w:tl2br w:val="nil"/>
              <w:tr2bl w:val="nil"/>
            </w:tcBorders>
            <w:vAlign w:val="center"/>
          </w:tcPr>
          <w:p w14:paraId="473E343F">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CO</w:t>
            </w:r>
          </w:p>
        </w:tc>
        <w:tc>
          <w:tcPr>
            <w:tcW w:w="3120" w:type="dxa"/>
            <w:tcBorders>
              <w:tl2br w:val="nil"/>
              <w:tr2bl w:val="nil"/>
            </w:tcBorders>
            <w:vAlign w:val="center"/>
          </w:tcPr>
          <w:p w14:paraId="20A407F2">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1小时平均</w:t>
            </w:r>
          </w:p>
        </w:tc>
        <w:tc>
          <w:tcPr>
            <w:tcW w:w="3317" w:type="dxa"/>
            <w:tcBorders>
              <w:tl2br w:val="nil"/>
              <w:tr2bl w:val="nil"/>
            </w:tcBorders>
            <w:vAlign w:val="center"/>
          </w:tcPr>
          <w:p w14:paraId="45C4C4AC">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lang w:val="en-US" w:eastAsia="zh-CN"/>
              </w:rPr>
              <w:t>10</w:t>
            </w:r>
            <w:r>
              <w:rPr>
                <w:rFonts w:hint="default" w:ascii="Times New Roman" w:hAnsi="Times New Roman" w:eastAsia="宋体" w:cs="Times New Roman"/>
                <w:bCs/>
                <w:caps w:val="0"/>
                <w:smallCaps w:val="0"/>
                <w:color w:val="auto"/>
                <w:spacing w:val="0"/>
                <w:w w:val="100"/>
                <w:position w:val="0"/>
                <w:szCs w:val="21"/>
                <w:u w:val="none" w:color="auto"/>
              </w:rPr>
              <w:t>mg/m</w:t>
            </w:r>
            <w:r>
              <w:rPr>
                <w:rFonts w:hint="default" w:ascii="Times New Roman" w:hAnsi="Times New Roman" w:eastAsia="宋体" w:cs="Times New Roman"/>
                <w:bCs/>
                <w:caps w:val="0"/>
                <w:smallCaps w:val="0"/>
                <w:color w:val="auto"/>
                <w:spacing w:val="0"/>
                <w:w w:val="100"/>
                <w:position w:val="0"/>
                <w:szCs w:val="21"/>
                <w:u w:val="none" w:color="auto"/>
                <w:vertAlign w:val="superscript"/>
              </w:rPr>
              <w:t>3</w:t>
            </w:r>
          </w:p>
        </w:tc>
      </w:tr>
      <w:tr w14:paraId="18DE09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79" w:type="dxa"/>
            <w:vMerge w:val="continue"/>
            <w:tcBorders>
              <w:tl2br w:val="nil"/>
              <w:tr2bl w:val="nil"/>
            </w:tcBorders>
            <w:vAlign w:val="center"/>
          </w:tcPr>
          <w:p w14:paraId="4AFD432D">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p>
        </w:tc>
        <w:tc>
          <w:tcPr>
            <w:tcW w:w="3120" w:type="dxa"/>
            <w:tcBorders>
              <w:tl2br w:val="nil"/>
              <w:tr2bl w:val="nil"/>
            </w:tcBorders>
            <w:vAlign w:val="center"/>
          </w:tcPr>
          <w:p w14:paraId="338E00AD">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24小时平均</w:t>
            </w:r>
          </w:p>
        </w:tc>
        <w:tc>
          <w:tcPr>
            <w:tcW w:w="3317" w:type="dxa"/>
            <w:tcBorders>
              <w:tl2br w:val="nil"/>
              <w:tr2bl w:val="nil"/>
            </w:tcBorders>
            <w:vAlign w:val="center"/>
          </w:tcPr>
          <w:p w14:paraId="491856E4">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lang w:val="en-US" w:eastAsia="zh-CN"/>
              </w:rPr>
              <w:t>4</w:t>
            </w:r>
            <w:r>
              <w:rPr>
                <w:rFonts w:hint="default" w:ascii="Times New Roman" w:hAnsi="Times New Roman" w:eastAsia="宋体" w:cs="Times New Roman"/>
                <w:bCs/>
                <w:caps w:val="0"/>
                <w:smallCaps w:val="0"/>
                <w:color w:val="auto"/>
                <w:spacing w:val="0"/>
                <w:w w:val="100"/>
                <w:position w:val="0"/>
                <w:szCs w:val="21"/>
                <w:u w:val="none" w:color="auto"/>
              </w:rPr>
              <w:t>mg/m</w:t>
            </w:r>
            <w:r>
              <w:rPr>
                <w:rFonts w:hint="default" w:ascii="Times New Roman" w:hAnsi="Times New Roman" w:eastAsia="宋体" w:cs="Times New Roman"/>
                <w:bCs/>
                <w:caps w:val="0"/>
                <w:smallCaps w:val="0"/>
                <w:color w:val="auto"/>
                <w:spacing w:val="0"/>
                <w:w w:val="100"/>
                <w:position w:val="0"/>
                <w:szCs w:val="21"/>
                <w:u w:val="none" w:color="auto"/>
                <w:vertAlign w:val="superscript"/>
              </w:rPr>
              <w:t>3</w:t>
            </w:r>
          </w:p>
        </w:tc>
      </w:tr>
      <w:tr w14:paraId="69FEDF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79" w:type="dxa"/>
            <w:vMerge w:val="restart"/>
            <w:tcBorders>
              <w:tl2br w:val="nil"/>
              <w:tr2bl w:val="nil"/>
            </w:tcBorders>
            <w:vAlign w:val="center"/>
          </w:tcPr>
          <w:p w14:paraId="4061903A">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O</w:t>
            </w:r>
            <w:r>
              <w:rPr>
                <w:rFonts w:hint="default" w:ascii="Times New Roman" w:hAnsi="Times New Roman" w:eastAsia="宋体" w:cs="Times New Roman"/>
                <w:bCs/>
                <w:caps w:val="0"/>
                <w:smallCaps w:val="0"/>
                <w:color w:val="auto"/>
                <w:spacing w:val="0"/>
                <w:w w:val="100"/>
                <w:position w:val="0"/>
                <w:szCs w:val="21"/>
                <w:u w:val="none" w:color="auto"/>
                <w:vertAlign w:val="subscript"/>
              </w:rPr>
              <w:t>3</w:t>
            </w:r>
          </w:p>
        </w:tc>
        <w:tc>
          <w:tcPr>
            <w:tcW w:w="3120" w:type="dxa"/>
            <w:tcBorders>
              <w:tl2br w:val="nil"/>
              <w:tr2bl w:val="nil"/>
            </w:tcBorders>
            <w:vAlign w:val="center"/>
          </w:tcPr>
          <w:p w14:paraId="33E258E9">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1小时平均</w:t>
            </w:r>
          </w:p>
        </w:tc>
        <w:tc>
          <w:tcPr>
            <w:tcW w:w="3317" w:type="dxa"/>
            <w:tcBorders>
              <w:tl2br w:val="nil"/>
              <w:tr2bl w:val="nil"/>
            </w:tcBorders>
            <w:vAlign w:val="center"/>
          </w:tcPr>
          <w:p w14:paraId="42D12CCA">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200μg/m</w:t>
            </w:r>
            <w:r>
              <w:rPr>
                <w:rFonts w:hint="default" w:ascii="Times New Roman" w:hAnsi="Times New Roman" w:eastAsia="宋体" w:cs="Times New Roman"/>
                <w:bCs/>
                <w:caps w:val="0"/>
                <w:smallCaps w:val="0"/>
                <w:color w:val="auto"/>
                <w:spacing w:val="0"/>
                <w:w w:val="100"/>
                <w:position w:val="0"/>
                <w:szCs w:val="21"/>
                <w:u w:val="none" w:color="auto"/>
                <w:vertAlign w:val="superscript"/>
              </w:rPr>
              <w:t>3</w:t>
            </w:r>
          </w:p>
        </w:tc>
      </w:tr>
      <w:tr w14:paraId="367E36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79" w:type="dxa"/>
            <w:vMerge w:val="continue"/>
            <w:tcBorders>
              <w:tl2br w:val="nil"/>
              <w:tr2bl w:val="nil"/>
            </w:tcBorders>
            <w:vAlign w:val="center"/>
          </w:tcPr>
          <w:p w14:paraId="30193E8D">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p>
        </w:tc>
        <w:tc>
          <w:tcPr>
            <w:tcW w:w="3120" w:type="dxa"/>
            <w:tcBorders>
              <w:tl2br w:val="nil"/>
              <w:tr2bl w:val="nil"/>
            </w:tcBorders>
            <w:vAlign w:val="center"/>
          </w:tcPr>
          <w:p w14:paraId="5D8ECB73">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日最大8小时平均</w:t>
            </w:r>
          </w:p>
        </w:tc>
        <w:tc>
          <w:tcPr>
            <w:tcW w:w="3317" w:type="dxa"/>
            <w:tcBorders>
              <w:tl2br w:val="nil"/>
              <w:tr2bl w:val="nil"/>
            </w:tcBorders>
            <w:vAlign w:val="center"/>
          </w:tcPr>
          <w:p w14:paraId="516BEA74">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160μg/m</w:t>
            </w:r>
            <w:r>
              <w:rPr>
                <w:rFonts w:hint="default" w:ascii="Times New Roman" w:hAnsi="Times New Roman" w:eastAsia="宋体" w:cs="Times New Roman"/>
                <w:bCs/>
                <w:caps w:val="0"/>
                <w:smallCaps w:val="0"/>
                <w:color w:val="auto"/>
                <w:spacing w:val="0"/>
                <w:w w:val="100"/>
                <w:position w:val="0"/>
                <w:szCs w:val="21"/>
                <w:u w:val="none" w:color="auto"/>
                <w:vertAlign w:val="superscript"/>
              </w:rPr>
              <w:t>3</w:t>
            </w:r>
          </w:p>
        </w:tc>
      </w:tr>
      <w:tr w14:paraId="66AC47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79" w:type="dxa"/>
            <w:vMerge w:val="restart"/>
            <w:tcBorders>
              <w:tl2br w:val="nil"/>
              <w:tr2bl w:val="nil"/>
            </w:tcBorders>
            <w:vAlign w:val="center"/>
          </w:tcPr>
          <w:p w14:paraId="78DD8475">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lang w:val="en-US" w:eastAsia="zh-CN"/>
              </w:rPr>
            </w:pPr>
            <w:r>
              <w:rPr>
                <w:rFonts w:hint="default" w:ascii="Times New Roman" w:hAnsi="Times New Roman" w:eastAsia="宋体" w:cs="Times New Roman"/>
                <w:bCs/>
                <w:caps w:val="0"/>
                <w:smallCaps w:val="0"/>
                <w:color w:val="auto"/>
                <w:spacing w:val="0"/>
                <w:w w:val="100"/>
                <w:position w:val="0"/>
                <w:szCs w:val="21"/>
                <w:u w:val="none" w:color="auto"/>
                <w:lang w:val="en-US" w:eastAsia="zh-CN"/>
              </w:rPr>
              <w:t>TSP</w:t>
            </w:r>
          </w:p>
        </w:tc>
        <w:tc>
          <w:tcPr>
            <w:tcW w:w="3120" w:type="dxa"/>
            <w:tcBorders>
              <w:tl2br w:val="nil"/>
              <w:tr2bl w:val="nil"/>
            </w:tcBorders>
            <w:vAlign w:val="center"/>
          </w:tcPr>
          <w:p w14:paraId="3C054B1F">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kern w:val="2"/>
                <w:position w:val="0"/>
                <w:sz w:val="21"/>
                <w:szCs w:val="21"/>
                <w:u w:val="none" w:color="auto"/>
                <w:lang w:val="en-US" w:eastAsia="zh-CN" w:bidi="ar-SA"/>
              </w:rPr>
            </w:pPr>
            <w:r>
              <w:rPr>
                <w:rFonts w:hint="default" w:ascii="Times New Roman" w:hAnsi="Times New Roman" w:eastAsia="宋体" w:cs="Times New Roman"/>
                <w:bCs/>
                <w:caps w:val="0"/>
                <w:smallCaps w:val="0"/>
                <w:color w:val="auto"/>
                <w:spacing w:val="0"/>
                <w:w w:val="100"/>
                <w:position w:val="0"/>
                <w:szCs w:val="21"/>
                <w:u w:val="none" w:color="auto"/>
              </w:rPr>
              <w:t>24小时平均</w:t>
            </w:r>
          </w:p>
        </w:tc>
        <w:tc>
          <w:tcPr>
            <w:tcW w:w="3317" w:type="dxa"/>
            <w:tcBorders>
              <w:tl2br w:val="nil"/>
              <w:tr2bl w:val="nil"/>
            </w:tcBorders>
            <w:vAlign w:val="center"/>
          </w:tcPr>
          <w:p w14:paraId="2E04326E">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kern w:val="2"/>
                <w:position w:val="0"/>
                <w:sz w:val="21"/>
                <w:szCs w:val="21"/>
                <w:u w:val="none" w:color="auto"/>
                <w:lang w:val="en-US" w:eastAsia="zh-CN" w:bidi="ar-SA"/>
              </w:rPr>
            </w:pPr>
            <w:r>
              <w:rPr>
                <w:rFonts w:hint="default" w:ascii="Times New Roman" w:hAnsi="Times New Roman" w:eastAsia="宋体" w:cs="Times New Roman"/>
                <w:bCs/>
                <w:caps w:val="0"/>
                <w:smallCaps w:val="0"/>
                <w:color w:val="auto"/>
                <w:spacing w:val="0"/>
                <w:w w:val="100"/>
                <w:position w:val="0"/>
                <w:szCs w:val="21"/>
                <w:u w:val="none" w:color="auto"/>
                <w:lang w:val="en-US" w:eastAsia="zh-CN"/>
              </w:rPr>
              <w:t>300</w:t>
            </w:r>
            <w:r>
              <w:rPr>
                <w:rFonts w:hint="default" w:ascii="Times New Roman" w:hAnsi="Times New Roman" w:eastAsia="宋体" w:cs="Times New Roman"/>
                <w:bCs/>
                <w:caps w:val="0"/>
                <w:smallCaps w:val="0"/>
                <w:color w:val="auto"/>
                <w:spacing w:val="0"/>
                <w:w w:val="100"/>
                <w:position w:val="0"/>
                <w:szCs w:val="21"/>
                <w:u w:val="none" w:color="auto"/>
              </w:rPr>
              <w:t>μg/m</w:t>
            </w:r>
            <w:r>
              <w:rPr>
                <w:rFonts w:hint="default" w:ascii="Times New Roman" w:hAnsi="Times New Roman" w:eastAsia="宋体" w:cs="Times New Roman"/>
                <w:bCs/>
                <w:caps w:val="0"/>
                <w:smallCaps w:val="0"/>
                <w:color w:val="auto"/>
                <w:spacing w:val="0"/>
                <w:w w:val="100"/>
                <w:position w:val="0"/>
                <w:szCs w:val="21"/>
                <w:u w:val="none" w:color="auto"/>
                <w:vertAlign w:val="superscript"/>
              </w:rPr>
              <w:t>3</w:t>
            </w:r>
          </w:p>
        </w:tc>
      </w:tr>
      <w:tr w14:paraId="5EB033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79" w:type="dxa"/>
            <w:vMerge w:val="continue"/>
            <w:tcBorders>
              <w:tl2br w:val="nil"/>
              <w:tr2bl w:val="nil"/>
            </w:tcBorders>
            <w:vAlign w:val="center"/>
          </w:tcPr>
          <w:p w14:paraId="68837A0A">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position w:val="0"/>
                <w:szCs w:val="21"/>
                <w:u w:val="none" w:color="auto"/>
              </w:rPr>
            </w:pPr>
          </w:p>
        </w:tc>
        <w:tc>
          <w:tcPr>
            <w:tcW w:w="3120" w:type="dxa"/>
            <w:tcBorders>
              <w:tl2br w:val="nil"/>
              <w:tr2bl w:val="nil"/>
            </w:tcBorders>
            <w:vAlign w:val="center"/>
          </w:tcPr>
          <w:p w14:paraId="0CB6CC6B">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kern w:val="2"/>
                <w:position w:val="0"/>
                <w:sz w:val="21"/>
                <w:szCs w:val="21"/>
                <w:u w:val="none" w:color="auto"/>
                <w:lang w:val="en-US" w:eastAsia="zh-CN" w:bidi="ar-SA"/>
              </w:rPr>
            </w:pPr>
            <w:r>
              <w:rPr>
                <w:rFonts w:hint="default" w:ascii="Times New Roman" w:hAnsi="Times New Roman" w:eastAsia="宋体" w:cs="Times New Roman"/>
                <w:bCs/>
                <w:caps w:val="0"/>
                <w:smallCaps w:val="0"/>
                <w:color w:val="auto"/>
                <w:spacing w:val="0"/>
                <w:w w:val="100"/>
                <w:position w:val="0"/>
                <w:szCs w:val="21"/>
                <w:u w:val="none" w:color="auto"/>
              </w:rPr>
              <w:t>年平均</w:t>
            </w:r>
          </w:p>
        </w:tc>
        <w:tc>
          <w:tcPr>
            <w:tcW w:w="3317" w:type="dxa"/>
            <w:tcBorders>
              <w:tl2br w:val="nil"/>
              <w:tr2bl w:val="nil"/>
            </w:tcBorders>
            <w:vAlign w:val="center"/>
          </w:tcPr>
          <w:p w14:paraId="53C0B2CA">
            <w:pPr>
              <w:pageBreakBefore w:val="0"/>
              <w:kinsoku w:val="0"/>
              <w:wordWrap w:val="0"/>
              <w:overflowPunct/>
              <w:topLinePunct/>
              <w:autoSpaceDE/>
              <w:autoSpaceDN/>
              <w:bidi w:val="0"/>
              <w:jc w:val="center"/>
              <w:rPr>
                <w:rFonts w:hint="default" w:ascii="Times New Roman" w:hAnsi="Times New Roman" w:eastAsia="宋体" w:cs="Times New Roman"/>
                <w:bCs/>
                <w:caps w:val="0"/>
                <w:smallCaps w:val="0"/>
                <w:color w:val="auto"/>
                <w:spacing w:val="0"/>
                <w:w w:val="100"/>
                <w:kern w:val="2"/>
                <w:position w:val="0"/>
                <w:sz w:val="21"/>
                <w:szCs w:val="21"/>
                <w:u w:val="none" w:color="auto"/>
                <w:lang w:val="en-US" w:eastAsia="zh-CN" w:bidi="ar-SA"/>
              </w:rPr>
            </w:pPr>
            <w:r>
              <w:rPr>
                <w:rFonts w:hint="default" w:ascii="Times New Roman" w:hAnsi="Times New Roman" w:eastAsia="宋体" w:cs="Times New Roman"/>
                <w:bCs/>
                <w:caps w:val="0"/>
                <w:smallCaps w:val="0"/>
                <w:color w:val="auto"/>
                <w:spacing w:val="0"/>
                <w:w w:val="100"/>
                <w:position w:val="0"/>
                <w:szCs w:val="21"/>
                <w:u w:val="none" w:color="auto"/>
                <w:lang w:val="en-US" w:eastAsia="zh-CN"/>
              </w:rPr>
              <w:t>200</w:t>
            </w:r>
            <w:r>
              <w:rPr>
                <w:rFonts w:hint="default" w:ascii="Times New Roman" w:hAnsi="Times New Roman" w:eastAsia="宋体" w:cs="Times New Roman"/>
                <w:bCs/>
                <w:caps w:val="0"/>
                <w:smallCaps w:val="0"/>
                <w:color w:val="auto"/>
                <w:spacing w:val="0"/>
                <w:w w:val="100"/>
                <w:position w:val="0"/>
                <w:szCs w:val="21"/>
                <w:u w:val="none" w:color="auto"/>
              </w:rPr>
              <w:t>μg/m</w:t>
            </w:r>
            <w:r>
              <w:rPr>
                <w:rFonts w:hint="default" w:ascii="Times New Roman" w:hAnsi="Times New Roman" w:eastAsia="宋体" w:cs="Times New Roman"/>
                <w:bCs/>
                <w:caps w:val="0"/>
                <w:smallCaps w:val="0"/>
                <w:color w:val="auto"/>
                <w:spacing w:val="0"/>
                <w:w w:val="100"/>
                <w:position w:val="0"/>
                <w:szCs w:val="21"/>
                <w:u w:val="none" w:color="auto"/>
                <w:vertAlign w:val="superscript"/>
              </w:rPr>
              <w:t>3</w:t>
            </w:r>
          </w:p>
        </w:tc>
      </w:tr>
    </w:tbl>
    <w:p w14:paraId="0E8CD7D3">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（2）地表水环境质量标准</w:t>
      </w:r>
    </w:p>
    <w:p w14:paraId="79F76442">
      <w:pPr>
        <w:keepNext w:val="0"/>
        <w:keepLines w:val="0"/>
        <w:pageBreakBefore w:val="0"/>
        <w:widowControl w:val="0"/>
        <w:overflowPunct/>
        <w:autoSpaceDE/>
        <w:autoSpaceDN/>
        <w:bidi w:val="0"/>
        <w:snapToGrid/>
        <w:spacing w:line="360" w:lineRule="auto"/>
        <w:ind w:left="0" w:right="0" w:firstLine="479"/>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eastAsia="zh-CN"/>
        </w:rPr>
        <w:t>东山水库</w:t>
      </w:r>
      <w:r>
        <w:rPr>
          <w:rFonts w:hint="default" w:ascii="Times New Roman" w:hAnsi="Times New Roman" w:eastAsia="宋体" w:cs="Times New Roman"/>
          <w:color w:val="auto"/>
          <w:spacing w:val="0"/>
          <w:w w:val="100"/>
          <w:position w:val="0"/>
          <w:sz w:val="24"/>
          <w:szCs w:val="24"/>
          <w:u w:val="none" w:color="auto"/>
        </w:rPr>
        <w:t>一级保护区水域执行《地表水环境质量标准》(</w:t>
      </w:r>
      <w:r>
        <w:rPr>
          <w:rFonts w:hint="default" w:ascii="Times New Roman" w:hAnsi="Times New Roman" w:eastAsia="Times New Roman" w:cs="Times New Roman"/>
          <w:color w:val="auto"/>
          <w:spacing w:val="0"/>
          <w:w w:val="100"/>
          <w:position w:val="0"/>
          <w:sz w:val="24"/>
          <w:szCs w:val="24"/>
          <w:u w:val="none" w:color="auto"/>
        </w:rPr>
        <w:t>GB3838-2002</w:t>
      </w: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Times New Roman" w:cs="Times New Roman"/>
          <w:color w:val="auto"/>
          <w:spacing w:val="0"/>
          <w:w w:val="100"/>
          <w:position w:val="0"/>
          <w:sz w:val="24"/>
          <w:szCs w:val="24"/>
          <w:u w:val="none" w:color="auto"/>
        </w:rPr>
        <w:t>II</w:t>
      </w:r>
      <w:r>
        <w:rPr>
          <w:rFonts w:hint="default" w:ascii="Times New Roman" w:hAnsi="Times New Roman" w:eastAsia="宋体" w:cs="Times New Roman"/>
          <w:color w:val="auto"/>
          <w:spacing w:val="0"/>
          <w:w w:val="100"/>
          <w:position w:val="0"/>
          <w:sz w:val="24"/>
          <w:szCs w:val="24"/>
          <w:u w:val="none" w:color="auto"/>
        </w:rPr>
        <w:t>类标准，二级保护区水域水质执行《地表水环境质量标准》(</w:t>
      </w:r>
      <w:r>
        <w:rPr>
          <w:rFonts w:hint="default" w:ascii="Times New Roman" w:hAnsi="Times New Roman" w:eastAsia="Times New Roman" w:cs="Times New Roman"/>
          <w:color w:val="auto"/>
          <w:spacing w:val="0"/>
          <w:w w:val="100"/>
          <w:position w:val="0"/>
          <w:sz w:val="24"/>
          <w:szCs w:val="24"/>
          <w:u w:val="none" w:color="auto"/>
        </w:rPr>
        <w:t>GB3838-2002</w:t>
      </w: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Times New Roman" w:cs="Times New Roman"/>
          <w:color w:val="auto"/>
          <w:spacing w:val="0"/>
          <w:w w:val="100"/>
          <w:position w:val="0"/>
          <w:sz w:val="24"/>
          <w:szCs w:val="24"/>
          <w:u w:val="none" w:color="auto"/>
        </w:rPr>
        <w:t>III</w:t>
      </w:r>
      <w:r>
        <w:rPr>
          <w:rFonts w:hint="default" w:ascii="Times New Roman" w:hAnsi="Times New Roman" w:eastAsia="宋体" w:cs="Times New Roman"/>
          <w:color w:val="auto"/>
          <w:spacing w:val="0"/>
          <w:w w:val="100"/>
          <w:position w:val="0"/>
          <w:sz w:val="24"/>
          <w:szCs w:val="24"/>
          <w:u w:val="none" w:color="auto"/>
        </w:rPr>
        <w:t>类标准。具体标准限值见表</w:t>
      </w:r>
      <w:r>
        <w:rPr>
          <w:rFonts w:hint="default" w:ascii="Times New Roman" w:hAnsi="Times New Roman" w:eastAsia="Times New Roman" w:cs="Times New Roman"/>
          <w:color w:val="auto"/>
          <w:spacing w:val="0"/>
          <w:w w:val="100"/>
          <w:position w:val="0"/>
          <w:sz w:val="24"/>
          <w:szCs w:val="24"/>
          <w:u w:val="none" w:color="auto"/>
        </w:rPr>
        <w:t>1.5-</w:t>
      </w:r>
      <w:r>
        <w:rPr>
          <w:rFonts w:hint="default" w:ascii="Times New Roman" w:hAnsi="Times New Roman" w:eastAsia="宋体" w:cs="Times New Roman"/>
          <w:color w:val="auto"/>
          <w:spacing w:val="0"/>
          <w:w w:val="100"/>
          <w:position w:val="0"/>
          <w:sz w:val="24"/>
          <w:szCs w:val="24"/>
          <w:u w:val="none" w:color="auto"/>
          <w:lang w:val="en-US" w:eastAsia="zh-CN"/>
        </w:rPr>
        <w:t>2</w:t>
      </w:r>
      <w:r>
        <w:rPr>
          <w:rFonts w:hint="default" w:ascii="Times New Roman" w:hAnsi="Times New Roman" w:eastAsia="宋体" w:cs="Times New Roman"/>
          <w:color w:val="auto"/>
          <w:spacing w:val="0"/>
          <w:w w:val="100"/>
          <w:position w:val="0"/>
          <w:sz w:val="24"/>
          <w:szCs w:val="24"/>
          <w:u w:val="none" w:color="auto"/>
        </w:rPr>
        <w:t>。</w:t>
      </w:r>
    </w:p>
    <w:p w14:paraId="08EFCF23">
      <w:pPr>
        <w:pageBreakBefore w:val="0"/>
        <w:kinsoku w:val="0"/>
        <w:wordWrap w:val="0"/>
        <w:overflowPunct/>
        <w:topLinePunct/>
        <w:autoSpaceDE/>
        <w:autoSpaceDN/>
        <w:bidi w:val="0"/>
        <w:jc w:val="right"/>
        <w:rPr>
          <w:rFonts w:hint="default" w:ascii="Times New Roman" w:hAnsi="Times New Roman" w:eastAsia="宋体" w:cs="Times New Roman"/>
          <w:b/>
          <w:caps w:val="0"/>
          <w:smallCaps w:val="0"/>
          <w:color w:val="auto"/>
          <w:spacing w:val="0"/>
          <w:w w:val="100"/>
          <w:kern w:val="0"/>
          <w:position w:val="0"/>
          <w:sz w:val="24"/>
          <w:szCs w:val="24"/>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表1.5-2  地表水环境质量标准</w:t>
      </w: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b/>
          <w:caps w:val="0"/>
          <w:smallCaps w:val="0"/>
          <w:color w:val="auto"/>
          <w:spacing w:val="0"/>
          <w:w w:val="100"/>
          <w:kern w:val="0"/>
          <w:position w:val="0"/>
          <w:sz w:val="24"/>
          <w:szCs w:val="24"/>
          <w:u w:val="none" w:color="auto"/>
        </w:rPr>
        <w:t>单位：mg/L</w:t>
      </w:r>
    </w:p>
    <w:tbl>
      <w:tblPr>
        <w:tblStyle w:val="9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94"/>
        <w:gridCol w:w="1500"/>
        <w:gridCol w:w="868"/>
        <w:gridCol w:w="869"/>
        <w:gridCol w:w="617"/>
        <w:gridCol w:w="2076"/>
        <w:gridCol w:w="907"/>
        <w:gridCol w:w="897"/>
      </w:tblGrid>
      <w:tr w14:paraId="4BC040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4" w:type="dxa"/>
            <w:tcBorders>
              <w:tl2br w:val="nil"/>
              <w:tr2bl w:val="nil"/>
            </w:tcBorders>
            <w:noWrap w:val="0"/>
            <w:vAlign w:val="center"/>
          </w:tcPr>
          <w:p w14:paraId="49424418">
            <w:pPr>
              <w:keepNext w:val="0"/>
              <w:keepLines w:val="0"/>
              <w:pageBreakBefore w:val="0"/>
              <w:widowControl w:val="0"/>
              <w:kinsoku/>
              <w:wordWrap/>
              <w:overflowPunct/>
              <w:topLinePunct w:val="0"/>
              <w:autoSpaceDE/>
              <w:autoSpaceDN/>
              <w:bidi w:val="0"/>
              <w:adjustRightInd/>
              <w:snapToGrid/>
              <w:spacing w:line="221"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序号</w:t>
            </w:r>
          </w:p>
        </w:tc>
        <w:tc>
          <w:tcPr>
            <w:tcW w:w="1499" w:type="dxa"/>
            <w:tcBorders>
              <w:tl2br w:val="nil"/>
              <w:tr2bl w:val="nil"/>
            </w:tcBorders>
            <w:noWrap w:val="0"/>
            <w:vAlign w:val="center"/>
          </w:tcPr>
          <w:p w14:paraId="5E6EC7CE">
            <w:pPr>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水质指标</w:t>
            </w:r>
          </w:p>
        </w:tc>
        <w:tc>
          <w:tcPr>
            <w:tcW w:w="868" w:type="dxa"/>
            <w:tcBorders>
              <w:tl2br w:val="nil"/>
              <w:tr2bl w:val="nil"/>
            </w:tcBorders>
            <w:noWrap w:val="0"/>
            <w:vAlign w:val="center"/>
          </w:tcPr>
          <w:p w14:paraId="70BF8B87">
            <w:pPr>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II类</w:t>
            </w:r>
          </w:p>
        </w:tc>
        <w:tc>
          <w:tcPr>
            <w:tcW w:w="869" w:type="dxa"/>
            <w:tcBorders>
              <w:right w:val="double" w:color="000000" w:sz="4" w:space="0"/>
            </w:tcBorders>
            <w:noWrap w:val="0"/>
            <w:vAlign w:val="center"/>
          </w:tcPr>
          <w:p w14:paraId="3F912B60">
            <w:pPr>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Ⅲ</w:t>
            </w:r>
            <w:r>
              <w:rPr>
                <w:rFonts w:hint="default" w:ascii="Times New Roman" w:hAnsi="Times New Roman" w:eastAsia="宋体" w:cs="Times New Roman"/>
                <w:b/>
                <w:bCs/>
                <w:color w:val="auto"/>
                <w:spacing w:val="0"/>
                <w:w w:val="100"/>
                <w:position w:val="0"/>
                <w:sz w:val="21"/>
                <w:szCs w:val="21"/>
                <w:u w:val="none" w:color="auto"/>
              </w:rPr>
              <w:t>类</w:t>
            </w:r>
          </w:p>
        </w:tc>
        <w:tc>
          <w:tcPr>
            <w:tcW w:w="617" w:type="dxa"/>
            <w:tcBorders>
              <w:left w:val="double" w:color="000000" w:sz="4" w:space="0"/>
              <w:tl2br w:val="nil"/>
              <w:tr2bl w:val="nil"/>
            </w:tcBorders>
            <w:noWrap w:val="0"/>
            <w:vAlign w:val="center"/>
          </w:tcPr>
          <w:p w14:paraId="363B28B3">
            <w:pPr>
              <w:keepNext w:val="0"/>
              <w:keepLines w:val="0"/>
              <w:pageBreakBefore w:val="0"/>
              <w:widowControl w:val="0"/>
              <w:kinsoku/>
              <w:wordWrap/>
              <w:overflowPunct/>
              <w:topLinePunct w:val="0"/>
              <w:autoSpaceDE/>
              <w:autoSpaceDN/>
              <w:bidi w:val="0"/>
              <w:adjustRightInd/>
              <w:snapToGrid/>
              <w:spacing w:line="221"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序号</w:t>
            </w:r>
          </w:p>
        </w:tc>
        <w:tc>
          <w:tcPr>
            <w:tcW w:w="2075" w:type="dxa"/>
            <w:tcBorders>
              <w:tl2br w:val="nil"/>
              <w:tr2bl w:val="nil"/>
            </w:tcBorders>
            <w:noWrap w:val="0"/>
            <w:vAlign w:val="center"/>
          </w:tcPr>
          <w:p w14:paraId="076C409C">
            <w:pPr>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水质指标</w:t>
            </w:r>
          </w:p>
        </w:tc>
        <w:tc>
          <w:tcPr>
            <w:tcW w:w="907" w:type="dxa"/>
            <w:tcBorders>
              <w:tl2br w:val="nil"/>
              <w:tr2bl w:val="nil"/>
            </w:tcBorders>
            <w:noWrap w:val="0"/>
            <w:vAlign w:val="center"/>
          </w:tcPr>
          <w:p w14:paraId="6E9C5EE0">
            <w:pPr>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II类</w:t>
            </w:r>
          </w:p>
        </w:tc>
        <w:tc>
          <w:tcPr>
            <w:tcW w:w="897" w:type="dxa"/>
            <w:tcBorders>
              <w:tl2br w:val="nil"/>
              <w:tr2bl w:val="nil"/>
            </w:tcBorders>
            <w:noWrap w:val="0"/>
            <w:vAlign w:val="center"/>
          </w:tcPr>
          <w:p w14:paraId="7DCA3A87">
            <w:pPr>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Ⅲ</w:t>
            </w:r>
            <w:r>
              <w:rPr>
                <w:rFonts w:hint="default" w:ascii="Times New Roman" w:hAnsi="Times New Roman" w:eastAsia="宋体" w:cs="Times New Roman"/>
                <w:b/>
                <w:bCs/>
                <w:color w:val="auto"/>
                <w:spacing w:val="0"/>
                <w:w w:val="100"/>
                <w:position w:val="0"/>
                <w:sz w:val="21"/>
                <w:szCs w:val="21"/>
                <w:u w:val="none" w:color="auto"/>
              </w:rPr>
              <w:t>类</w:t>
            </w:r>
          </w:p>
        </w:tc>
      </w:tr>
      <w:tr w14:paraId="42D7D5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4" w:type="dxa"/>
            <w:tcBorders>
              <w:tl2br w:val="nil"/>
              <w:tr2bl w:val="nil"/>
            </w:tcBorders>
            <w:noWrap w:val="0"/>
            <w:vAlign w:val="center"/>
          </w:tcPr>
          <w:p w14:paraId="20019142">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1</w:t>
            </w:r>
          </w:p>
        </w:tc>
        <w:tc>
          <w:tcPr>
            <w:tcW w:w="1499" w:type="dxa"/>
            <w:tcBorders>
              <w:tl2br w:val="nil"/>
              <w:tr2bl w:val="nil"/>
            </w:tcBorders>
            <w:noWrap w:val="0"/>
            <w:vAlign w:val="center"/>
          </w:tcPr>
          <w:p w14:paraId="480B98F6">
            <w:pPr>
              <w:keepNext w:val="0"/>
              <w:keepLines w:val="0"/>
              <w:pageBreakBefore w:val="0"/>
              <w:widowControl w:val="0"/>
              <w:kinsoku/>
              <w:wordWrap/>
              <w:overflowPunct/>
              <w:topLinePunct w:val="0"/>
              <w:autoSpaceDE/>
              <w:autoSpaceDN/>
              <w:bidi w:val="0"/>
              <w:adjustRightInd/>
              <w:snapToGrid/>
              <w:spacing w:line="283" w:lineRule="exact"/>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pH</w:t>
            </w:r>
            <w:r>
              <w:rPr>
                <w:rFonts w:hint="default" w:ascii="Times New Roman" w:hAnsi="Times New Roman" w:eastAsia="宋体" w:cs="Times New Roman"/>
                <w:color w:val="auto"/>
                <w:spacing w:val="0"/>
                <w:w w:val="100"/>
                <w:position w:val="0"/>
                <w:sz w:val="21"/>
                <w:szCs w:val="21"/>
                <w:u w:val="none" w:color="auto"/>
              </w:rPr>
              <w:t>值</w:t>
            </w:r>
            <w:r>
              <w:rPr>
                <w:rFonts w:hint="default" w:ascii="Times New Roman" w:hAnsi="Times New Roman" w:eastAsia="Times New Roman" w:cs="Times New Roman"/>
                <w:color w:val="auto"/>
                <w:spacing w:val="0"/>
                <w:w w:val="100"/>
                <w:position w:val="0"/>
                <w:sz w:val="21"/>
                <w:szCs w:val="21"/>
                <w:u w:val="none" w:color="auto"/>
              </w:rPr>
              <w:t>(</w:t>
            </w:r>
            <w:r>
              <w:rPr>
                <w:rFonts w:hint="default" w:ascii="Times New Roman" w:hAnsi="Times New Roman" w:eastAsia="宋体" w:cs="Times New Roman"/>
                <w:color w:val="auto"/>
                <w:spacing w:val="0"/>
                <w:w w:val="100"/>
                <w:position w:val="0"/>
                <w:sz w:val="21"/>
                <w:szCs w:val="21"/>
                <w:u w:val="none" w:color="auto"/>
              </w:rPr>
              <w:t>无量纲</w:t>
            </w:r>
            <w:r>
              <w:rPr>
                <w:rFonts w:hint="default" w:ascii="Times New Roman" w:hAnsi="Times New Roman" w:eastAsia="Times New Roman" w:cs="Times New Roman"/>
                <w:color w:val="auto"/>
                <w:spacing w:val="0"/>
                <w:w w:val="100"/>
                <w:position w:val="0"/>
                <w:sz w:val="21"/>
                <w:szCs w:val="21"/>
                <w:u w:val="none" w:color="auto"/>
              </w:rPr>
              <w:t>)</w:t>
            </w:r>
          </w:p>
        </w:tc>
        <w:tc>
          <w:tcPr>
            <w:tcW w:w="868" w:type="dxa"/>
            <w:tcBorders>
              <w:tl2br w:val="nil"/>
              <w:tr2bl w:val="nil"/>
            </w:tcBorders>
            <w:noWrap w:val="0"/>
            <w:vAlign w:val="center"/>
          </w:tcPr>
          <w:p w14:paraId="7D604DBF">
            <w:pPr>
              <w:keepNext w:val="0"/>
              <w:keepLines w:val="0"/>
              <w:pageBreakBefore w:val="0"/>
              <w:widowControl w:val="0"/>
              <w:kinsoku/>
              <w:wordWrap/>
              <w:overflowPunct/>
              <w:topLinePunct w:val="0"/>
              <w:autoSpaceDE/>
              <w:autoSpaceDN/>
              <w:bidi w:val="0"/>
              <w:adjustRightInd/>
              <w:snapToGrid/>
              <w:spacing w:line="236"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6</w:t>
            </w:r>
            <w:r>
              <w:rPr>
                <w:rFonts w:hint="default" w:ascii="Times New Roman" w:hAnsi="Times New Roman" w:eastAsia="宋体" w:cs="Times New Roman"/>
                <w:color w:val="auto"/>
                <w:spacing w:val="0"/>
                <w:w w:val="100"/>
                <w:position w:val="0"/>
                <w:sz w:val="21"/>
                <w:szCs w:val="21"/>
                <w:u w:val="none" w:color="auto"/>
              </w:rPr>
              <w:t>~</w:t>
            </w:r>
            <w:r>
              <w:rPr>
                <w:rFonts w:hint="default" w:ascii="Times New Roman" w:hAnsi="Times New Roman" w:eastAsia="Times New Roman" w:cs="Times New Roman"/>
                <w:color w:val="auto"/>
                <w:spacing w:val="0"/>
                <w:w w:val="100"/>
                <w:position w:val="0"/>
                <w:sz w:val="21"/>
                <w:szCs w:val="21"/>
                <w:u w:val="none" w:color="auto"/>
              </w:rPr>
              <w:t>9</w:t>
            </w:r>
          </w:p>
        </w:tc>
        <w:tc>
          <w:tcPr>
            <w:tcW w:w="869" w:type="dxa"/>
            <w:tcBorders>
              <w:right w:val="double" w:color="000000" w:sz="4" w:space="0"/>
            </w:tcBorders>
            <w:noWrap w:val="0"/>
            <w:vAlign w:val="center"/>
          </w:tcPr>
          <w:p w14:paraId="426516B8">
            <w:pPr>
              <w:keepNext w:val="0"/>
              <w:keepLines w:val="0"/>
              <w:pageBreakBefore w:val="0"/>
              <w:widowControl w:val="0"/>
              <w:kinsoku/>
              <w:wordWrap/>
              <w:overflowPunct/>
              <w:topLinePunct w:val="0"/>
              <w:autoSpaceDE/>
              <w:autoSpaceDN/>
              <w:bidi w:val="0"/>
              <w:adjustRightInd/>
              <w:snapToGrid/>
              <w:spacing w:line="236"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6</w:t>
            </w:r>
            <w:r>
              <w:rPr>
                <w:rFonts w:hint="default" w:ascii="Times New Roman" w:hAnsi="Times New Roman" w:eastAsia="宋体" w:cs="Times New Roman"/>
                <w:color w:val="auto"/>
                <w:spacing w:val="0"/>
                <w:w w:val="100"/>
                <w:position w:val="0"/>
                <w:sz w:val="21"/>
                <w:szCs w:val="21"/>
                <w:u w:val="none" w:color="auto"/>
              </w:rPr>
              <w:t>~</w:t>
            </w:r>
            <w:r>
              <w:rPr>
                <w:rFonts w:hint="default" w:ascii="Times New Roman" w:hAnsi="Times New Roman" w:eastAsia="Times New Roman" w:cs="Times New Roman"/>
                <w:color w:val="auto"/>
                <w:spacing w:val="0"/>
                <w:w w:val="100"/>
                <w:position w:val="0"/>
                <w:sz w:val="21"/>
                <w:szCs w:val="21"/>
                <w:u w:val="none" w:color="auto"/>
              </w:rPr>
              <w:t>9</w:t>
            </w:r>
          </w:p>
        </w:tc>
        <w:tc>
          <w:tcPr>
            <w:tcW w:w="617" w:type="dxa"/>
            <w:tcBorders>
              <w:left w:val="double" w:color="000000" w:sz="4" w:space="0"/>
              <w:tl2br w:val="nil"/>
              <w:tr2bl w:val="nil"/>
            </w:tcBorders>
            <w:noWrap w:val="0"/>
            <w:vAlign w:val="center"/>
          </w:tcPr>
          <w:p w14:paraId="176F1F1A">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15</w:t>
            </w:r>
          </w:p>
        </w:tc>
        <w:tc>
          <w:tcPr>
            <w:tcW w:w="2075" w:type="dxa"/>
            <w:tcBorders>
              <w:tl2br w:val="nil"/>
              <w:tr2bl w:val="nil"/>
            </w:tcBorders>
            <w:noWrap w:val="0"/>
            <w:vAlign w:val="center"/>
          </w:tcPr>
          <w:p w14:paraId="4F4BD362">
            <w:pPr>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总磷</w:t>
            </w:r>
          </w:p>
        </w:tc>
        <w:tc>
          <w:tcPr>
            <w:tcW w:w="907" w:type="dxa"/>
            <w:tcBorders>
              <w:tl2br w:val="nil"/>
              <w:tr2bl w:val="nil"/>
            </w:tcBorders>
            <w:noWrap w:val="0"/>
            <w:vAlign w:val="center"/>
          </w:tcPr>
          <w:p w14:paraId="53CB9DD0">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≤0.025</w:t>
            </w:r>
          </w:p>
        </w:tc>
        <w:tc>
          <w:tcPr>
            <w:tcW w:w="897" w:type="dxa"/>
            <w:tcBorders>
              <w:tl2br w:val="nil"/>
              <w:tr2bl w:val="nil"/>
            </w:tcBorders>
            <w:noWrap w:val="0"/>
            <w:vAlign w:val="center"/>
          </w:tcPr>
          <w:p w14:paraId="50E0E522">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≤0.05</w:t>
            </w:r>
          </w:p>
        </w:tc>
      </w:tr>
      <w:tr w14:paraId="427811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4" w:type="dxa"/>
            <w:tcBorders>
              <w:tl2br w:val="nil"/>
              <w:tr2bl w:val="nil"/>
            </w:tcBorders>
            <w:noWrap w:val="0"/>
            <w:vAlign w:val="center"/>
          </w:tcPr>
          <w:p w14:paraId="04EE9F3C">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2</w:t>
            </w:r>
          </w:p>
        </w:tc>
        <w:tc>
          <w:tcPr>
            <w:tcW w:w="1499" w:type="dxa"/>
            <w:tcBorders>
              <w:tl2br w:val="nil"/>
              <w:tr2bl w:val="nil"/>
            </w:tcBorders>
            <w:noWrap w:val="0"/>
            <w:vAlign w:val="center"/>
          </w:tcPr>
          <w:p w14:paraId="0DB0249A">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DO</w:t>
            </w:r>
          </w:p>
        </w:tc>
        <w:tc>
          <w:tcPr>
            <w:tcW w:w="868" w:type="dxa"/>
            <w:tcBorders>
              <w:tl2br w:val="nil"/>
              <w:tr2bl w:val="nil"/>
            </w:tcBorders>
            <w:noWrap w:val="0"/>
            <w:vAlign w:val="center"/>
          </w:tcPr>
          <w:p w14:paraId="0F954C20">
            <w:pPr>
              <w:keepNext w:val="0"/>
              <w:keepLines w:val="0"/>
              <w:pageBreakBefore w:val="0"/>
              <w:widowControl w:val="0"/>
              <w:kinsoku/>
              <w:wordWrap/>
              <w:overflowPunct/>
              <w:topLinePunct w:val="0"/>
              <w:autoSpaceDE/>
              <w:autoSpaceDN/>
              <w:bidi w:val="0"/>
              <w:adjustRightInd/>
              <w:snapToGrid/>
              <w:spacing w:line="31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≥6</w:t>
            </w:r>
          </w:p>
        </w:tc>
        <w:tc>
          <w:tcPr>
            <w:tcW w:w="869" w:type="dxa"/>
            <w:tcBorders>
              <w:right w:val="double" w:color="000000" w:sz="4" w:space="0"/>
            </w:tcBorders>
            <w:noWrap w:val="0"/>
            <w:vAlign w:val="center"/>
          </w:tcPr>
          <w:p w14:paraId="017443F1">
            <w:pPr>
              <w:keepNext w:val="0"/>
              <w:keepLines w:val="0"/>
              <w:pageBreakBefore w:val="0"/>
              <w:widowControl w:val="0"/>
              <w:kinsoku/>
              <w:wordWrap/>
              <w:overflowPunct/>
              <w:topLinePunct w:val="0"/>
              <w:autoSpaceDE/>
              <w:autoSpaceDN/>
              <w:bidi w:val="0"/>
              <w:adjustRightInd/>
              <w:snapToGrid/>
              <w:spacing w:line="185"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w:t>
            </w:r>
          </w:p>
        </w:tc>
        <w:tc>
          <w:tcPr>
            <w:tcW w:w="617" w:type="dxa"/>
            <w:tcBorders>
              <w:left w:val="double" w:color="000000" w:sz="4" w:space="0"/>
              <w:tl2br w:val="nil"/>
              <w:tr2bl w:val="nil"/>
            </w:tcBorders>
            <w:noWrap w:val="0"/>
            <w:vAlign w:val="center"/>
          </w:tcPr>
          <w:p w14:paraId="5342C401">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16</w:t>
            </w:r>
          </w:p>
        </w:tc>
        <w:tc>
          <w:tcPr>
            <w:tcW w:w="2075" w:type="dxa"/>
            <w:tcBorders>
              <w:tl2br w:val="nil"/>
              <w:tr2bl w:val="nil"/>
            </w:tcBorders>
            <w:noWrap w:val="0"/>
            <w:vAlign w:val="center"/>
          </w:tcPr>
          <w:p w14:paraId="765F4741">
            <w:pPr>
              <w:keepNext w:val="0"/>
              <w:keepLines w:val="0"/>
              <w:pageBreakBefore w:val="0"/>
              <w:widowControl w:val="0"/>
              <w:kinsoku/>
              <w:wordWrap/>
              <w:overflowPunct/>
              <w:topLinePunct w:val="0"/>
              <w:autoSpaceDE/>
              <w:autoSpaceDN/>
              <w:bidi w:val="0"/>
              <w:adjustRightInd/>
              <w:snapToGrid/>
              <w:spacing w:line="229"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石油类</w:t>
            </w:r>
          </w:p>
        </w:tc>
        <w:tc>
          <w:tcPr>
            <w:tcW w:w="907" w:type="dxa"/>
            <w:tcBorders>
              <w:tl2br w:val="nil"/>
              <w:tr2bl w:val="nil"/>
            </w:tcBorders>
            <w:noWrap w:val="0"/>
            <w:vAlign w:val="center"/>
          </w:tcPr>
          <w:p w14:paraId="383BDDEF">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≤0.05</w:t>
            </w:r>
          </w:p>
        </w:tc>
        <w:tc>
          <w:tcPr>
            <w:tcW w:w="897" w:type="dxa"/>
            <w:tcBorders>
              <w:tl2br w:val="nil"/>
              <w:tr2bl w:val="nil"/>
            </w:tcBorders>
            <w:noWrap w:val="0"/>
            <w:vAlign w:val="center"/>
          </w:tcPr>
          <w:p w14:paraId="790ED3E6">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≤0.05</w:t>
            </w:r>
          </w:p>
        </w:tc>
      </w:tr>
      <w:tr w14:paraId="344451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4" w:type="dxa"/>
            <w:tcBorders>
              <w:tl2br w:val="nil"/>
              <w:tr2bl w:val="nil"/>
            </w:tcBorders>
            <w:noWrap w:val="0"/>
            <w:vAlign w:val="center"/>
          </w:tcPr>
          <w:p w14:paraId="1E5442F5">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3</w:t>
            </w:r>
          </w:p>
        </w:tc>
        <w:tc>
          <w:tcPr>
            <w:tcW w:w="1499" w:type="dxa"/>
            <w:tcBorders>
              <w:tl2br w:val="nil"/>
              <w:tr2bl w:val="nil"/>
            </w:tcBorders>
            <w:noWrap w:val="0"/>
            <w:vAlign w:val="center"/>
          </w:tcPr>
          <w:p w14:paraId="236BE86A">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COD</w:t>
            </w:r>
          </w:p>
        </w:tc>
        <w:tc>
          <w:tcPr>
            <w:tcW w:w="868" w:type="dxa"/>
            <w:tcBorders>
              <w:tl2br w:val="nil"/>
              <w:tr2bl w:val="nil"/>
            </w:tcBorders>
            <w:noWrap w:val="0"/>
            <w:vAlign w:val="center"/>
          </w:tcPr>
          <w:p w14:paraId="484A4753">
            <w:pPr>
              <w:keepNext w:val="0"/>
              <w:keepLines w:val="0"/>
              <w:pageBreakBefore w:val="0"/>
              <w:widowControl w:val="0"/>
              <w:kinsoku/>
              <w:wordWrap/>
              <w:overflowPunct/>
              <w:topLinePunct w:val="0"/>
              <w:autoSpaceDE/>
              <w:autoSpaceDN/>
              <w:bidi w:val="0"/>
              <w:adjustRightInd/>
              <w:snapToGrid/>
              <w:spacing w:line="31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≤15</w:t>
            </w:r>
          </w:p>
        </w:tc>
        <w:tc>
          <w:tcPr>
            <w:tcW w:w="869" w:type="dxa"/>
            <w:tcBorders>
              <w:right w:val="double" w:color="000000" w:sz="4" w:space="0"/>
            </w:tcBorders>
            <w:noWrap w:val="0"/>
            <w:vAlign w:val="center"/>
          </w:tcPr>
          <w:p w14:paraId="5B3D254C">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≤20</w:t>
            </w:r>
          </w:p>
        </w:tc>
        <w:tc>
          <w:tcPr>
            <w:tcW w:w="617" w:type="dxa"/>
            <w:tcBorders>
              <w:left w:val="double" w:color="000000" w:sz="4" w:space="0"/>
              <w:tl2br w:val="nil"/>
              <w:tr2bl w:val="nil"/>
            </w:tcBorders>
            <w:noWrap w:val="0"/>
            <w:vAlign w:val="center"/>
          </w:tcPr>
          <w:p w14:paraId="3B064B1A">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17</w:t>
            </w:r>
          </w:p>
        </w:tc>
        <w:tc>
          <w:tcPr>
            <w:tcW w:w="2075" w:type="dxa"/>
            <w:tcBorders>
              <w:tl2br w:val="nil"/>
              <w:tr2bl w:val="nil"/>
            </w:tcBorders>
            <w:noWrap w:val="0"/>
            <w:vAlign w:val="center"/>
          </w:tcPr>
          <w:p w14:paraId="0996163F">
            <w:pPr>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氨氮</w:t>
            </w:r>
          </w:p>
        </w:tc>
        <w:tc>
          <w:tcPr>
            <w:tcW w:w="907" w:type="dxa"/>
            <w:tcBorders>
              <w:tl2br w:val="nil"/>
              <w:tr2bl w:val="nil"/>
            </w:tcBorders>
            <w:noWrap w:val="0"/>
            <w:vAlign w:val="center"/>
          </w:tcPr>
          <w:p w14:paraId="249472E6">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≤0.5</w:t>
            </w:r>
          </w:p>
        </w:tc>
        <w:tc>
          <w:tcPr>
            <w:tcW w:w="897" w:type="dxa"/>
            <w:tcBorders>
              <w:tl2br w:val="nil"/>
              <w:tr2bl w:val="nil"/>
            </w:tcBorders>
            <w:noWrap w:val="0"/>
            <w:vAlign w:val="center"/>
          </w:tcPr>
          <w:p w14:paraId="2C3559A9">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w:t>
            </w:r>
          </w:p>
        </w:tc>
      </w:tr>
      <w:tr w14:paraId="5F3AEA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4" w:type="dxa"/>
            <w:tcBorders>
              <w:tl2br w:val="nil"/>
              <w:tr2bl w:val="nil"/>
            </w:tcBorders>
            <w:noWrap w:val="0"/>
            <w:vAlign w:val="center"/>
          </w:tcPr>
          <w:p w14:paraId="0713D255">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4</w:t>
            </w:r>
          </w:p>
        </w:tc>
        <w:tc>
          <w:tcPr>
            <w:tcW w:w="1499" w:type="dxa"/>
            <w:tcBorders>
              <w:tl2br w:val="nil"/>
              <w:tr2bl w:val="nil"/>
            </w:tcBorders>
            <w:noWrap w:val="0"/>
            <w:vAlign w:val="center"/>
          </w:tcPr>
          <w:p w14:paraId="29E9EE53">
            <w:pPr>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lang w:eastAsia="zh-CN"/>
              </w:rPr>
              <w:t>高锰酸盐指数</w:t>
            </w:r>
          </w:p>
        </w:tc>
        <w:tc>
          <w:tcPr>
            <w:tcW w:w="868" w:type="dxa"/>
            <w:tcBorders>
              <w:tl2br w:val="nil"/>
              <w:tr2bl w:val="nil"/>
            </w:tcBorders>
            <w:noWrap w:val="0"/>
            <w:vAlign w:val="center"/>
          </w:tcPr>
          <w:p w14:paraId="535BCF81">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w:t>
            </w:r>
          </w:p>
        </w:tc>
        <w:tc>
          <w:tcPr>
            <w:tcW w:w="869" w:type="dxa"/>
            <w:tcBorders>
              <w:right w:val="double" w:color="000000" w:sz="4" w:space="0"/>
            </w:tcBorders>
            <w:noWrap w:val="0"/>
            <w:vAlign w:val="center"/>
          </w:tcPr>
          <w:p w14:paraId="6CA797C5">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≤6</w:t>
            </w:r>
          </w:p>
        </w:tc>
        <w:tc>
          <w:tcPr>
            <w:tcW w:w="617" w:type="dxa"/>
            <w:tcBorders>
              <w:left w:val="double" w:color="000000" w:sz="4" w:space="0"/>
              <w:tl2br w:val="nil"/>
              <w:tr2bl w:val="nil"/>
            </w:tcBorders>
            <w:noWrap w:val="0"/>
            <w:vAlign w:val="center"/>
          </w:tcPr>
          <w:p w14:paraId="5E07A9F9">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18</w:t>
            </w:r>
          </w:p>
        </w:tc>
        <w:tc>
          <w:tcPr>
            <w:tcW w:w="2075" w:type="dxa"/>
            <w:tcBorders>
              <w:tl2br w:val="nil"/>
              <w:tr2bl w:val="nil"/>
            </w:tcBorders>
            <w:noWrap w:val="0"/>
            <w:vAlign w:val="center"/>
          </w:tcPr>
          <w:p w14:paraId="3278CCDD">
            <w:pPr>
              <w:keepNext w:val="0"/>
              <w:keepLines w:val="0"/>
              <w:pageBreakBefore w:val="0"/>
              <w:widowControl w:val="0"/>
              <w:kinsoku/>
              <w:wordWrap/>
              <w:overflowPunct/>
              <w:topLinePunct w:val="0"/>
              <w:autoSpaceDE/>
              <w:autoSpaceDN/>
              <w:bidi w:val="0"/>
              <w:adjustRightInd/>
              <w:snapToGrid/>
              <w:spacing w:line="219"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总氮</w:t>
            </w:r>
          </w:p>
        </w:tc>
        <w:tc>
          <w:tcPr>
            <w:tcW w:w="907" w:type="dxa"/>
            <w:tcBorders>
              <w:tl2br w:val="nil"/>
              <w:tr2bl w:val="nil"/>
            </w:tcBorders>
            <w:noWrap w:val="0"/>
            <w:vAlign w:val="center"/>
          </w:tcPr>
          <w:p w14:paraId="0BD490CA">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≤0.5</w:t>
            </w:r>
          </w:p>
        </w:tc>
        <w:tc>
          <w:tcPr>
            <w:tcW w:w="897" w:type="dxa"/>
            <w:tcBorders>
              <w:tl2br w:val="nil"/>
              <w:tr2bl w:val="nil"/>
            </w:tcBorders>
            <w:noWrap w:val="0"/>
            <w:vAlign w:val="center"/>
          </w:tcPr>
          <w:p w14:paraId="2B831B38">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w:t>
            </w:r>
          </w:p>
        </w:tc>
      </w:tr>
      <w:tr w14:paraId="4D9165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4" w:type="dxa"/>
            <w:tcBorders>
              <w:tl2br w:val="nil"/>
              <w:tr2bl w:val="nil"/>
            </w:tcBorders>
            <w:noWrap w:val="0"/>
            <w:vAlign w:val="center"/>
          </w:tcPr>
          <w:p w14:paraId="4BF7FA38">
            <w:pPr>
              <w:keepNext w:val="0"/>
              <w:keepLines w:val="0"/>
              <w:pageBreakBefore w:val="0"/>
              <w:widowControl w:val="0"/>
              <w:kinsoku/>
              <w:wordWrap/>
              <w:overflowPunct/>
              <w:topLinePunct w:val="0"/>
              <w:autoSpaceDE/>
              <w:autoSpaceDN/>
              <w:bidi w:val="0"/>
              <w:adjustRightInd/>
              <w:snapToGrid/>
              <w:spacing w:line="185"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5</w:t>
            </w:r>
          </w:p>
        </w:tc>
        <w:tc>
          <w:tcPr>
            <w:tcW w:w="1499" w:type="dxa"/>
            <w:tcBorders>
              <w:tl2br w:val="nil"/>
              <w:tr2bl w:val="nil"/>
            </w:tcBorders>
            <w:noWrap w:val="0"/>
            <w:vAlign w:val="center"/>
          </w:tcPr>
          <w:p w14:paraId="6EF86BF0">
            <w:pPr>
              <w:keepNext w:val="0"/>
              <w:keepLines w:val="0"/>
              <w:pageBreakBefore w:val="0"/>
              <w:widowControl w:val="0"/>
              <w:kinsoku/>
              <w:wordWrap/>
              <w:overflowPunct/>
              <w:topLinePunct w:val="0"/>
              <w:autoSpaceDE/>
              <w:autoSpaceDN/>
              <w:bidi w:val="0"/>
              <w:adjustRightInd/>
              <w:snapToGrid/>
              <w:spacing w:line="196"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BOD5</w:t>
            </w:r>
          </w:p>
        </w:tc>
        <w:tc>
          <w:tcPr>
            <w:tcW w:w="868" w:type="dxa"/>
            <w:tcBorders>
              <w:tl2br w:val="nil"/>
              <w:tr2bl w:val="nil"/>
            </w:tcBorders>
            <w:noWrap w:val="0"/>
            <w:vAlign w:val="center"/>
          </w:tcPr>
          <w:p w14:paraId="5587D995">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≤3</w:t>
            </w:r>
          </w:p>
        </w:tc>
        <w:tc>
          <w:tcPr>
            <w:tcW w:w="869" w:type="dxa"/>
            <w:tcBorders>
              <w:right w:val="double" w:color="000000" w:sz="4" w:space="0"/>
            </w:tcBorders>
            <w:noWrap w:val="0"/>
            <w:vAlign w:val="center"/>
          </w:tcPr>
          <w:p w14:paraId="31049F02">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w:t>
            </w:r>
          </w:p>
        </w:tc>
        <w:tc>
          <w:tcPr>
            <w:tcW w:w="617" w:type="dxa"/>
            <w:tcBorders>
              <w:left w:val="double" w:color="000000" w:sz="4" w:space="0"/>
              <w:tl2br w:val="nil"/>
              <w:tr2bl w:val="nil"/>
            </w:tcBorders>
            <w:noWrap w:val="0"/>
            <w:vAlign w:val="center"/>
          </w:tcPr>
          <w:p w14:paraId="06118793">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19</w:t>
            </w:r>
          </w:p>
        </w:tc>
        <w:tc>
          <w:tcPr>
            <w:tcW w:w="2075" w:type="dxa"/>
            <w:tcBorders>
              <w:tl2br w:val="nil"/>
              <w:tr2bl w:val="nil"/>
            </w:tcBorders>
            <w:noWrap w:val="0"/>
            <w:vAlign w:val="center"/>
          </w:tcPr>
          <w:p w14:paraId="59A4A9C5">
            <w:pPr>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粪大肠菌群(个</w:t>
            </w:r>
            <w:r>
              <w:rPr>
                <w:rFonts w:hint="default" w:ascii="Times New Roman" w:hAnsi="Times New Roman" w:eastAsia="Times New Roman" w:cs="Times New Roman"/>
                <w:color w:val="auto"/>
                <w:spacing w:val="0"/>
                <w:w w:val="100"/>
                <w:position w:val="0"/>
                <w:sz w:val="21"/>
                <w:szCs w:val="21"/>
                <w:u w:val="none" w:color="auto"/>
              </w:rPr>
              <w:t>/L</w:t>
            </w:r>
            <w:r>
              <w:rPr>
                <w:rFonts w:hint="default" w:ascii="Times New Roman" w:hAnsi="Times New Roman" w:eastAsia="宋体" w:cs="Times New Roman"/>
                <w:color w:val="auto"/>
                <w:spacing w:val="0"/>
                <w:w w:val="100"/>
                <w:position w:val="0"/>
                <w:sz w:val="21"/>
                <w:szCs w:val="21"/>
                <w:u w:val="none" w:color="auto"/>
              </w:rPr>
              <w:t>)</w:t>
            </w:r>
          </w:p>
        </w:tc>
        <w:tc>
          <w:tcPr>
            <w:tcW w:w="907" w:type="dxa"/>
            <w:tcBorders>
              <w:tl2br w:val="nil"/>
              <w:tr2bl w:val="nil"/>
            </w:tcBorders>
            <w:noWrap w:val="0"/>
            <w:vAlign w:val="center"/>
          </w:tcPr>
          <w:p w14:paraId="5FB939A9">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≤2000</w:t>
            </w:r>
          </w:p>
        </w:tc>
        <w:tc>
          <w:tcPr>
            <w:tcW w:w="897" w:type="dxa"/>
            <w:tcBorders>
              <w:tl2br w:val="nil"/>
              <w:tr2bl w:val="nil"/>
            </w:tcBorders>
            <w:noWrap w:val="0"/>
            <w:vAlign w:val="center"/>
          </w:tcPr>
          <w:p w14:paraId="773703A3">
            <w:pPr>
              <w:keepNext w:val="0"/>
              <w:keepLines w:val="0"/>
              <w:pageBreakBefore w:val="0"/>
              <w:widowControl w:val="0"/>
              <w:kinsoku/>
              <w:wordWrap/>
              <w:overflowPunct/>
              <w:topLinePunct w:val="0"/>
              <w:autoSpaceDE/>
              <w:autoSpaceDN/>
              <w:bidi w:val="0"/>
              <w:adjustRightInd/>
              <w:snapToGrid/>
              <w:spacing w:line="283" w:lineRule="exact"/>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≤10000</w:t>
            </w:r>
          </w:p>
        </w:tc>
      </w:tr>
      <w:tr w14:paraId="6AE7DA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4" w:type="dxa"/>
            <w:tcBorders>
              <w:tl2br w:val="nil"/>
              <w:tr2bl w:val="nil"/>
            </w:tcBorders>
            <w:noWrap w:val="0"/>
            <w:vAlign w:val="center"/>
          </w:tcPr>
          <w:p w14:paraId="487A5ED2">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6</w:t>
            </w:r>
          </w:p>
        </w:tc>
        <w:tc>
          <w:tcPr>
            <w:tcW w:w="1499" w:type="dxa"/>
            <w:tcBorders>
              <w:tl2br w:val="nil"/>
              <w:tr2bl w:val="nil"/>
            </w:tcBorders>
            <w:noWrap w:val="0"/>
            <w:vAlign w:val="center"/>
          </w:tcPr>
          <w:p w14:paraId="32CE7AC7">
            <w:pPr>
              <w:keepNext w:val="0"/>
              <w:keepLines w:val="0"/>
              <w:pageBreakBefore w:val="0"/>
              <w:widowControl w:val="0"/>
              <w:kinsoku/>
              <w:wordWrap/>
              <w:overflowPunct/>
              <w:topLinePunct w:val="0"/>
              <w:autoSpaceDE/>
              <w:autoSpaceDN/>
              <w:bidi w:val="0"/>
              <w:adjustRightInd/>
              <w:snapToGrid/>
              <w:spacing w:line="221"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铜</w:t>
            </w:r>
          </w:p>
        </w:tc>
        <w:tc>
          <w:tcPr>
            <w:tcW w:w="868" w:type="dxa"/>
            <w:tcBorders>
              <w:tl2br w:val="nil"/>
              <w:tr2bl w:val="nil"/>
            </w:tcBorders>
            <w:noWrap w:val="0"/>
            <w:vAlign w:val="center"/>
          </w:tcPr>
          <w:p w14:paraId="23F15967">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w:t>
            </w:r>
          </w:p>
        </w:tc>
        <w:tc>
          <w:tcPr>
            <w:tcW w:w="869" w:type="dxa"/>
            <w:tcBorders>
              <w:right w:val="double" w:color="000000" w:sz="4" w:space="0"/>
            </w:tcBorders>
            <w:noWrap w:val="0"/>
            <w:vAlign w:val="center"/>
          </w:tcPr>
          <w:p w14:paraId="3DBE7192">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w:t>
            </w:r>
          </w:p>
        </w:tc>
        <w:tc>
          <w:tcPr>
            <w:tcW w:w="617" w:type="dxa"/>
            <w:tcBorders>
              <w:left w:val="double" w:color="000000" w:sz="4" w:space="0"/>
              <w:tl2br w:val="nil"/>
              <w:tr2bl w:val="nil"/>
            </w:tcBorders>
            <w:noWrap w:val="0"/>
            <w:vAlign w:val="center"/>
          </w:tcPr>
          <w:p w14:paraId="279529EC">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20</w:t>
            </w:r>
          </w:p>
        </w:tc>
        <w:tc>
          <w:tcPr>
            <w:tcW w:w="2075" w:type="dxa"/>
            <w:tcBorders>
              <w:tl2br w:val="nil"/>
              <w:tr2bl w:val="nil"/>
            </w:tcBorders>
            <w:noWrap w:val="0"/>
            <w:vAlign w:val="center"/>
          </w:tcPr>
          <w:p w14:paraId="4DAE0E74">
            <w:pPr>
              <w:keepNext w:val="0"/>
              <w:keepLines w:val="0"/>
              <w:pageBreakBefore w:val="0"/>
              <w:widowControl w:val="0"/>
              <w:kinsoku/>
              <w:wordWrap/>
              <w:overflowPunct/>
              <w:topLinePunct w:val="0"/>
              <w:autoSpaceDE/>
              <w:autoSpaceDN/>
              <w:bidi w:val="0"/>
              <w:adjustRightInd/>
              <w:snapToGrid/>
              <w:spacing w:line="222"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硒</w:t>
            </w:r>
          </w:p>
        </w:tc>
        <w:tc>
          <w:tcPr>
            <w:tcW w:w="907" w:type="dxa"/>
            <w:tcBorders>
              <w:tl2br w:val="nil"/>
              <w:tr2bl w:val="nil"/>
            </w:tcBorders>
            <w:noWrap w:val="0"/>
            <w:vAlign w:val="center"/>
          </w:tcPr>
          <w:p w14:paraId="48C804B2">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≤0.01</w:t>
            </w:r>
          </w:p>
        </w:tc>
        <w:tc>
          <w:tcPr>
            <w:tcW w:w="897" w:type="dxa"/>
            <w:tcBorders>
              <w:tl2br w:val="nil"/>
              <w:tr2bl w:val="nil"/>
            </w:tcBorders>
            <w:noWrap w:val="0"/>
            <w:vAlign w:val="center"/>
          </w:tcPr>
          <w:p w14:paraId="62212F49">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≤0.01</w:t>
            </w:r>
          </w:p>
        </w:tc>
      </w:tr>
      <w:tr w14:paraId="65312F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4" w:type="dxa"/>
            <w:tcBorders>
              <w:tl2br w:val="nil"/>
              <w:tr2bl w:val="nil"/>
            </w:tcBorders>
            <w:noWrap w:val="0"/>
            <w:vAlign w:val="center"/>
          </w:tcPr>
          <w:p w14:paraId="72D63CA6">
            <w:pPr>
              <w:keepNext w:val="0"/>
              <w:keepLines w:val="0"/>
              <w:pageBreakBefore w:val="0"/>
              <w:widowControl w:val="0"/>
              <w:kinsoku/>
              <w:wordWrap/>
              <w:overflowPunct/>
              <w:topLinePunct w:val="0"/>
              <w:autoSpaceDE/>
              <w:autoSpaceDN/>
              <w:bidi w:val="0"/>
              <w:adjustRightInd/>
              <w:snapToGrid/>
              <w:spacing w:line="185"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7</w:t>
            </w:r>
          </w:p>
        </w:tc>
        <w:tc>
          <w:tcPr>
            <w:tcW w:w="1499" w:type="dxa"/>
            <w:tcBorders>
              <w:tl2br w:val="nil"/>
              <w:tr2bl w:val="nil"/>
            </w:tcBorders>
            <w:noWrap w:val="0"/>
            <w:vAlign w:val="center"/>
          </w:tcPr>
          <w:p w14:paraId="2BD916A8">
            <w:pPr>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锌</w:t>
            </w:r>
          </w:p>
        </w:tc>
        <w:tc>
          <w:tcPr>
            <w:tcW w:w="868" w:type="dxa"/>
            <w:tcBorders>
              <w:tl2br w:val="nil"/>
              <w:tr2bl w:val="nil"/>
            </w:tcBorders>
            <w:noWrap w:val="0"/>
            <w:vAlign w:val="center"/>
          </w:tcPr>
          <w:p w14:paraId="586A1C9A">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w:t>
            </w:r>
          </w:p>
        </w:tc>
        <w:tc>
          <w:tcPr>
            <w:tcW w:w="869" w:type="dxa"/>
            <w:tcBorders>
              <w:right w:val="double" w:color="000000" w:sz="4" w:space="0"/>
            </w:tcBorders>
            <w:noWrap w:val="0"/>
            <w:vAlign w:val="center"/>
          </w:tcPr>
          <w:p w14:paraId="3969981D">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w:t>
            </w:r>
          </w:p>
        </w:tc>
        <w:tc>
          <w:tcPr>
            <w:tcW w:w="617" w:type="dxa"/>
            <w:tcBorders>
              <w:left w:val="double" w:color="000000" w:sz="4" w:space="0"/>
              <w:tl2br w:val="nil"/>
              <w:tr2bl w:val="nil"/>
            </w:tcBorders>
            <w:noWrap w:val="0"/>
            <w:vAlign w:val="center"/>
          </w:tcPr>
          <w:p w14:paraId="5280FD97">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21</w:t>
            </w:r>
          </w:p>
        </w:tc>
        <w:tc>
          <w:tcPr>
            <w:tcW w:w="2075" w:type="dxa"/>
            <w:tcBorders>
              <w:tl2br w:val="nil"/>
              <w:tr2bl w:val="nil"/>
            </w:tcBorders>
            <w:noWrap w:val="0"/>
            <w:vAlign w:val="center"/>
          </w:tcPr>
          <w:p w14:paraId="2FA2144B">
            <w:pPr>
              <w:keepNext w:val="0"/>
              <w:keepLines w:val="0"/>
              <w:pageBreakBefore w:val="0"/>
              <w:widowControl w:val="0"/>
              <w:kinsoku/>
              <w:wordWrap/>
              <w:overflowPunct/>
              <w:topLinePunct w:val="0"/>
              <w:autoSpaceDE/>
              <w:autoSpaceDN/>
              <w:bidi w:val="0"/>
              <w:adjustRightInd/>
              <w:snapToGrid/>
              <w:spacing w:line="23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砷</w:t>
            </w:r>
          </w:p>
        </w:tc>
        <w:tc>
          <w:tcPr>
            <w:tcW w:w="907" w:type="dxa"/>
            <w:tcBorders>
              <w:tl2br w:val="nil"/>
              <w:tr2bl w:val="nil"/>
            </w:tcBorders>
            <w:noWrap w:val="0"/>
            <w:vAlign w:val="center"/>
          </w:tcPr>
          <w:p w14:paraId="051C91AD">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≤0.05</w:t>
            </w:r>
          </w:p>
        </w:tc>
        <w:tc>
          <w:tcPr>
            <w:tcW w:w="897" w:type="dxa"/>
            <w:tcBorders>
              <w:tl2br w:val="nil"/>
              <w:tr2bl w:val="nil"/>
            </w:tcBorders>
            <w:noWrap w:val="0"/>
            <w:vAlign w:val="center"/>
          </w:tcPr>
          <w:p w14:paraId="6D2E6C4C">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≤0.05</w:t>
            </w:r>
          </w:p>
        </w:tc>
      </w:tr>
      <w:tr w14:paraId="168348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4" w:type="dxa"/>
            <w:tcBorders>
              <w:tl2br w:val="nil"/>
              <w:tr2bl w:val="nil"/>
            </w:tcBorders>
            <w:noWrap w:val="0"/>
            <w:vAlign w:val="center"/>
          </w:tcPr>
          <w:p w14:paraId="4F0B420A">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8</w:t>
            </w:r>
          </w:p>
        </w:tc>
        <w:tc>
          <w:tcPr>
            <w:tcW w:w="1499" w:type="dxa"/>
            <w:tcBorders>
              <w:tl2br w:val="nil"/>
              <w:tr2bl w:val="nil"/>
            </w:tcBorders>
            <w:noWrap w:val="0"/>
            <w:vAlign w:val="center"/>
          </w:tcPr>
          <w:p w14:paraId="0114B447">
            <w:pPr>
              <w:keepNext w:val="0"/>
              <w:keepLines w:val="0"/>
              <w:pageBreakBefore w:val="0"/>
              <w:widowControl w:val="0"/>
              <w:kinsoku/>
              <w:wordWrap/>
              <w:overflowPunct/>
              <w:topLinePunct w:val="0"/>
              <w:autoSpaceDE/>
              <w:autoSpaceDN/>
              <w:bidi w:val="0"/>
              <w:adjustRightInd/>
              <w:snapToGrid/>
              <w:spacing w:line="221"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铁</w:t>
            </w:r>
          </w:p>
        </w:tc>
        <w:tc>
          <w:tcPr>
            <w:tcW w:w="868" w:type="dxa"/>
            <w:tcBorders>
              <w:tl2br w:val="nil"/>
              <w:tr2bl w:val="nil"/>
            </w:tcBorders>
            <w:noWrap w:val="0"/>
            <w:vAlign w:val="center"/>
          </w:tcPr>
          <w:p w14:paraId="2C3C85BD">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≤0.3</w:t>
            </w:r>
          </w:p>
        </w:tc>
        <w:tc>
          <w:tcPr>
            <w:tcW w:w="869" w:type="dxa"/>
            <w:tcBorders>
              <w:right w:val="double" w:color="000000" w:sz="4" w:space="0"/>
            </w:tcBorders>
            <w:noWrap w:val="0"/>
            <w:vAlign w:val="center"/>
          </w:tcPr>
          <w:p w14:paraId="04E8EB3C">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≤0.3</w:t>
            </w:r>
          </w:p>
        </w:tc>
        <w:tc>
          <w:tcPr>
            <w:tcW w:w="617" w:type="dxa"/>
            <w:tcBorders>
              <w:left w:val="double" w:color="000000" w:sz="4" w:space="0"/>
              <w:tl2br w:val="nil"/>
              <w:tr2bl w:val="nil"/>
            </w:tcBorders>
            <w:noWrap w:val="0"/>
            <w:vAlign w:val="center"/>
          </w:tcPr>
          <w:p w14:paraId="489437CA">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22</w:t>
            </w:r>
          </w:p>
        </w:tc>
        <w:tc>
          <w:tcPr>
            <w:tcW w:w="2075" w:type="dxa"/>
            <w:tcBorders>
              <w:tl2br w:val="nil"/>
              <w:tr2bl w:val="nil"/>
            </w:tcBorders>
            <w:noWrap w:val="0"/>
            <w:vAlign w:val="center"/>
          </w:tcPr>
          <w:p w14:paraId="58CC0258">
            <w:pPr>
              <w:keepNext w:val="0"/>
              <w:keepLines w:val="0"/>
              <w:pageBreakBefore w:val="0"/>
              <w:widowControl w:val="0"/>
              <w:kinsoku/>
              <w:wordWrap/>
              <w:overflowPunct/>
              <w:topLinePunct w:val="0"/>
              <w:autoSpaceDE/>
              <w:autoSpaceDN/>
              <w:bidi w:val="0"/>
              <w:adjustRightInd/>
              <w:snapToGrid/>
              <w:spacing w:line="236"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锰</w:t>
            </w:r>
          </w:p>
        </w:tc>
        <w:tc>
          <w:tcPr>
            <w:tcW w:w="907" w:type="dxa"/>
            <w:tcBorders>
              <w:tl2br w:val="nil"/>
              <w:tr2bl w:val="nil"/>
            </w:tcBorders>
            <w:noWrap w:val="0"/>
            <w:vAlign w:val="center"/>
          </w:tcPr>
          <w:p w14:paraId="5CC4D10D">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≤0.1</w:t>
            </w:r>
          </w:p>
        </w:tc>
        <w:tc>
          <w:tcPr>
            <w:tcW w:w="897" w:type="dxa"/>
            <w:tcBorders>
              <w:tl2br w:val="nil"/>
              <w:tr2bl w:val="nil"/>
            </w:tcBorders>
            <w:noWrap w:val="0"/>
            <w:vAlign w:val="center"/>
          </w:tcPr>
          <w:p w14:paraId="34272F6C">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≤0.1</w:t>
            </w:r>
          </w:p>
        </w:tc>
      </w:tr>
      <w:tr w14:paraId="2C85791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4" w:type="dxa"/>
            <w:tcBorders>
              <w:tl2br w:val="nil"/>
              <w:tr2bl w:val="nil"/>
            </w:tcBorders>
            <w:noWrap w:val="0"/>
            <w:vAlign w:val="center"/>
          </w:tcPr>
          <w:p w14:paraId="236F8C54">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9</w:t>
            </w:r>
          </w:p>
        </w:tc>
        <w:tc>
          <w:tcPr>
            <w:tcW w:w="1499" w:type="dxa"/>
            <w:tcBorders>
              <w:tl2br w:val="nil"/>
              <w:tr2bl w:val="nil"/>
            </w:tcBorders>
            <w:noWrap w:val="0"/>
            <w:vAlign w:val="center"/>
          </w:tcPr>
          <w:p w14:paraId="1CE634C7">
            <w:pPr>
              <w:keepNext w:val="0"/>
              <w:keepLines w:val="0"/>
              <w:pageBreakBefore w:val="0"/>
              <w:widowControl w:val="0"/>
              <w:kinsoku/>
              <w:wordWrap/>
              <w:overflowPunct/>
              <w:topLinePunct w:val="0"/>
              <w:autoSpaceDE/>
              <w:autoSpaceDN/>
              <w:bidi w:val="0"/>
              <w:adjustRightInd/>
              <w:snapToGrid/>
              <w:spacing w:line="22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氟化物</w:t>
            </w:r>
          </w:p>
        </w:tc>
        <w:tc>
          <w:tcPr>
            <w:tcW w:w="868" w:type="dxa"/>
            <w:tcBorders>
              <w:tl2br w:val="nil"/>
              <w:tr2bl w:val="nil"/>
            </w:tcBorders>
            <w:noWrap w:val="0"/>
            <w:vAlign w:val="center"/>
          </w:tcPr>
          <w:p w14:paraId="3AF72EAD">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w:t>
            </w:r>
          </w:p>
        </w:tc>
        <w:tc>
          <w:tcPr>
            <w:tcW w:w="869" w:type="dxa"/>
            <w:tcBorders>
              <w:right w:val="double" w:color="000000" w:sz="4" w:space="0"/>
            </w:tcBorders>
            <w:noWrap w:val="0"/>
            <w:vAlign w:val="center"/>
          </w:tcPr>
          <w:p w14:paraId="1F26357D">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w:t>
            </w:r>
          </w:p>
        </w:tc>
        <w:tc>
          <w:tcPr>
            <w:tcW w:w="617" w:type="dxa"/>
            <w:tcBorders>
              <w:left w:val="double" w:color="000000" w:sz="4" w:space="0"/>
              <w:tl2br w:val="nil"/>
              <w:tr2bl w:val="nil"/>
            </w:tcBorders>
            <w:noWrap w:val="0"/>
            <w:vAlign w:val="center"/>
          </w:tcPr>
          <w:p w14:paraId="0D558A96">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23</w:t>
            </w:r>
          </w:p>
        </w:tc>
        <w:tc>
          <w:tcPr>
            <w:tcW w:w="2075" w:type="dxa"/>
            <w:tcBorders>
              <w:tl2br w:val="nil"/>
              <w:tr2bl w:val="nil"/>
            </w:tcBorders>
            <w:noWrap w:val="0"/>
            <w:vAlign w:val="center"/>
          </w:tcPr>
          <w:p w14:paraId="28BBB9A1">
            <w:pPr>
              <w:keepNext w:val="0"/>
              <w:keepLines w:val="0"/>
              <w:pageBreakBefore w:val="0"/>
              <w:widowControl w:val="0"/>
              <w:kinsoku/>
              <w:wordWrap/>
              <w:overflowPunct/>
              <w:topLinePunct w:val="0"/>
              <w:autoSpaceDE/>
              <w:autoSpaceDN/>
              <w:bidi w:val="0"/>
              <w:adjustRightInd/>
              <w:snapToGrid/>
              <w:spacing w:line="23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汞</w:t>
            </w:r>
          </w:p>
        </w:tc>
        <w:tc>
          <w:tcPr>
            <w:tcW w:w="907" w:type="dxa"/>
            <w:tcBorders>
              <w:tl2br w:val="nil"/>
              <w:tr2bl w:val="nil"/>
            </w:tcBorders>
            <w:noWrap w:val="0"/>
            <w:vAlign w:val="center"/>
          </w:tcPr>
          <w:p w14:paraId="297E025D">
            <w:pPr>
              <w:keepNext w:val="0"/>
              <w:keepLines w:val="0"/>
              <w:pageBreakBefore w:val="0"/>
              <w:widowControl w:val="0"/>
              <w:kinsoku/>
              <w:wordWrap/>
              <w:overflowPunct/>
              <w:topLinePunct w:val="0"/>
              <w:autoSpaceDE/>
              <w:autoSpaceDN/>
              <w:bidi w:val="0"/>
              <w:adjustRightInd/>
              <w:snapToGrid/>
              <w:spacing w:line="31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≤0.00005</w:t>
            </w:r>
          </w:p>
        </w:tc>
        <w:tc>
          <w:tcPr>
            <w:tcW w:w="897" w:type="dxa"/>
            <w:tcBorders>
              <w:tl2br w:val="nil"/>
              <w:tr2bl w:val="nil"/>
            </w:tcBorders>
            <w:noWrap w:val="0"/>
            <w:vAlign w:val="center"/>
          </w:tcPr>
          <w:p w14:paraId="1644F3F5">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≤0.0001</w:t>
            </w:r>
          </w:p>
        </w:tc>
      </w:tr>
      <w:tr w14:paraId="69F70F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4" w:type="dxa"/>
            <w:tcBorders>
              <w:tl2br w:val="nil"/>
              <w:tr2bl w:val="nil"/>
            </w:tcBorders>
            <w:noWrap w:val="0"/>
            <w:vAlign w:val="center"/>
          </w:tcPr>
          <w:p w14:paraId="696459FB">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10</w:t>
            </w:r>
          </w:p>
        </w:tc>
        <w:tc>
          <w:tcPr>
            <w:tcW w:w="1499" w:type="dxa"/>
            <w:tcBorders>
              <w:tl2br w:val="nil"/>
              <w:tr2bl w:val="nil"/>
            </w:tcBorders>
            <w:noWrap w:val="0"/>
            <w:vAlign w:val="center"/>
          </w:tcPr>
          <w:p w14:paraId="379FDACD">
            <w:pPr>
              <w:keepNext w:val="0"/>
              <w:keepLines w:val="0"/>
              <w:pageBreakBefore w:val="0"/>
              <w:widowControl w:val="0"/>
              <w:kinsoku/>
              <w:wordWrap/>
              <w:overflowPunct/>
              <w:topLinePunct w:val="0"/>
              <w:autoSpaceDE/>
              <w:autoSpaceDN/>
              <w:bidi w:val="0"/>
              <w:adjustRightInd/>
              <w:snapToGrid/>
              <w:spacing w:line="229"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氰化物</w:t>
            </w:r>
          </w:p>
        </w:tc>
        <w:tc>
          <w:tcPr>
            <w:tcW w:w="868" w:type="dxa"/>
            <w:tcBorders>
              <w:tl2br w:val="nil"/>
              <w:tr2bl w:val="nil"/>
            </w:tcBorders>
            <w:noWrap w:val="0"/>
            <w:vAlign w:val="center"/>
          </w:tcPr>
          <w:p w14:paraId="50379EA7">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≤0.2</w:t>
            </w:r>
          </w:p>
        </w:tc>
        <w:tc>
          <w:tcPr>
            <w:tcW w:w="869" w:type="dxa"/>
            <w:tcBorders>
              <w:right w:val="double" w:color="000000" w:sz="4" w:space="0"/>
            </w:tcBorders>
            <w:noWrap w:val="0"/>
            <w:vAlign w:val="center"/>
          </w:tcPr>
          <w:p w14:paraId="7C432E09">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≤0.2</w:t>
            </w:r>
          </w:p>
        </w:tc>
        <w:tc>
          <w:tcPr>
            <w:tcW w:w="617" w:type="dxa"/>
            <w:tcBorders>
              <w:left w:val="double" w:color="000000" w:sz="4" w:space="0"/>
              <w:tl2br w:val="nil"/>
              <w:tr2bl w:val="nil"/>
            </w:tcBorders>
            <w:noWrap w:val="0"/>
            <w:vAlign w:val="center"/>
          </w:tcPr>
          <w:p w14:paraId="4B38E21A">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24</w:t>
            </w:r>
          </w:p>
        </w:tc>
        <w:tc>
          <w:tcPr>
            <w:tcW w:w="2075" w:type="dxa"/>
            <w:tcBorders>
              <w:tl2br w:val="nil"/>
              <w:tr2bl w:val="nil"/>
            </w:tcBorders>
            <w:noWrap w:val="0"/>
            <w:vAlign w:val="center"/>
          </w:tcPr>
          <w:p w14:paraId="2CD1E55F">
            <w:pPr>
              <w:keepNext w:val="0"/>
              <w:keepLines w:val="0"/>
              <w:pageBreakBefore w:val="0"/>
              <w:widowControl w:val="0"/>
              <w:kinsoku/>
              <w:wordWrap/>
              <w:overflowPunct/>
              <w:topLinePunct w:val="0"/>
              <w:autoSpaceDE/>
              <w:autoSpaceDN/>
              <w:bidi w:val="0"/>
              <w:adjustRightInd/>
              <w:snapToGrid/>
              <w:spacing w:line="232"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镉</w:t>
            </w:r>
          </w:p>
        </w:tc>
        <w:tc>
          <w:tcPr>
            <w:tcW w:w="907" w:type="dxa"/>
            <w:tcBorders>
              <w:tl2br w:val="nil"/>
              <w:tr2bl w:val="nil"/>
            </w:tcBorders>
            <w:noWrap w:val="0"/>
            <w:vAlign w:val="center"/>
          </w:tcPr>
          <w:p w14:paraId="775592A1">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≤0.005</w:t>
            </w:r>
          </w:p>
        </w:tc>
        <w:tc>
          <w:tcPr>
            <w:tcW w:w="897" w:type="dxa"/>
            <w:tcBorders>
              <w:tl2br w:val="nil"/>
              <w:tr2bl w:val="nil"/>
            </w:tcBorders>
            <w:noWrap w:val="0"/>
            <w:vAlign w:val="center"/>
          </w:tcPr>
          <w:p w14:paraId="73454C62">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≤0.005</w:t>
            </w:r>
          </w:p>
        </w:tc>
      </w:tr>
      <w:tr w14:paraId="42143A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4" w:type="dxa"/>
            <w:tcBorders>
              <w:tl2br w:val="nil"/>
              <w:tr2bl w:val="nil"/>
            </w:tcBorders>
            <w:noWrap w:val="0"/>
            <w:vAlign w:val="center"/>
          </w:tcPr>
          <w:p w14:paraId="39D6CBA3">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11</w:t>
            </w:r>
          </w:p>
        </w:tc>
        <w:tc>
          <w:tcPr>
            <w:tcW w:w="1499" w:type="dxa"/>
            <w:tcBorders>
              <w:tl2br w:val="nil"/>
              <w:tr2bl w:val="nil"/>
            </w:tcBorders>
            <w:noWrap w:val="0"/>
            <w:vAlign w:val="center"/>
          </w:tcPr>
          <w:p w14:paraId="25116CE3">
            <w:pPr>
              <w:keepNext w:val="0"/>
              <w:keepLines w:val="0"/>
              <w:pageBreakBefore w:val="0"/>
              <w:widowControl w:val="0"/>
              <w:kinsoku/>
              <w:wordWrap/>
              <w:overflowPunct/>
              <w:topLinePunct w:val="0"/>
              <w:autoSpaceDE/>
              <w:autoSpaceDN/>
              <w:bidi w:val="0"/>
              <w:adjustRightInd/>
              <w:snapToGrid/>
              <w:spacing w:line="228"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铬(六价)</w:t>
            </w:r>
          </w:p>
        </w:tc>
        <w:tc>
          <w:tcPr>
            <w:tcW w:w="868" w:type="dxa"/>
            <w:tcBorders>
              <w:tl2br w:val="nil"/>
              <w:tr2bl w:val="nil"/>
            </w:tcBorders>
            <w:noWrap w:val="0"/>
            <w:vAlign w:val="center"/>
          </w:tcPr>
          <w:p w14:paraId="389F9EA8">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≤0.05</w:t>
            </w:r>
          </w:p>
        </w:tc>
        <w:tc>
          <w:tcPr>
            <w:tcW w:w="869" w:type="dxa"/>
            <w:tcBorders>
              <w:right w:val="double" w:color="000000" w:sz="4" w:space="0"/>
            </w:tcBorders>
            <w:noWrap w:val="0"/>
            <w:vAlign w:val="center"/>
          </w:tcPr>
          <w:p w14:paraId="1F0D45E0">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≤0.05</w:t>
            </w:r>
          </w:p>
        </w:tc>
        <w:tc>
          <w:tcPr>
            <w:tcW w:w="617" w:type="dxa"/>
            <w:tcBorders>
              <w:left w:val="double" w:color="000000" w:sz="4" w:space="0"/>
              <w:tl2br w:val="nil"/>
              <w:tr2bl w:val="nil"/>
            </w:tcBorders>
            <w:noWrap w:val="0"/>
            <w:vAlign w:val="center"/>
          </w:tcPr>
          <w:p w14:paraId="14DCC494">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25</w:t>
            </w:r>
          </w:p>
        </w:tc>
        <w:tc>
          <w:tcPr>
            <w:tcW w:w="2075" w:type="dxa"/>
            <w:tcBorders>
              <w:tl2br w:val="nil"/>
              <w:tr2bl w:val="nil"/>
            </w:tcBorders>
            <w:noWrap w:val="0"/>
            <w:vAlign w:val="center"/>
          </w:tcPr>
          <w:p w14:paraId="33638B07">
            <w:pPr>
              <w:keepNext w:val="0"/>
              <w:keepLines w:val="0"/>
              <w:pageBreakBefore w:val="0"/>
              <w:widowControl w:val="0"/>
              <w:kinsoku/>
              <w:wordWrap/>
              <w:overflowPunct/>
              <w:topLinePunct w:val="0"/>
              <w:autoSpaceDE/>
              <w:autoSpaceDN/>
              <w:bidi w:val="0"/>
              <w:adjustRightInd/>
              <w:snapToGrid/>
              <w:spacing w:line="234"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铅</w:t>
            </w:r>
          </w:p>
        </w:tc>
        <w:tc>
          <w:tcPr>
            <w:tcW w:w="907" w:type="dxa"/>
            <w:tcBorders>
              <w:tl2br w:val="nil"/>
              <w:tr2bl w:val="nil"/>
            </w:tcBorders>
            <w:noWrap w:val="0"/>
            <w:vAlign w:val="center"/>
          </w:tcPr>
          <w:p w14:paraId="4B5EDC99">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≤0.01</w:t>
            </w:r>
          </w:p>
        </w:tc>
        <w:tc>
          <w:tcPr>
            <w:tcW w:w="897" w:type="dxa"/>
            <w:tcBorders>
              <w:tl2br w:val="nil"/>
              <w:tr2bl w:val="nil"/>
            </w:tcBorders>
            <w:noWrap w:val="0"/>
            <w:vAlign w:val="center"/>
          </w:tcPr>
          <w:p w14:paraId="09A6E59C">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≤0.05</w:t>
            </w:r>
          </w:p>
        </w:tc>
      </w:tr>
      <w:tr w14:paraId="163A3E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4" w:type="dxa"/>
            <w:tcBorders>
              <w:tl2br w:val="nil"/>
              <w:tr2bl w:val="nil"/>
            </w:tcBorders>
            <w:noWrap w:val="0"/>
            <w:vAlign w:val="center"/>
          </w:tcPr>
          <w:p w14:paraId="36FEA001">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12</w:t>
            </w:r>
          </w:p>
        </w:tc>
        <w:tc>
          <w:tcPr>
            <w:tcW w:w="1499" w:type="dxa"/>
            <w:tcBorders>
              <w:tl2br w:val="nil"/>
              <w:tr2bl w:val="nil"/>
            </w:tcBorders>
            <w:noWrap w:val="0"/>
            <w:vAlign w:val="center"/>
          </w:tcPr>
          <w:p w14:paraId="0A69092E">
            <w:pPr>
              <w:keepNext w:val="0"/>
              <w:keepLines w:val="0"/>
              <w:pageBreakBefore w:val="0"/>
              <w:widowControl w:val="0"/>
              <w:kinsoku/>
              <w:wordWrap/>
              <w:overflowPunct/>
              <w:topLinePunct w:val="0"/>
              <w:autoSpaceDE/>
              <w:autoSpaceDN/>
              <w:bidi w:val="0"/>
              <w:adjustRightInd/>
              <w:snapToGrid/>
              <w:spacing w:line="23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挥发酚</w:t>
            </w:r>
          </w:p>
        </w:tc>
        <w:tc>
          <w:tcPr>
            <w:tcW w:w="868" w:type="dxa"/>
            <w:tcBorders>
              <w:tl2br w:val="nil"/>
              <w:tr2bl w:val="nil"/>
            </w:tcBorders>
            <w:noWrap w:val="0"/>
            <w:vAlign w:val="center"/>
          </w:tcPr>
          <w:p w14:paraId="6ECB700B">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≤0.002</w:t>
            </w:r>
          </w:p>
        </w:tc>
        <w:tc>
          <w:tcPr>
            <w:tcW w:w="869" w:type="dxa"/>
            <w:tcBorders>
              <w:right w:val="double" w:color="000000" w:sz="4" w:space="0"/>
            </w:tcBorders>
            <w:noWrap w:val="0"/>
            <w:vAlign w:val="center"/>
          </w:tcPr>
          <w:p w14:paraId="38C65BE0">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≤0.005</w:t>
            </w:r>
          </w:p>
        </w:tc>
        <w:tc>
          <w:tcPr>
            <w:tcW w:w="617" w:type="dxa"/>
            <w:tcBorders>
              <w:left w:val="double" w:color="000000" w:sz="4" w:space="0"/>
              <w:tl2br w:val="nil"/>
              <w:tr2bl w:val="nil"/>
            </w:tcBorders>
            <w:noWrap w:val="0"/>
            <w:vAlign w:val="center"/>
          </w:tcPr>
          <w:p w14:paraId="4790BCD9">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26</w:t>
            </w:r>
          </w:p>
        </w:tc>
        <w:tc>
          <w:tcPr>
            <w:tcW w:w="2075" w:type="dxa"/>
            <w:tcBorders>
              <w:tl2br w:val="nil"/>
              <w:tr2bl w:val="nil"/>
            </w:tcBorders>
            <w:noWrap w:val="0"/>
            <w:vAlign w:val="center"/>
          </w:tcPr>
          <w:p w14:paraId="47560FDB">
            <w:pPr>
              <w:keepNext w:val="0"/>
              <w:keepLines w:val="0"/>
              <w:pageBreakBefore w:val="0"/>
              <w:widowControl w:val="0"/>
              <w:kinsoku/>
              <w:wordWrap/>
              <w:overflowPunct/>
              <w:topLinePunct w:val="0"/>
              <w:autoSpaceDE/>
              <w:autoSpaceDN/>
              <w:bidi w:val="0"/>
              <w:adjustRightInd/>
              <w:snapToGrid/>
              <w:spacing w:line="231"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硝酸盐</w:t>
            </w:r>
          </w:p>
        </w:tc>
        <w:tc>
          <w:tcPr>
            <w:tcW w:w="907" w:type="dxa"/>
            <w:tcBorders>
              <w:tl2br w:val="nil"/>
              <w:tr2bl w:val="nil"/>
            </w:tcBorders>
            <w:noWrap w:val="0"/>
            <w:vAlign w:val="center"/>
          </w:tcPr>
          <w:p w14:paraId="7991C495">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w:t>
            </w:r>
          </w:p>
        </w:tc>
        <w:tc>
          <w:tcPr>
            <w:tcW w:w="897" w:type="dxa"/>
            <w:tcBorders>
              <w:tl2br w:val="nil"/>
              <w:tr2bl w:val="nil"/>
            </w:tcBorders>
            <w:noWrap w:val="0"/>
            <w:vAlign w:val="center"/>
          </w:tcPr>
          <w:p w14:paraId="30F06BE8">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w:t>
            </w:r>
          </w:p>
        </w:tc>
      </w:tr>
      <w:tr w14:paraId="0A6D5D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4" w:type="dxa"/>
            <w:tcBorders>
              <w:tl2br w:val="nil"/>
              <w:tr2bl w:val="nil"/>
            </w:tcBorders>
            <w:noWrap w:val="0"/>
            <w:vAlign w:val="center"/>
          </w:tcPr>
          <w:p w14:paraId="0E7A7F3D">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13</w:t>
            </w:r>
          </w:p>
        </w:tc>
        <w:tc>
          <w:tcPr>
            <w:tcW w:w="1499" w:type="dxa"/>
            <w:tcBorders>
              <w:tl2br w:val="nil"/>
              <w:tr2bl w:val="nil"/>
            </w:tcBorders>
            <w:noWrap w:val="0"/>
            <w:vAlign w:val="center"/>
          </w:tcPr>
          <w:p w14:paraId="180FA3BD">
            <w:pPr>
              <w:keepNext w:val="0"/>
              <w:keepLines w:val="0"/>
              <w:pageBreakBefore w:val="0"/>
              <w:widowControl w:val="0"/>
              <w:kinsoku/>
              <w:wordWrap/>
              <w:overflowPunct/>
              <w:topLinePunct w:val="0"/>
              <w:autoSpaceDE/>
              <w:autoSpaceDN/>
              <w:bidi w:val="0"/>
              <w:adjustRightInd/>
              <w:snapToGrid/>
              <w:spacing w:line="231"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硫化物</w:t>
            </w:r>
          </w:p>
        </w:tc>
        <w:tc>
          <w:tcPr>
            <w:tcW w:w="868" w:type="dxa"/>
            <w:tcBorders>
              <w:tl2br w:val="nil"/>
              <w:tr2bl w:val="nil"/>
            </w:tcBorders>
            <w:noWrap w:val="0"/>
            <w:vAlign w:val="center"/>
          </w:tcPr>
          <w:p w14:paraId="4D3283B1">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≤0.1</w:t>
            </w:r>
          </w:p>
        </w:tc>
        <w:tc>
          <w:tcPr>
            <w:tcW w:w="869" w:type="dxa"/>
            <w:tcBorders>
              <w:right w:val="double" w:color="000000" w:sz="4" w:space="0"/>
            </w:tcBorders>
            <w:noWrap w:val="0"/>
            <w:vAlign w:val="center"/>
          </w:tcPr>
          <w:p w14:paraId="4E10F349">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≤0.2</w:t>
            </w:r>
          </w:p>
        </w:tc>
        <w:tc>
          <w:tcPr>
            <w:tcW w:w="617" w:type="dxa"/>
            <w:tcBorders>
              <w:left w:val="double" w:color="000000" w:sz="4" w:space="0"/>
              <w:tl2br w:val="nil"/>
              <w:tr2bl w:val="nil"/>
            </w:tcBorders>
            <w:noWrap w:val="0"/>
            <w:vAlign w:val="center"/>
          </w:tcPr>
          <w:p w14:paraId="35186B1A">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27</w:t>
            </w:r>
          </w:p>
        </w:tc>
        <w:tc>
          <w:tcPr>
            <w:tcW w:w="2075" w:type="dxa"/>
            <w:tcBorders>
              <w:tl2br w:val="nil"/>
              <w:tr2bl w:val="nil"/>
            </w:tcBorders>
            <w:noWrap w:val="0"/>
            <w:vAlign w:val="center"/>
          </w:tcPr>
          <w:p w14:paraId="7E4E07C4">
            <w:pPr>
              <w:keepNext w:val="0"/>
              <w:keepLines w:val="0"/>
              <w:pageBreakBefore w:val="0"/>
              <w:widowControl w:val="0"/>
              <w:kinsoku/>
              <w:wordWrap/>
              <w:overflowPunct/>
              <w:topLinePunct w:val="0"/>
              <w:autoSpaceDE/>
              <w:autoSpaceDN/>
              <w:bidi w:val="0"/>
              <w:adjustRightInd/>
              <w:snapToGrid/>
              <w:spacing w:line="229"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阴离子表面活性剂</w:t>
            </w:r>
          </w:p>
        </w:tc>
        <w:tc>
          <w:tcPr>
            <w:tcW w:w="907" w:type="dxa"/>
            <w:tcBorders>
              <w:tl2br w:val="nil"/>
              <w:tr2bl w:val="nil"/>
            </w:tcBorders>
            <w:noWrap w:val="0"/>
            <w:vAlign w:val="center"/>
          </w:tcPr>
          <w:p w14:paraId="199E1BC2">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≤0.2</w:t>
            </w:r>
          </w:p>
        </w:tc>
        <w:tc>
          <w:tcPr>
            <w:tcW w:w="897" w:type="dxa"/>
            <w:tcBorders>
              <w:tl2br w:val="nil"/>
              <w:tr2bl w:val="nil"/>
            </w:tcBorders>
            <w:noWrap w:val="0"/>
            <w:vAlign w:val="center"/>
          </w:tcPr>
          <w:p w14:paraId="737836CC">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≤0.2</w:t>
            </w:r>
          </w:p>
        </w:tc>
      </w:tr>
      <w:tr w14:paraId="2D705D8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4" w:type="dxa"/>
            <w:tcBorders>
              <w:tl2br w:val="nil"/>
              <w:tr2bl w:val="nil"/>
            </w:tcBorders>
            <w:noWrap w:val="0"/>
            <w:vAlign w:val="center"/>
          </w:tcPr>
          <w:p w14:paraId="1AB28B51">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14</w:t>
            </w:r>
          </w:p>
        </w:tc>
        <w:tc>
          <w:tcPr>
            <w:tcW w:w="1499" w:type="dxa"/>
            <w:tcBorders>
              <w:tl2br w:val="nil"/>
              <w:tr2bl w:val="nil"/>
            </w:tcBorders>
            <w:noWrap w:val="0"/>
            <w:vAlign w:val="center"/>
          </w:tcPr>
          <w:p w14:paraId="03942098">
            <w:pPr>
              <w:keepNext w:val="0"/>
              <w:keepLines w:val="0"/>
              <w:pageBreakBefore w:val="0"/>
              <w:widowControl w:val="0"/>
              <w:kinsoku/>
              <w:wordWrap/>
              <w:overflowPunct/>
              <w:topLinePunct w:val="0"/>
              <w:autoSpaceDE/>
              <w:autoSpaceDN/>
              <w:bidi w:val="0"/>
              <w:adjustRightInd/>
              <w:snapToGrid/>
              <w:spacing w:line="231"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硫酸盐</w:t>
            </w:r>
          </w:p>
        </w:tc>
        <w:tc>
          <w:tcPr>
            <w:tcW w:w="868" w:type="dxa"/>
            <w:tcBorders>
              <w:tl2br w:val="nil"/>
              <w:tr2bl w:val="nil"/>
            </w:tcBorders>
            <w:noWrap w:val="0"/>
            <w:vAlign w:val="center"/>
          </w:tcPr>
          <w:p w14:paraId="72DF6ECB">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≤250</w:t>
            </w:r>
          </w:p>
        </w:tc>
        <w:tc>
          <w:tcPr>
            <w:tcW w:w="869" w:type="dxa"/>
            <w:tcBorders>
              <w:right w:val="double" w:color="000000" w:sz="4" w:space="0"/>
            </w:tcBorders>
            <w:noWrap w:val="0"/>
            <w:vAlign w:val="center"/>
          </w:tcPr>
          <w:p w14:paraId="6D81103F">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≤250</w:t>
            </w:r>
          </w:p>
        </w:tc>
        <w:tc>
          <w:tcPr>
            <w:tcW w:w="617" w:type="dxa"/>
            <w:tcBorders>
              <w:left w:val="double" w:color="000000" w:sz="4" w:space="0"/>
              <w:tl2br w:val="nil"/>
              <w:tr2bl w:val="nil"/>
            </w:tcBorders>
            <w:noWrap w:val="0"/>
            <w:vAlign w:val="center"/>
          </w:tcPr>
          <w:p w14:paraId="0421F4E2">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Times New Roman" w:cs="Times New Roman"/>
                <w:b/>
                <w:bCs/>
                <w:color w:val="auto"/>
                <w:spacing w:val="0"/>
                <w:w w:val="100"/>
                <w:position w:val="0"/>
                <w:sz w:val="21"/>
                <w:szCs w:val="21"/>
                <w:u w:val="none" w:color="auto"/>
              </w:rPr>
              <w:t>28</w:t>
            </w:r>
          </w:p>
        </w:tc>
        <w:tc>
          <w:tcPr>
            <w:tcW w:w="2075" w:type="dxa"/>
            <w:tcBorders>
              <w:tl2br w:val="nil"/>
              <w:tr2bl w:val="nil"/>
            </w:tcBorders>
            <w:noWrap w:val="0"/>
            <w:vAlign w:val="center"/>
          </w:tcPr>
          <w:p w14:paraId="06FF5D93">
            <w:pPr>
              <w:keepNext w:val="0"/>
              <w:keepLines w:val="0"/>
              <w:pageBreakBefore w:val="0"/>
              <w:widowControl w:val="0"/>
              <w:kinsoku/>
              <w:wordWrap/>
              <w:overflowPunct/>
              <w:topLinePunct w:val="0"/>
              <w:autoSpaceDE/>
              <w:autoSpaceDN/>
              <w:bidi w:val="0"/>
              <w:adjustRightInd/>
              <w:snapToGrid/>
              <w:spacing w:line="231"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氯化物</w:t>
            </w:r>
          </w:p>
        </w:tc>
        <w:tc>
          <w:tcPr>
            <w:tcW w:w="907" w:type="dxa"/>
            <w:tcBorders>
              <w:tl2br w:val="nil"/>
              <w:tr2bl w:val="nil"/>
            </w:tcBorders>
            <w:noWrap w:val="0"/>
            <w:vAlign w:val="center"/>
          </w:tcPr>
          <w:p w14:paraId="6BFB1EA3">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≤250</w:t>
            </w:r>
          </w:p>
        </w:tc>
        <w:tc>
          <w:tcPr>
            <w:tcW w:w="897" w:type="dxa"/>
            <w:tcBorders>
              <w:tl2br w:val="nil"/>
              <w:tr2bl w:val="nil"/>
            </w:tcBorders>
            <w:noWrap w:val="0"/>
            <w:vAlign w:val="center"/>
          </w:tcPr>
          <w:p w14:paraId="4CB30F8D">
            <w:pPr>
              <w:keepNext w:val="0"/>
              <w:keepLines w:val="0"/>
              <w:pageBreakBefore w:val="0"/>
              <w:widowControl w:val="0"/>
              <w:kinsoku/>
              <w:wordWrap/>
              <w:overflowPunct/>
              <w:topLinePunct w:val="0"/>
              <w:autoSpaceDE/>
              <w:autoSpaceDN/>
              <w:bidi w:val="0"/>
              <w:adjustRightInd/>
              <w:snapToGrid/>
              <w:spacing w:line="188"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≤250</w:t>
            </w:r>
          </w:p>
        </w:tc>
      </w:tr>
    </w:tbl>
    <w:p w14:paraId="38C1AC66">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（3）地下水环境</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质量</w:t>
      </w:r>
      <w:r>
        <w:rPr>
          <w:rFonts w:hint="default" w:ascii="Times New Roman" w:hAnsi="Times New Roman" w:eastAsia="宋体" w:cs="Times New Roman"/>
          <w:caps w:val="0"/>
          <w:smallCaps w:val="0"/>
          <w:color w:val="auto"/>
          <w:spacing w:val="0"/>
          <w:w w:val="100"/>
          <w:kern w:val="0"/>
          <w:position w:val="0"/>
          <w:sz w:val="24"/>
          <w:szCs w:val="24"/>
          <w:u w:val="none" w:color="auto"/>
        </w:rPr>
        <w:t>标准</w:t>
      </w:r>
    </w:p>
    <w:p w14:paraId="70819956">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项目地下水水质执行《地下水质量标准》（GB/T14848-2017）中的Ⅲ类标准，各水质指标详见下表1.5-</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16133DE4">
      <w:pPr>
        <w:pageBreakBefore w:val="0"/>
        <w:kinsoku w:val="0"/>
        <w:wordWrap w:val="0"/>
        <w:overflowPunct/>
        <w:topLinePunct/>
        <w:autoSpaceDE/>
        <w:autoSpaceDN/>
        <w:bidi w:val="0"/>
        <w:adjustRightInd w:val="0"/>
        <w:spacing w:line="500" w:lineRule="exact"/>
        <w:jc w:val="right"/>
        <w:rPr>
          <w:rFonts w:hint="default" w:ascii="Times New Roman" w:hAnsi="Times New Roman" w:eastAsia="宋体" w:cs="Times New Roman"/>
          <w:b/>
          <w:caps w:val="0"/>
          <w:smallCaps w:val="0"/>
          <w:color w:val="auto"/>
          <w:spacing w:val="0"/>
          <w:w w:val="100"/>
          <w:kern w:val="0"/>
          <w:position w:val="0"/>
          <w:szCs w:val="21"/>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表1.5-</w:t>
      </w: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3</w:t>
      </w:r>
      <w:r>
        <w:rPr>
          <w:rFonts w:hint="default" w:ascii="Times New Roman" w:hAnsi="Times New Roman" w:eastAsia="宋体" w:cs="Times New Roman"/>
          <w:b/>
          <w:caps w:val="0"/>
          <w:smallCaps w:val="0"/>
          <w:color w:val="auto"/>
          <w:spacing w:val="0"/>
          <w:w w:val="100"/>
          <w:kern w:val="0"/>
          <w:position w:val="0"/>
          <w:sz w:val="24"/>
          <w:szCs w:val="24"/>
          <w:u w:val="none" w:color="auto"/>
        </w:rPr>
        <w:t xml:space="preserve">  地下水环境质量标准</w:t>
      </w:r>
      <w:r>
        <w:rPr>
          <w:rFonts w:hint="default" w:ascii="Times New Roman" w:hAnsi="Times New Roman" w:eastAsia="宋体" w:cs="Times New Roman"/>
          <w:b/>
          <w:caps w:val="0"/>
          <w:smallCaps w:val="0"/>
          <w:color w:val="auto"/>
          <w:spacing w:val="0"/>
          <w:w w:val="100"/>
          <w:kern w:val="0"/>
          <w:position w:val="0"/>
          <w:szCs w:val="21"/>
          <w:u w:val="none" w:color="auto"/>
          <w:lang w:val="en-US" w:eastAsia="zh-CN"/>
        </w:rPr>
        <w:t xml:space="preserve">            </w:t>
      </w:r>
      <w:r>
        <w:rPr>
          <w:rFonts w:hint="default" w:ascii="Times New Roman" w:hAnsi="Times New Roman" w:eastAsia="宋体" w:cs="Times New Roman"/>
          <w:b/>
          <w:caps w:val="0"/>
          <w:smallCaps w:val="0"/>
          <w:color w:val="auto"/>
          <w:spacing w:val="0"/>
          <w:w w:val="100"/>
          <w:kern w:val="0"/>
          <w:position w:val="0"/>
          <w:szCs w:val="21"/>
          <w:u w:val="none" w:color="auto"/>
        </w:rPr>
        <w:t>单位：mg/L</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3416"/>
        <w:gridCol w:w="3396"/>
      </w:tblGrid>
      <w:tr w14:paraId="248171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704" w:type="dxa"/>
            <w:tcBorders>
              <w:tl2br w:val="nil"/>
              <w:tr2bl w:val="nil"/>
            </w:tcBorders>
            <w:vAlign w:val="center"/>
          </w:tcPr>
          <w:p w14:paraId="2ABD9AF7">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caps w:val="0"/>
                <w:smallCaps w:val="0"/>
                <w:color w:val="auto"/>
                <w:spacing w:val="0"/>
                <w:w w:val="100"/>
                <w:position w:val="0"/>
                <w:szCs w:val="21"/>
                <w:u w:val="none" w:color="auto"/>
              </w:rPr>
            </w:pPr>
            <w:r>
              <w:rPr>
                <w:rFonts w:hint="default" w:ascii="Times New Roman" w:hAnsi="Times New Roman" w:eastAsia="宋体" w:cs="Times New Roman"/>
                <w:b/>
                <w:bCs/>
                <w:caps w:val="0"/>
                <w:smallCaps w:val="0"/>
                <w:color w:val="auto"/>
                <w:spacing w:val="0"/>
                <w:w w:val="100"/>
                <w:position w:val="0"/>
                <w:szCs w:val="21"/>
                <w:u w:val="none" w:color="auto"/>
              </w:rPr>
              <w:t>序号</w:t>
            </w:r>
          </w:p>
        </w:tc>
        <w:tc>
          <w:tcPr>
            <w:tcW w:w="3416" w:type="dxa"/>
            <w:tcBorders>
              <w:tl2br w:val="nil"/>
              <w:tr2bl w:val="nil"/>
            </w:tcBorders>
            <w:vAlign w:val="center"/>
          </w:tcPr>
          <w:p w14:paraId="1BCA594E">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caps w:val="0"/>
                <w:smallCaps w:val="0"/>
                <w:color w:val="auto"/>
                <w:spacing w:val="0"/>
                <w:w w:val="100"/>
                <w:position w:val="0"/>
                <w:szCs w:val="21"/>
                <w:u w:val="none" w:color="auto"/>
              </w:rPr>
            </w:pPr>
            <w:r>
              <w:rPr>
                <w:rFonts w:hint="default" w:ascii="Times New Roman" w:hAnsi="Times New Roman" w:eastAsia="宋体" w:cs="Times New Roman"/>
                <w:b/>
                <w:bCs/>
                <w:caps w:val="0"/>
                <w:smallCaps w:val="0"/>
                <w:color w:val="auto"/>
                <w:spacing w:val="0"/>
                <w:w w:val="100"/>
                <w:position w:val="0"/>
                <w:szCs w:val="21"/>
                <w:u w:val="none" w:color="auto"/>
              </w:rPr>
              <w:t>项目</w:t>
            </w:r>
          </w:p>
        </w:tc>
        <w:tc>
          <w:tcPr>
            <w:tcW w:w="3396" w:type="dxa"/>
            <w:tcBorders>
              <w:tl2br w:val="nil"/>
              <w:tr2bl w:val="nil"/>
            </w:tcBorders>
            <w:vAlign w:val="center"/>
          </w:tcPr>
          <w:p w14:paraId="2BC8095D">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caps w:val="0"/>
                <w:smallCaps w:val="0"/>
                <w:color w:val="auto"/>
                <w:spacing w:val="0"/>
                <w:w w:val="100"/>
                <w:position w:val="0"/>
                <w:szCs w:val="21"/>
                <w:u w:val="none" w:color="auto"/>
              </w:rPr>
            </w:pPr>
            <w:r>
              <w:rPr>
                <w:rFonts w:hint="default" w:ascii="Times New Roman" w:hAnsi="Times New Roman" w:eastAsia="宋体" w:cs="Times New Roman"/>
                <w:b/>
                <w:bCs/>
                <w:caps w:val="0"/>
                <w:smallCaps w:val="0"/>
                <w:color w:val="auto"/>
                <w:spacing w:val="0"/>
                <w:w w:val="100"/>
                <w:position w:val="0"/>
                <w:szCs w:val="21"/>
                <w:u w:val="none" w:color="auto"/>
              </w:rPr>
              <w:t>标准值</w:t>
            </w:r>
          </w:p>
        </w:tc>
      </w:tr>
      <w:tr w14:paraId="7B403A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79E48051">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1</w:t>
            </w:r>
          </w:p>
        </w:tc>
        <w:tc>
          <w:tcPr>
            <w:tcW w:w="3416" w:type="dxa"/>
            <w:tcBorders>
              <w:tl2br w:val="nil"/>
              <w:tr2bl w:val="nil"/>
            </w:tcBorders>
            <w:vAlign w:val="center"/>
          </w:tcPr>
          <w:p w14:paraId="4D76EC78">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pH值（无量纲）</w:t>
            </w:r>
          </w:p>
        </w:tc>
        <w:tc>
          <w:tcPr>
            <w:tcW w:w="3396" w:type="dxa"/>
            <w:tcBorders>
              <w:tl2br w:val="nil"/>
              <w:tr2bl w:val="nil"/>
            </w:tcBorders>
            <w:vAlign w:val="center"/>
          </w:tcPr>
          <w:p w14:paraId="7E5C9D48">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6.5～8.5</w:t>
            </w:r>
          </w:p>
        </w:tc>
      </w:tr>
      <w:tr w14:paraId="100232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424C0208">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2</w:t>
            </w:r>
          </w:p>
        </w:tc>
        <w:tc>
          <w:tcPr>
            <w:tcW w:w="3416" w:type="dxa"/>
            <w:tcBorders>
              <w:tl2br w:val="nil"/>
              <w:tr2bl w:val="nil"/>
            </w:tcBorders>
            <w:vAlign w:val="center"/>
          </w:tcPr>
          <w:p w14:paraId="37CB3CFC">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氨氮</w:t>
            </w:r>
          </w:p>
        </w:tc>
        <w:tc>
          <w:tcPr>
            <w:tcW w:w="3396" w:type="dxa"/>
            <w:tcBorders>
              <w:tl2br w:val="nil"/>
              <w:tr2bl w:val="nil"/>
            </w:tcBorders>
            <w:vAlign w:val="center"/>
          </w:tcPr>
          <w:p w14:paraId="58EC58A3">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0.5</w:t>
            </w:r>
          </w:p>
        </w:tc>
      </w:tr>
      <w:tr w14:paraId="4FE108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67B35B03">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3</w:t>
            </w:r>
          </w:p>
        </w:tc>
        <w:tc>
          <w:tcPr>
            <w:tcW w:w="3416" w:type="dxa"/>
            <w:tcBorders>
              <w:tl2br w:val="nil"/>
              <w:tr2bl w:val="nil"/>
            </w:tcBorders>
            <w:vAlign w:val="center"/>
          </w:tcPr>
          <w:p w14:paraId="66252185">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硝酸盐</w:t>
            </w:r>
          </w:p>
        </w:tc>
        <w:tc>
          <w:tcPr>
            <w:tcW w:w="3396" w:type="dxa"/>
            <w:tcBorders>
              <w:tl2br w:val="nil"/>
              <w:tr2bl w:val="nil"/>
            </w:tcBorders>
            <w:vAlign w:val="center"/>
          </w:tcPr>
          <w:p w14:paraId="4078329F">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20</w:t>
            </w:r>
          </w:p>
        </w:tc>
      </w:tr>
      <w:tr w14:paraId="0417F0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5BA840E6">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4</w:t>
            </w:r>
          </w:p>
        </w:tc>
        <w:tc>
          <w:tcPr>
            <w:tcW w:w="3416" w:type="dxa"/>
            <w:tcBorders>
              <w:tl2br w:val="nil"/>
              <w:tr2bl w:val="nil"/>
            </w:tcBorders>
            <w:vAlign w:val="center"/>
          </w:tcPr>
          <w:p w14:paraId="7889AFCE">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亚硝酸盐</w:t>
            </w:r>
          </w:p>
        </w:tc>
        <w:tc>
          <w:tcPr>
            <w:tcW w:w="3396" w:type="dxa"/>
            <w:tcBorders>
              <w:tl2br w:val="nil"/>
              <w:tr2bl w:val="nil"/>
            </w:tcBorders>
            <w:vAlign w:val="center"/>
          </w:tcPr>
          <w:p w14:paraId="5407FB36">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1</w:t>
            </w:r>
          </w:p>
        </w:tc>
      </w:tr>
      <w:tr w14:paraId="34593A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366FB463">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5</w:t>
            </w:r>
          </w:p>
        </w:tc>
        <w:tc>
          <w:tcPr>
            <w:tcW w:w="3416" w:type="dxa"/>
            <w:tcBorders>
              <w:tl2br w:val="nil"/>
              <w:tr2bl w:val="nil"/>
            </w:tcBorders>
            <w:vAlign w:val="center"/>
          </w:tcPr>
          <w:p w14:paraId="6FDE1D12">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挥发酚</w:t>
            </w:r>
          </w:p>
        </w:tc>
        <w:tc>
          <w:tcPr>
            <w:tcW w:w="3396" w:type="dxa"/>
            <w:tcBorders>
              <w:tl2br w:val="nil"/>
              <w:tr2bl w:val="nil"/>
            </w:tcBorders>
            <w:vAlign w:val="center"/>
          </w:tcPr>
          <w:p w14:paraId="70134535">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0.002</w:t>
            </w:r>
          </w:p>
        </w:tc>
      </w:tr>
      <w:tr w14:paraId="21CC9E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23475C5B">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6</w:t>
            </w:r>
          </w:p>
        </w:tc>
        <w:tc>
          <w:tcPr>
            <w:tcW w:w="3416" w:type="dxa"/>
            <w:tcBorders>
              <w:tl2br w:val="nil"/>
              <w:tr2bl w:val="nil"/>
            </w:tcBorders>
            <w:vAlign w:val="center"/>
          </w:tcPr>
          <w:p w14:paraId="3D2809F8">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氰化物</w:t>
            </w:r>
          </w:p>
        </w:tc>
        <w:tc>
          <w:tcPr>
            <w:tcW w:w="3396" w:type="dxa"/>
            <w:tcBorders>
              <w:tl2br w:val="nil"/>
              <w:tr2bl w:val="nil"/>
            </w:tcBorders>
            <w:vAlign w:val="center"/>
          </w:tcPr>
          <w:p w14:paraId="2E7E03AD">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0.05</w:t>
            </w:r>
          </w:p>
        </w:tc>
      </w:tr>
      <w:tr w14:paraId="262D8E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36885BDE">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7</w:t>
            </w:r>
          </w:p>
        </w:tc>
        <w:tc>
          <w:tcPr>
            <w:tcW w:w="3416" w:type="dxa"/>
            <w:tcBorders>
              <w:tl2br w:val="nil"/>
              <w:tr2bl w:val="nil"/>
            </w:tcBorders>
            <w:vAlign w:val="center"/>
          </w:tcPr>
          <w:p w14:paraId="3B91FDDA">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砷</w:t>
            </w:r>
          </w:p>
        </w:tc>
        <w:tc>
          <w:tcPr>
            <w:tcW w:w="3396" w:type="dxa"/>
            <w:tcBorders>
              <w:tl2br w:val="nil"/>
              <w:tr2bl w:val="nil"/>
            </w:tcBorders>
            <w:vAlign w:val="center"/>
          </w:tcPr>
          <w:p w14:paraId="05B60F6C">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0.01</w:t>
            </w:r>
          </w:p>
        </w:tc>
      </w:tr>
      <w:tr w14:paraId="40009A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1EAA35D9">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8</w:t>
            </w:r>
          </w:p>
        </w:tc>
        <w:tc>
          <w:tcPr>
            <w:tcW w:w="3416" w:type="dxa"/>
            <w:tcBorders>
              <w:tl2br w:val="nil"/>
              <w:tr2bl w:val="nil"/>
            </w:tcBorders>
            <w:vAlign w:val="center"/>
          </w:tcPr>
          <w:p w14:paraId="520F1819">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汞</w:t>
            </w:r>
          </w:p>
        </w:tc>
        <w:tc>
          <w:tcPr>
            <w:tcW w:w="3396" w:type="dxa"/>
            <w:tcBorders>
              <w:tl2br w:val="nil"/>
              <w:tr2bl w:val="nil"/>
            </w:tcBorders>
            <w:vAlign w:val="center"/>
          </w:tcPr>
          <w:p w14:paraId="66FD8026">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0.001</w:t>
            </w:r>
          </w:p>
        </w:tc>
      </w:tr>
      <w:tr w14:paraId="2E9CEF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7EC3BC17">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9</w:t>
            </w:r>
          </w:p>
        </w:tc>
        <w:tc>
          <w:tcPr>
            <w:tcW w:w="3416" w:type="dxa"/>
            <w:tcBorders>
              <w:tl2br w:val="nil"/>
              <w:tr2bl w:val="nil"/>
            </w:tcBorders>
            <w:vAlign w:val="center"/>
          </w:tcPr>
          <w:p w14:paraId="5F57FA7C">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六价铬</w:t>
            </w:r>
          </w:p>
        </w:tc>
        <w:tc>
          <w:tcPr>
            <w:tcW w:w="3396" w:type="dxa"/>
            <w:tcBorders>
              <w:tl2br w:val="nil"/>
              <w:tr2bl w:val="nil"/>
            </w:tcBorders>
            <w:vAlign w:val="center"/>
          </w:tcPr>
          <w:p w14:paraId="3B34CC04">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0.05</w:t>
            </w:r>
          </w:p>
        </w:tc>
      </w:tr>
      <w:tr w14:paraId="49F79B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71F440C3">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10</w:t>
            </w:r>
          </w:p>
        </w:tc>
        <w:tc>
          <w:tcPr>
            <w:tcW w:w="3416" w:type="dxa"/>
            <w:tcBorders>
              <w:tl2br w:val="nil"/>
              <w:tr2bl w:val="nil"/>
            </w:tcBorders>
            <w:vAlign w:val="center"/>
          </w:tcPr>
          <w:p w14:paraId="2250EDCC">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总硬度</w:t>
            </w:r>
          </w:p>
        </w:tc>
        <w:tc>
          <w:tcPr>
            <w:tcW w:w="3396" w:type="dxa"/>
            <w:tcBorders>
              <w:tl2br w:val="nil"/>
              <w:tr2bl w:val="nil"/>
            </w:tcBorders>
            <w:vAlign w:val="center"/>
          </w:tcPr>
          <w:p w14:paraId="4CDA667A">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450</w:t>
            </w:r>
          </w:p>
        </w:tc>
      </w:tr>
      <w:tr w14:paraId="02F741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026458E1">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11</w:t>
            </w:r>
          </w:p>
        </w:tc>
        <w:tc>
          <w:tcPr>
            <w:tcW w:w="3416" w:type="dxa"/>
            <w:tcBorders>
              <w:tl2br w:val="nil"/>
              <w:tr2bl w:val="nil"/>
            </w:tcBorders>
            <w:vAlign w:val="center"/>
          </w:tcPr>
          <w:p w14:paraId="19EA5C37">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铅</w:t>
            </w:r>
          </w:p>
        </w:tc>
        <w:tc>
          <w:tcPr>
            <w:tcW w:w="3396" w:type="dxa"/>
            <w:tcBorders>
              <w:tl2br w:val="nil"/>
              <w:tr2bl w:val="nil"/>
            </w:tcBorders>
            <w:vAlign w:val="center"/>
          </w:tcPr>
          <w:p w14:paraId="46DAF214">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0.01</w:t>
            </w:r>
          </w:p>
        </w:tc>
      </w:tr>
      <w:tr w14:paraId="1B2BBE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7B5F41E9">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12</w:t>
            </w:r>
          </w:p>
        </w:tc>
        <w:tc>
          <w:tcPr>
            <w:tcW w:w="3416" w:type="dxa"/>
            <w:tcBorders>
              <w:tl2br w:val="nil"/>
              <w:tr2bl w:val="nil"/>
            </w:tcBorders>
            <w:vAlign w:val="center"/>
          </w:tcPr>
          <w:p w14:paraId="7BA89869">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氟化物</w:t>
            </w:r>
          </w:p>
        </w:tc>
        <w:tc>
          <w:tcPr>
            <w:tcW w:w="3396" w:type="dxa"/>
            <w:tcBorders>
              <w:tl2br w:val="nil"/>
              <w:tr2bl w:val="nil"/>
            </w:tcBorders>
            <w:vAlign w:val="center"/>
          </w:tcPr>
          <w:p w14:paraId="44236C04">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1.0</w:t>
            </w:r>
          </w:p>
        </w:tc>
      </w:tr>
      <w:tr w14:paraId="600AEB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2E2BFA5D">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13</w:t>
            </w:r>
          </w:p>
        </w:tc>
        <w:tc>
          <w:tcPr>
            <w:tcW w:w="3416" w:type="dxa"/>
            <w:tcBorders>
              <w:tl2br w:val="nil"/>
              <w:tr2bl w:val="nil"/>
            </w:tcBorders>
            <w:vAlign w:val="center"/>
          </w:tcPr>
          <w:p w14:paraId="68F60DD3">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镉</w:t>
            </w:r>
          </w:p>
        </w:tc>
        <w:tc>
          <w:tcPr>
            <w:tcW w:w="3396" w:type="dxa"/>
            <w:tcBorders>
              <w:tl2br w:val="nil"/>
              <w:tr2bl w:val="nil"/>
            </w:tcBorders>
            <w:vAlign w:val="center"/>
          </w:tcPr>
          <w:p w14:paraId="67124E98">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0.005</w:t>
            </w:r>
          </w:p>
        </w:tc>
      </w:tr>
      <w:tr w14:paraId="2C234D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07FEE32C">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14</w:t>
            </w:r>
          </w:p>
        </w:tc>
        <w:tc>
          <w:tcPr>
            <w:tcW w:w="3416" w:type="dxa"/>
            <w:tcBorders>
              <w:tl2br w:val="nil"/>
              <w:tr2bl w:val="nil"/>
            </w:tcBorders>
            <w:vAlign w:val="center"/>
          </w:tcPr>
          <w:p w14:paraId="0F09F1E4">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铁</w:t>
            </w:r>
          </w:p>
        </w:tc>
        <w:tc>
          <w:tcPr>
            <w:tcW w:w="3396" w:type="dxa"/>
            <w:tcBorders>
              <w:tl2br w:val="nil"/>
              <w:tr2bl w:val="nil"/>
            </w:tcBorders>
            <w:vAlign w:val="center"/>
          </w:tcPr>
          <w:p w14:paraId="5FE9375E">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0.3</w:t>
            </w:r>
          </w:p>
        </w:tc>
      </w:tr>
      <w:tr w14:paraId="72A694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7F625446">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15</w:t>
            </w:r>
          </w:p>
        </w:tc>
        <w:tc>
          <w:tcPr>
            <w:tcW w:w="3416" w:type="dxa"/>
            <w:tcBorders>
              <w:tl2br w:val="nil"/>
              <w:tr2bl w:val="nil"/>
            </w:tcBorders>
            <w:vAlign w:val="center"/>
          </w:tcPr>
          <w:p w14:paraId="6F2D8412">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锰</w:t>
            </w:r>
          </w:p>
        </w:tc>
        <w:tc>
          <w:tcPr>
            <w:tcW w:w="3396" w:type="dxa"/>
            <w:tcBorders>
              <w:tl2br w:val="nil"/>
              <w:tr2bl w:val="nil"/>
            </w:tcBorders>
            <w:vAlign w:val="center"/>
          </w:tcPr>
          <w:p w14:paraId="76541B74">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0.10</w:t>
            </w:r>
          </w:p>
        </w:tc>
      </w:tr>
      <w:tr w14:paraId="73AC5B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0A83B139">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16</w:t>
            </w:r>
          </w:p>
        </w:tc>
        <w:tc>
          <w:tcPr>
            <w:tcW w:w="3416" w:type="dxa"/>
            <w:tcBorders>
              <w:tl2br w:val="nil"/>
              <w:tr2bl w:val="nil"/>
            </w:tcBorders>
            <w:vAlign w:val="center"/>
          </w:tcPr>
          <w:p w14:paraId="796AC9F0">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溶解性总固体</w:t>
            </w:r>
          </w:p>
        </w:tc>
        <w:tc>
          <w:tcPr>
            <w:tcW w:w="3396" w:type="dxa"/>
            <w:tcBorders>
              <w:tl2br w:val="nil"/>
              <w:tr2bl w:val="nil"/>
            </w:tcBorders>
            <w:vAlign w:val="center"/>
          </w:tcPr>
          <w:p w14:paraId="708668C4">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1000</w:t>
            </w:r>
          </w:p>
        </w:tc>
      </w:tr>
      <w:tr w14:paraId="22B9E4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3FFE0AB6">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17</w:t>
            </w:r>
          </w:p>
        </w:tc>
        <w:tc>
          <w:tcPr>
            <w:tcW w:w="3416" w:type="dxa"/>
            <w:tcBorders>
              <w:tl2br w:val="nil"/>
              <w:tr2bl w:val="nil"/>
            </w:tcBorders>
            <w:vAlign w:val="center"/>
          </w:tcPr>
          <w:p w14:paraId="6092440A">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耗氧量</w:t>
            </w:r>
          </w:p>
        </w:tc>
        <w:tc>
          <w:tcPr>
            <w:tcW w:w="3396" w:type="dxa"/>
            <w:tcBorders>
              <w:tl2br w:val="nil"/>
              <w:tr2bl w:val="nil"/>
            </w:tcBorders>
            <w:vAlign w:val="center"/>
          </w:tcPr>
          <w:p w14:paraId="0103BA9C">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3.0</w:t>
            </w:r>
          </w:p>
        </w:tc>
      </w:tr>
      <w:tr w14:paraId="385191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5523000C">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18</w:t>
            </w:r>
          </w:p>
        </w:tc>
        <w:tc>
          <w:tcPr>
            <w:tcW w:w="3416" w:type="dxa"/>
            <w:tcBorders>
              <w:tl2br w:val="nil"/>
              <w:tr2bl w:val="nil"/>
            </w:tcBorders>
            <w:vAlign w:val="center"/>
          </w:tcPr>
          <w:p w14:paraId="31304712">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硫酸盐</w:t>
            </w:r>
          </w:p>
        </w:tc>
        <w:tc>
          <w:tcPr>
            <w:tcW w:w="3396" w:type="dxa"/>
            <w:tcBorders>
              <w:tl2br w:val="nil"/>
              <w:tr2bl w:val="nil"/>
            </w:tcBorders>
            <w:vAlign w:val="center"/>
          </w:tcPr>
          <w:p w14:paraId="03C78E53">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250</w:t>
            </w:r>
          </w:p>
        </w:tc>
      </w:tr>
      <w:tr w14:paraId="6D7028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35B010D2">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19</w:t>
            </w:r>
          </w:p>
        </w:tc>
        <w:tc>
          <w:tcPr>
            <w:tcW w:w="3416" w:type="dxa"/>
            <w:tcBorders>
              <w:tl2br w:val="nil"/>
              <w:tr2bl w:val="nil"/>
            </w:tcBorders>
            <w:vAlign w:val="center"/>
          </w:tcPr>
          <w:p w14:paraId="17BC36D3">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氯化物</w:t>
            </w:r>
          </w:p>
        </w:tc>
        <w:tc>
          <w:tcPr>
            <w:tcW w:w="3396" w:type="dxa"/>
            <w:tcBorders>
              <w:tl2br w:val="nil"/>
              <w:tr2bl w:val="nil"/>
            </w:tcBorders>
            <w:vAlign w:val="center"/>
          </w:tcPr>
          <w:p w14:paraId="341E8D44">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250</w:t>
            </w:r>
          </w:p>
        </w:tc>
      </w:tr>
      <w:tr w14:paraId="382DB7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5236703E">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20</w:t>
            </w:r>
          </w:p>
        </w:tc>
        <w:tc>
          <w:tcPr>
            <w:tcW w:w="3416" w:type="dxa"/>
            <w:tcBorders>
              <w:tl2br w:val="nil"/>
              <w:tr2bl w:val="nil"/>
            </w:tcBorders>
            <w:vAlign w:val="center"/>
          </w:tcPr>
          <w:p w14:paraId="5E448502">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总大肠菌群（MPN/100mL）</w:t>
            </w:r>
          </w:p>
        </w:tc>
        <w:tc>
          <w:tcPr>
            <w:tcW w:w="3396" w:type="dxa"/>
            <w:tcBorders>
              <w:tl2br w:val="nil"/>
              <w:tr2bl w:val="nil"/>
            </w:tcBorders>
            <w:vAlign w:val="center"/>
          </w:tcPr>
          <w:p w14:paraId="36802725">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3.0</w:t>
            </w:r>
          </w:p>
        </w:tc>
      </w:tr>
      <w:tr w14:paraId="67AF59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557A456A">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21</w:t>
            </w:r>
          </w:p>
        </w:tc>
        <w:tc>
          <w:tcPr>
            <w:tcW w:w="3416" w:type="dxa"/>
            <w:tcBorders>
              <w:tl2br w:val="nil"/>
              <w:tr2bl w:val="nil"/>
            </w:tcBorders>
            <w:vAlign w:val="center"/>
          </w:tcPr>
          <w:p w14:paraId="79EA6DFC">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细菌总数CFU/mL）</w:t>
            </w:r>
          </w:p>
        </w:tc>
        <w:tc>
          <w:tcPr>
            <w:tcW w:w="3396" w:type="dxa"/>
            <w:tcBorders>
              <w:tl2br w:val="nil"/>
              <w:tr2bl w:val="nil"/>
            </w:tcBorders>
            <w:vAlign w:val="center"/>
          </w:tcPr>
          <w:p w14:paraId="3B90B05C">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100</w:t>
            </w:r>
          </w:p>
        </w:tc>
      </w:tr>
      <w:tr w14:paraId="42AFC5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704" w:type="dxa"/>
            <w:tcBorders>
              <w:tl2br w:val="nil"/>
              <w:tr2bl w:val="nil"/>
            </w:tcBorders>
            <w:vAlign w:val="center"/>
          </w:tcPr>
          <w:p w14:paraId="079C75AC">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22</w:t>
            </w:r>
          </w:p>
        </w:tc>
        <w:tc>
          <w:tcPr>
            <w:tcW w:w="3416" w:type="dxa"/>
            <w:tcBorders>
              <w:tl2br w:val="nil"/>
              <w:tr2bl w:val="nil"/>
            </w:tcBorders>
            <w:vAlign w:val="center"/>
          </w:tcPr>
          <w:p w14:paraId="2A836CB8">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钠</w:t>
            </w:r>
          </w:p>
        </w:tc>
        <w:tc>
          <w:tcPr>
            <w:tcW w:w="3396" w:type="dxa"/>
            <w:tcBorders>
              <w:tl2br w:val="nil"/>
              <w:tr2bl w:val="nil"/>
            </w:tcBorders>
            <w:vAlign w:val="center"/>
          </w:tcPr>
          <w:p w14:paraId="7BBF4D73">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200</w:t>
            </w:r>
          </w:p>
        </w:tc>
      </w:tr>
    </w:tbl>
    <w:p w14:paraId="5318CE9B">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（4）声环境质量标准</w:t>
      </w:r>
    </w:p>
    <w:p w14:paraId="28C37581">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bookmarkStart w:id="70" w:name="_Hlk18592775"/>
      <w:r>
        <w:rPr>
          <w:rFonts w:hint="default" w:ascii="Times New Roman" w:hAnsi="Times New Roman" w:eastAsia="宋体" w:cs="Times New Roman"/>
          <w:caps w:val="0"/>
          <w:smallCaps w:val="0"/>
          <w:color w:val="auto"/>
          <w:spacing w:val="0"/>
          <w:w w:val="100"/>
          <w:kern w:val="0"/>
          <w:position w:val="0"/>
          <w:sz w:val="24"/>
          <w:szCs w:val="24"/>
          <w:u w:val="none" w:color="auto"/>
        </w:rPr>
        <w:t>项</w:t>
      </w:r>
      <w:bookmarkEnd w:id="70"/>
      <w:r>
        <w:rPr>
          <w:rFonts w:hint="default" w:ascii="Times New Roman" w:hAnsi="Times New Roman" w:eastAsia="宋体" w:cs="Times New Roman"/>
          <w:caps w:val="0"/>
          <w:smallCaps w:val="0"/>
          <w:color w:val="auto"/>
          <w:spacing w:val="0"/>
          <w:w w:val="100"/>
          <w:kern w:val="0"/>
          <w:position w:val="0"/>
          <w:sz w:val="24"/>
          <w:szCs w:val="24"/>
          <w:u w:val="none" w:color="auto"/>
        </w:rPr>
        <w:t>目所在区域执行《声环境质量标准》（GB3096-2008）中的1类标准限值，具体详见表1.5-</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4</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671FEA26">
      <w:pPr>
        <w:pageBreakBefore w:val="0"/>
        <w:kinsoku w:val="0"/>
        <w:wordWrap w:val="0"/>
        <w:overflowPunct/>
        <w:topLinePunct/>
        <w:autoSpaceDE/>
        <w:autoSpaceDN/>
        <w:bidi w:val="0"/>
        <w:adjustRightInd w:val="0"/>
        <w:spacing w:line="360" w:lineRule="auto"/>
        <w:jc w:val="center"/>
        <w:rPr>
          <w:rFonts w:hint="default" w:ascii="Times New Roman" w:hAnsi="Times New Roman" w:eastAsia="宋体" w:cs="Times New Roman"/>
          <w:b/>
          <w:caps w:val="0"/>
          <w:smallCaps w:val="0"/>
          <w:color w:val="auto"/>
          <w:spacing w:val="0"/>
          <w:w w:val="100"/>
          <w:kern w:val="0"/>
          <w:position w:val="0"/>
          <w:sz w:val="24"/>
          <w:szCs w:val="24"/>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表1.5-</w:t>
      </w: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4</w:t>
      </w:r>
      <w:r>
        <w:rPr>
          <w:rFonts w:hint="default" w:ascii="Times New Roman" w:hAnsi="Times New Roman" w:eastAsia="宋体" w:cs="Times New Roman"/>
          <w:b/>
          <w:caps w:val="0"/>
          <w:smallCaps w:val="0"/>
          <w:color w:val="auto"/>
          <w:spacing w:val="0"/>
          <w:w w:val="100"/>
          <w:kern w:val="0"/>
          <w:position w:val="0"/>
          <w:sz w:val="24"/>
          <w:szCs w:val="24"/>
          <w:u w:val="none" w:color="auto"/>
        </w:rPr>
        <w:t xml:space="preserve">  声环境质量标准</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98"/>
        <w:gridCol w:w="2911"/>
        <w:gridCol w:w="2907"/>
      </w:tblGrid>
      <w:tr w14:paraId="3EDC8C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74" w:type="dxa"/>
            <w:tcBorders>
              <w:tl2br w:val="nil"/>
              <w:tr2bl w:val="nil"/>
            </w:tcBorders>
            <w:vAlign w:val="center"/>
          </w:tcPr>
          <w:p w14:paraId="102FEBE7">
            <w:pPr>
              <w:pStyle w:val="67"/>
              <w:keepNext w:val="0"/>
              <w:keepLines w:val="0"/>
              <w:pageBreakBefore w:val="0"/>
              <w:widowControl w:val="0"/>
              <w:kinsoku w:val="0"/>
              <w:wordWrap w:val="0"/>
              <w:overflowPunct/>
              <w:topLinePunct/>
              <w:autoSpaceDE/>
              <w:autoSpaceDN/>
              <w:bidi w:val="0"/>
              <w:adjustRightInd w:val="0"/>
              <w:snapToGrid w:val="0"/>
              <w:spacing w:line="340" w:lineRule="exact"/>
              <w:textAlignment w:val="baseline"/>
              <w:rPr>
                <w:rFonts w:hint="default" w:ascii="Times New Roman" w:hAnsi="Times New Roman" w:cs="Times New Roman"/>
                <w:b/>
                <w:bCs w:val="0"/>
                <w:caps w:val="0"/>
                <w:smallCaps w:val="0"/>
                <w:color w:val="auto"/>
                <w:spacing w:val="0"/>
                <w:w w:val="100"/>
                <w:position w:val="0"/>
                <w:u w:val="none" w:color="auto"/>
              </w:rPr>
            </w:pPr>
            <w:r>
              <w:rPr>
                <w:rFonts w:hint="default" w:ascii="Times New Roman" w:hAnsi="Times New Roman" w:cs="Times New Roman"/>
                <w:b/>
                <w:bCs w:val="0"/>
                <w:caps w:val="0"/>
                <w:smallCaps w:val="0"/>
                <w:color w:val="auto"/>
                <w:spacing w:val="0"/>
                <w:w w:val="100"/>
                <w:position w:val="0"/>
                <w:u w:val="none" w:color="auto"/>
              </w:rPr>
              <w:t>声功能区类别</w:t>
            </w:r>
          </w:p>
        </w:tc>
        <w:tc>
          <w:tcPr>
            <w:tcW w:w="3101" w:type="dxa"/>
            <w:tcBorders>
              <w:tl2br w:val="nil"/>
              <w:tr2bl w:val="nil"/>
            </w:tcBorders>
            <w:vAlign w:val="center"/>
          </w:tcPr>
          <w:p w14:paraId="437E1C67">
            <w:pPr>
              <w:pStyle w:val="67"/>
              <w:keepNext w:val="0"/>
              <w:keepLines w:val="0"/>
              <w:pageBreakBefore w:val="0"/>
              <w:widowControl w:val="0"/>
              <w:kinsoku w:val="0"/>
              <w:wordWrap w:val="0"/>
              <w:overflowPunct/>
              <w:topLinePunct/>
              <w:autoSpaceDE/>
              <w:autoSpaceDN/>
              <w:bidi w:val="0"/>
              <w:adjustRightInd w:val="0"/>
              <w:snapToGrid w:val="0"/>
              <w:spacing w:line="340" w:lineRule="exact"/>
              <w:textAlignment w:val="baseline"/>
              <w:rPr>
                <w:rFonts w:hint="default" w:ascii="Times New Roman" w:hAnsi="Times New Roman" w:cs="Times New Roman"/>
                <w:b/>
                <w:bCs w:val="0"/>
                <w:caps w:val="0"/>
                <w:smallCaps w:val="0"/>
                <w:color w:val="auto"/>
                <w:spacing w:val="0"/>
                <w:w w:val="100"/>
                <w:position w:val="0"/>
                <w:u w:val="none" w:color="auto"/>
              </w:rPr>
            </w:pPr>
            <w:r>
              <w:rPr>
                <w:rFonts w:hint="default" w:ascii="Times New Roman" w:hAnsi="Times New Roman" w:cs="Times New Roman"/>
                <w:b/>
                <w:bCs w:val="0"/>
                <w:caps w:val="0"/>
                <w:smallCaps w:val="0"/>
                <w:color w:val="auto"/>
                <w:spacing w:val="0"/>
                <w:w w:val="100"/>
                <w:position w:val="0"/>
                <w:u w:val="none" w:color="auto"/>
              </w:rPr>
              <w:t>昼间〔dB（A）〕</w:t>
            </w:r>
          </w:p>
        </w:tc>
        <w:tc>
          <w:tcPr>
            <w:tcW w:w="3097" w:type="dxa"/>
            <w:tcBorders>
              <w:tl2br w:val="nil"/>
              <w:tr2bl w:val="nil"/>
            </w:tcBorders>
            <w:vAlign w:val="center"/>
          </w:tcPr>
          <w:p w14:paraId="18918A53">
            <w:pPr>
              <w:pStyle w:val="67"/>
              <w:keepNext w:val="0"/>
              <w:keepLines w:val="0"/>
              <w:pageBreakBefore w:val="0"/>
              <w:widowControl w:val="0"/>
              <w:kinsoku w:val="0"/>
              <w:wordWrap w:val="0"/>
              <w:overflowPunct/>
              <w:topLinePunct/>
              <w:autoSpaceDE/>
              <w:autoSpaceDN/>
              <w:bidi w:val="0"/>
              <w:adjustRightInd w:val="0"/>
              <w:snapToGrid w:val="0"/>
              <w:spacing w:line="340" w:lineRule="exact"/>
              <w:textAlignment w:val="baseline"/>
              <w:rPr>
                <w:rFonts w:hint="default" w:ascii="Times New Roman" w:hAnsi="Times New Roman" w:cs="Times New Roman"/>
                <w:b/>
                <w:bCs w:val="0"/>
                <w:caps w:val="0"/>
                <w:smallCaps w:val="0"/>
                <w:color w:val="auto"/>
                <w:spacing w:val="0"/>
                <w:w w:val="100"/>
                <w:position w:val="0"/>
                <w:u w:val="none" w:color="auto"/>
              </w:rPr>
            </w:pPr>
            <w:r>
              <w:rPr>
                <w:rFonts w:hint="default" w:ascii="Times New Roman" w:hAnsi="Times New Roman" w:cs="Times New Roman"/>
                <w:b/>
                <w:bCs w:val="0"/>
                <w:caps w:val="0"/>
                <w:smallCaps w:val="0"/>
                <w:color w:val="auto"/>
                <w:spacing w:val="0"/>
                <w:w w:val="100"/>
                <w:position w:val="0"/>
                <w:u w:val="none" w:color="auto"/>
              </w:rPr>
              <w:t>夜间〔dB（A）〕</w:t>
            </w:r>
          </w:p>
        </w:tc>
      </w:tr>
      <w:tr w14:paraId="57B012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74" w:type="dxa"/>
            <w:tcBorders>
              <w:tl2br w:val="nil"/>
              <w:tr2bl w:val="nil"/>
            </w:tcBorders>
            <w:vAlign w:val="center"/>
          </w:tcPr>
          <w:p w14:paraId="7B829353">
            <w:pPr>
              <w:pStyle w:val="67"/>
              <w:keepNext w:val="0"/>
              <w:keepLines w:val="0"/>
              <w:pageBreakBefore w:val="0"/>
              <w:widowControl w:val="0"/>
              <w:kinsoku w:val="0"/>
              <w:wordWrap w:val="0"/>
              <w:overflowPunct/>
              <w:topLinePunct/>
              <w:autoSpaceDE/>
              <w:autoSpaceDN/>
              <w:bidi w:val="0"/>
              <w:adjustRightInd w:val="0"/>
              <w:snapToGrid w:val="0"/>
              <w:spacing w:line="340" w:lineRule="exact"/>
              <w:textAlignment w:val="baseline"/>
              <w:rPr>
                <w:rFonts w:hint="default" w:ascii="Times New Roman" w:hAnsi="Times New Roman" w:cs="Times New Roman"/>
                <w:bCs/>
                <w:caps w:val="0"/>
                <w:smallCaps w:val="0"/>
                <w:color w:val="auto"/>
                <w:spacing w:val="0"/>
                <w:w w:val="100"/>
                <w:position w:val="0"/>
                <w:u w:val="none" w:color="auto"/>
              </w:rPr>
            </w:pPr>
            <w:r>
              <w:rPr>
                <w:rFonts w:hint="default" w:ascii="Times New Roman" w:hAnsi="Times New Roman" w:cs="Times New Roman"/>
                <w:bCs/>
                <w:caps w:val="0"/>
                <w:smallCaps w:val="0"/>
                <w:color w:val="auto"/>
                <w:spacing w:val="0"/>
                <w:w w:val="100"/>
                <w:position w:val="0"/>
                <w:u w:val="none" w:color="auto"/>
              </w:rPr>
              <w:t>1类</w:t>
            </w:r>
          </w:p>
        </w:tc>
        <w:tc>
          <w:tcPr>
            <w:tcW w:w="3101" w:type="dxa"/>
            <w:tcBorders>
              <w:tl2br w:val="nil"/>
              <w:tr2bl w:val="nil"/>
            </w:tcBorders>
            <w:vAlign w:val="center"/>
          </w:tcPr>
          <w:p w14:paraId="2AF2CE0F">
            <w:pPr>
              <w:pStyle w:val="67"/>
              <w:keepNext w:val="0"/>
              <w:keepLines w:val="0"/>
              <w:pageBreakBefore w:val="0"/>
              <w:widowControl w:val="0"/>
              <w:kinsoku w:val="0"/>
              <w:wordWrap w:val="0"/>
              <w:overflowPunct/>
              <w:topLinePunct/>
              <w:autoSpaceDE/>
              <w:autoSpaceDN/>
              <w:bidi w:val="0"/>
              <w:adjustRightInd w:val="0"/>
              <w:snapToGrid w:val="0"/>
              <w:spacing w:line="340" w:lineRule="exact"/>
              <w:textAlignment w:val="baseline"/>
              <w:rPr>
                <w:rFonts w:hint="default" w:ascii="Times New Roman" w:hAnsi="Times New Roman" w:cs="Times New Roman"/>
                <w:bCs/>
                <w:caps w:val="0"/>
                <w:smallCaps w:val="0"/>
                <w:color w:val="auto"/>
                <w:spacing w:val="0"/>
                <w:w w:val="100"/>
                <w:position w:val="0"/>
                <w:u w:val="none" w:color="auto"/>
              </w:rPr>
            </w:pPr>
            <w:r>
              <w:rPr>
                <w:rFonts w:hint="default" w:ascii="Times New Roman" w:hAnsi="Times New Roman" w:cs="Times New Roman"/>
                <w:bCs/>
                <w:caps w:val="0"/>
                <w:smallCaps w:val="0"/>
                <w:color w:val="auto"/>
                <w:spacing w:val="0"/>
                <w:w w:val="100"/>
                <w:position w:val="0"/>
                <w:u w:val="none" w:color="auto"/>
              </w:rPr>
              <w:t>55</w:t>
            </w:r>
          </w:p>
        </w:tc>
        <w:tc>
          <w:tcPr>
            <w:tcW w:w="3097" w:type="dxa"/>
            <w:tcBorders>
              <w:tl2br w:val="nil"/>
              <w:tr2bl w:val="nil"/>
            </w:tcBorders>
            <w:vAlign w:val="center"/>
          </w:tcPr>
          <w:p w14:paraId="51994F3A">
            <w:pPr>
              <w:pStyle w:val="67"/>
              <w:keepNext w:val="0"/>
              <w:keepLines w:val="0"/>
              <w:pageBreakBefore w:val="0"/>
              <w:widowControl w:val="0"/>
              <w:kinsoku w:val="0"/>
              <w:wordWrap w:val="0"/>
              <w:overflowPunct/>
              <w:topLinePunct/>
              <w:autoSpaceDE/>
              <w:autoSpaceDN/>
              <w:bidi w:val="0"/>
              <w:adjustRightInd w:val="0"/>
              <w:snapToGrid w:val="0"/>
              <w:spacing w:line="340" w:lineRule="exact"/>
              <w:textAlignment w:val="baseline"/>
              <w:rPr>
                <w:rFonts w:hint="default" w:ascii="Times New Roman" w:hAnsi="Times New Roman" w:cs="Times New Roman"/>
                <w:bCs/>
                <w:caps w:val="0"/>
                <w:smallCaps w:val="0"/>
                <w:color w:val="auto"/>
                <w:spacing w:val="0"/>
                <w:w w:val="100"/>
                <w:position w:val="0"/>
                <w:u w:val="none" w:color="auto"/>
              </w:rPr>
            </w:pPr>
            <w:r>
              <w:rPr>
                <w:rFonts w:hint="default" w:ascii="Times New Roman" w:hAnsi="Times New Roman" w:cs="Times New Roman"/>
                <w:bCs/>
                <w:caps w:val="0"/>
                <w:smallCaps w:val="0"/>
                <w:color w:val="auto"/>
                <w:spacing w:val="0"/>
                <w:w w:val="100"/>
                <w:position w:val="0"/>
                <w:u w:val="none" w:color="auto"/>
              </w:rPr>
              <w:t>45</w:t>
            </w:r>
          </w:p>
        </w:tc>
      </w:tr>
    </w:tbl>
    <w:p w14:paraId="1C69A048">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（5）土壤环境质量</w:t>
      </w:r>
    </w:p>
    <w:p w14:paraId="1BDE9ED1">
      <w:pPr>
        <w:keepNext w:val="0"/>
        <w:keepLines w:val="0"/>
        <w:pageBreakBefore w:val="0"/>
        <w:widowControl w:val="0"/>
        <w:kinsoku/>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项目区域建设用地执行《土壤环境质量 建设用地土壤污染风险管控标准（试行）》（GB36600-2018）中第二类用地的筛选值，农用地执行《土壤环境质量 农用地土壤污染风险管控标准（试行）》（GB15618-2018）污染风险筛选值</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eastAsia="zh-CN"/>
        </w:rPr>
        <w:t>。具体</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标准限值详见表1.5-</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5和表1.5-6</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w:t>
      </w:r>
    </w:p>
    <w:p w14:paraId="50ECFBE5">
      <w:pPr>
        <w:pageBreakBefore w:val="0"/>
        <w:kinsoku w:val="0"/>
        <w:wordWrap w:val="0"/>
        <w:overflowPunct/>
        <w:topLinePunct/>
        <w:autoSpaceDE/>
        <w:autoSpaceDN/>
        <w:bidi w:val="0"/>
        <w:adjustRightInd w:val="0"/>
        <w:spacing w:line="360" w:lineRule="auto"/>
        <w:jc w:val="right"/>
        <w:rPr>
          <w:rFonts w:hint="default" w:ascii="Times New Roman" w:hAnsi="Times New Roman" w:eastAsia="宋体" w:cs="Times New Roman"/>
          <w:b/>
          <w:caps w:val="0"/>
          <w:smallCaps w:val="0"/>
          <w:color w:val="auto"/>
          <w:spacing w:val="0"/>
          <w:w w:val="100"/>
          <w:kern w:val="0"/>
          <w:position w:val="0"/>
          <w:sz w:val="24"/>
          <w:szCs w:val="24"/>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表1.5-</w:t>
      </w: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 xml:space="preserve">5  </w:t>
      </w:r>
      <w:r>
        <w:rPr>
          <w:rFonts w:hint="default" w:ascii="Times New Roman" w:hAnsi="Times New Roman" w:eastAsia="宋体" w:cs="Times New Roman"/>
          <w:b/>
          <w:caps w:val="0"/>
          <w:smallCaps w:val="0"/>
          <w:color w:val="auto"/>
          <w:spacing w:val="0"/>
          <w:w w:val="100"/>
          <w:kern w:val="0"/>
          <w:position w:val="0"/>
          <w:sz w:val="24"/>
          <w:szCs w:val="24"/>
          <w:u w:val="none" w:color="auto"/>
        </w:rPr>
        <w:t>建设用地土壤污染风险筛选值</w:t>
      </w: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b/>
          <w:caps w:val="0"/>
          <w:smallCaps w:val="0"/>
          <w:color w:val="auto"/>
          <w:spacing w:val="0"/>
          <w:w w:val="100"/>
          <w:kern w:val="0"/>
          <w:position w:val="0"/>
          <w:sz w:val="24"/>
          <w:szCs w:val="24"/>
          <w:u w:val="none" w:color="auto"/>
        </w:rPr>
        <w:t>单位：mg/kg</w:t>
      </w:r>
    </w:p>
    <w:tbl>
      <w:tblPr>
        <w:tblStyle w:val="39"/>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40"/>
        <w:gridCol w:w="3091"/>
        <w:gridCol w:w="3083"/>
      </w:tblGrid>
      <w:tr w14:paraId="5DF0E1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374" w:type="pct"/>
            <w:tcBorders>
              <w:tl2br w:val="nil"/>
              <w:tr2bl w:val="nil"/>
            </w:tcBorders>
            <w:vAlign w:val="center"/>
          </w:tcPr>
          <w:p w14:paraId="449ADFBF">
            <w:pPr>
              <w:pStyle w:val="113"/>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序号</w:t>
            </w:r>
          </w:p>
        </w:tc>
        <w:tc>
          <w:tcPr>
            <w:tcW w:w="1815" w:type="pct"/>
            <w:tcBorders>
              <w:tl2br w:val="nil"/>
              <w:tr2bl w:val="nil"/>
            </w:tcBorders>
            <w:vAlign w:val="center"/>
          </w:tcPr>
          <w:p w14:paraId="52CD7567">
            <w:pPr>
              <w:pStyle w:val="113"/>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项目</w:t>
            </w:r>
          </w:p>
        </w:tc>
        <w:tc>
          <w:tcPr>
            <w:tcW w:w="1810" w:type="pct"/>
            <w:tcBorders>
              <w:tl2br w:val="nil"/>
              <w:tr2bl w:val="nil"/>
            </w:tcBorders>
            <w:vAlign w:val="center"/>
          </w:tcPr>
          <w:p w14:paraId="1FFF3C78">
            <w:pPr>
              <w:pStyle w:val="113"/>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标准值</w:t>
            </w:r>
          </w:p>
        </w:tc>
      </w:tr>
      <w:tr w14:paraId="550695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1CA411CF">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p>
        </w:tc>
        <w:tc>
          <w:tcPr>
            <w:tcW w:w="1815" w:type="pct"/>
            <w:tcBorders>
              <w:tl2br w:val="nil"/>
              <w:tr2bl w:val="nil"/>
            </w:tcBorders>
            <w:vAlign w:val="center"/>
          </w:tcPr>
          <w:p w14:paraId="08D507DB">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砷</w:t>
            </w:r>
          </w:p>
        </w:tc>
        <w:tc>
          <w:tcPr>
            <w:tcW w:w="1810" w:type="pct"/>
            <w:tcBorders>
              <w:tl2br w:val="nil"/>
              <w:tr2bl w:val="nil"/>
            </w:tcBorders>
            <w:vAlign w:val="center"/>
          </w:tcPr>
          <w:p w14:paraId="3449AE63">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60</w:t>
            </w:r>
            <w:r>
              <w:rPr>
                <w:rFonts w:hint="default" w:ascii="Times New Roman" w:hAnsi="Times New Roman" w:cs="Times New Roman"/>
                <w:color w:val="auto"/>
                <w:u w:val="none" w:color="auto"/>
                <w:vertAlign w:val="superscript"/>
              </w:rPr>
              <w:t>①</w:t>
            </w:r>
          </w:p>
        </w:tc>
      </w:tr>
      <w:tr w14:paraId="46A6C2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73BEA372">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p>
        </w:tc>
        <w:tc>
          <w:tcPr>
            <w:tcW w:w="1815" w:type="pct"/>
            <w:tcBorders>
              <w:tl2br w:val="nil"/>
              <w:tr2bl w:val="nil"/>
            </w:tcBorders>
            <w:vAlign w:val="center"/>
          </w:tcPr>
          <w:p w14:paraId="03DF53F5">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镉</w:t>
            </w:r>
          </w:p>
        </w:tc>
        <w:tc>
          <w:tcPr>
            <w:tcW w:w="1810" w:type="pct"/>
            <w:tcBorders>
              <w:tl2br w:val="nil"/>
              <w:tr2bl w:val="nil"/>
            </w:tcBorders>
            <w:vAlign w:val="center"/>
          </w:tcPr>
          <w:p w14:paraId="29B064B4">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65</w:t>
            </w:r>
          </w:p>
        </w:tc>
      </w:tr>
      <w:tr w14:paraId="639BE7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512366D1">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p>
        </w:tc>
        <w:tc>
          <w:tcPr>
            <w:tcW w:w="1815" w:type="pct"/>
            <w:tcBorders>
              <w:tl2br w:val="nil"/>
              <w:tr2bl w:val="nil"/>
            </w:tcBorders>
            <w:vAlign w:val="center"/>
          </w:tcPr>
          <w:p w14:paraId="4D393063">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铬（六价）</w:t>
            </w:r>
          </w:p>
        </w:tc>
        <w:tc>
          <w:tcPr>
            <w:tcW w:w="1810" w:type="pct"/>
            <w:tcBorders>
              <w:tl2br w:val="nil"/>
              <w:tr2bl w:val="nil"/>
            </w:tcBorders>
            <w:vAlign w:val="center"/>
          </w:tcPr>
          <w:p w14:paraId="06BA3A3F">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5.7</w:t>
            </w:r>
          </w:p>
        </w:tc>
      </w:tr>
      <w:tr w14:paraId="7BAD7D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491E44C6">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4</w:t>
            </w:r>
          </w:p>
        </w:tc>
        <w:tc>
          <w:tcPr>
            <w:tcW w:w="1815" w:type="pct"/>
            <w:tcBorders>
              <w:tl2br w:val="nil"/>
              <w:tr2bl w:val="nil"/>
            </w:tcBorders>
            <w:vAlign w:val="center"/>
          </w:tcPr>
          <w:p w14:paraId="1D59B560">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铜</w:t>
            </w:r>
          </w:p>
        </w:tc>
        <w:tc>
          <w:tcPr>
            <w:tcW w:w="1810" w:type="pct"/>
            <w:tcBorders>
              <w:tl2br w:val="nil"/>
              <w:tr2bl w:val="nil"/>
            </w:tcBorders>
            <w:vAlign w:val="center"/>
          </w:tcPr>
          <w:p w14:paraId="2BAB8E9A">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18000</w:t>
            </w:r>
          </w:p>
        </w:tc>
      </w:tr>
      <w:tr w14:paraId="5D69A7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6E4FF5BE">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5</w:t>
            </w:r>
          </w:p>
        </w:tc>
        <w:tc>
          <w:tcPr>
            <w:tcW w:w="1815" w:type="pct"/>
            <w:tcBorders>
              <w:tl2br w:val="nil"/>
              <w:tr2bl w:val="nil"/>
            </w:tcBorders>
            <w:vAlign w:val="center"/>
          </w:tcPr>
          <w:p w14:paraId="6199388A">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铅</w:t>
            </w:r>
          </w:p>
        </w:tc>
        <w:tc>
          <w:tcPr>
            <w:tcW w:w="1810" w:type="pct"/>
            <w:tcBorders>
              <w:tl2br w:val="nil"/>
              <w:tr2bl w:val="nil"/>
            </w:tcBorders>
            <w:vAlign w:val="center"/>
          </w:tcPr>
          <w:p w14:paraId="7E009363">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800</w:t>
            </w:r>
          </w:p>
        </w:tc>
      </w:tr>
      <w:tr w14:paraId="42403C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4E026DD0">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6</w:t>
            </w:r>
          </w:p>
        </w:tc>
        <w:tc>
          <w:tcPr>
            <w:tcW w:w="1815" w:type="pct"/>
            <w:tcBorders>
              <w:tl2br w:val="nil"/>
              <w:tr2bl w:val="nil"/>
            </w:tcBorders>
            <w:vAlign w:val="center"/>
          </w:tcPr>
          <w:p w14:paraId="5E2F6160">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汞</w:t>
            </w:r>
          </w:p>
        </w:tc>
        <w:tc>
          <w:tcPr>
            <w:tcW w:w="1810" w:type="pct"/>
            <w:tcBorders>
              <w:tl2br w:val="nil"/>
              <w:tr2bl w:val="nil"/>
            </w:tcBorders>
            <w:vAlign w:val="center"/>
          </w:tcPr>
          <w:p w14:paraId="0F82B13C">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38</w:t>
            </w:r>
          </w:p>
        </w:tc>
      </w:tr>
      <w:tr w14:paraId="524650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0DC3CCBC">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7</w:t>
            </w:r>
          </w:p>
        </w:tc>
        <w:tc>
          <w:tcPr>
            <w:tcW w:w="1815" w:type="pct"/>
            <w:tcBorders>
              <w:tl2br w:val="nil"/>
              <w:tr2bl w:val="nil"/>
            </w:tcBorders>
            <w:vAlign w:val="center"/>
          </w:tcPr>
          <w:p w14:paraId="18B86673">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镍</w:t>
            </w:r>
          </w:p>
        </w:tc>
        <w:tc>
          <w:tcPr>
            <w:tcW w:w="1810" w:type="pct"/>
            <w:tcBorders>
              <w:tl2br w:val="nil"/>
              <w:tr2bl w:val="nil"/>
            </w:tcBorders>
            <w:vAlign w:val="center"/>
          </w:tcPr>
          <w:p w14:paraId="44C06261">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900</w:t>
            </w:r>
          </w:p>
        </w:tc>
      </w:tr>
      <w:tr w14:paraId="61F445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07B74956">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8</w:t>
            </w:r>
          </w:p>
        </w:tc>
        <w:tc>
          <w:tcPr>
            <w:tcW w:w="1815" w:type="pct"/>
            <w:tcBorders>
              <w:tl2br w:val="nil"/>
              <w:tr2bl w:val="nil"/>
            </w:tcBorders>
            <w:vAlign w:val="center"/>
          </w:tcPr>
          <w:p w14:paraId="298F5CC8">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四氯化碳</w:t>
            </w:r>
          </w:p>
        </w:tc>
        <w:tc>
          <w:tcPr>
            <w:tcW w:w="1810" w:type="pct"/>
            <w:tcBorders>
              <w:tl2br w:val="nil"/>
              <w:tr2bl w:val="nil"/>
            </w:tcBorders>
            <w:vAlign w:val="center"/>
          </w:tcPr>
          <w:p w14:paraId="2E9EE3D5">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2.8</w:t>
            </w:r>
          </w:p>
        </w:tc>
      </w:tr>
      <w:tr w14:paraId="71340F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4611D2D5">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9</w:t>
            </w:r>
          </w:p>
        </w:tc>
        <w:tc>
          <w:tcPr>
            <w:tcW w:w="1815" w:type="pct"/>
            <w:tcBorders>
              <w:tl2br w:val="nil"/>
              <w:tr2bl w:val="nil"/>
            </w:tcBorders>
            <w:vAlign w:val="center"/>
          </w:tcPr>
          <w:p w14:paraId="46930855">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氯仿</w:t>
            </w:r>
          </w:p>
        </w:tc>
        <w:tc>
          <w:tcPr>
            <w:tcW w:w="1810" w:type="pct"/>
            <w:tcBorders>
              <w:tl2br w:val="nil"/>
              <w:tr2bl w:val="nil"/>
            </w:tcBorders>
            <w:vAlign w:val="center"/>
          </w:tcPr>
          <w:p w14:paraId="7B6344B8">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0.9</w:t>
            </w:r>
          </w:p>
        </w:tc>
      </w:tr>
      <w:tr w14:paraId="13CF1C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08E8DB3B">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10</w:t>
            </w:r>
          </w:p>
        </w:tc>
        <w:tc>
          <w:tcPr>
            <w:tcW w:w="1815" w:type="pct"/>
            <w:tcBorders>
              <w:tl2br w:val="nil"/>
              <w:tr2bl w:val="nil"/>
            </w:tcBorders>
            <w:vAlign w:val="center"/>
          </w:tcPr>
          <w:p w14:paraId="5FA063F4">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氯甲烷</w:t>
            </w:r>
          </w:p>
        </w:tc>
        <w:tc>
          <w:tcPr>
            <w:tcW w:w="1810" w:type="pct"/>
            <w:tcBorders>
              <w:tl2br w:val="nil"/>
              <w:tr2bl w:val="nil"/>
            </w:tcBorders>
            <w:vAlign w:val="center"/>
          </w:tcPr>
          <w:p w14:paraId="0774626D">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37</w:t>
            </w:r>
          </w:p>
        </w:tc>
      </w:tr>
      <w:tr w14:paraId="54CB9A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0E095CC2">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11</w:t>
            </w:r>
          </w:p>
        </w:tc>
        <w:tc>
          <w:tcPr>
            <w:tcW w:w="1815" w:type="pct"/>
            <w:tcBorders>
              <w:tl2br w:val="nil"/>
              <w:tr2bl w:val="nil"/>
            </w:tcBorders>
            <w:vAlign w:val="center"/>
          </w:tcPr>
          <w:p w14:paraId="385A1F1F">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1，1-二氯乙烷</w:t>
            </w:r>
          </w:p>
        </w:tc>
        <w:tc>
          <w:tcPr>
            <w:tcW w:w="1810" w:type="pct"/>
            <w:tcBorders>
              <w:tl2br w:val="nil"/>
              <w:tr2bl w:val="nil"/>
            </w:tcBorders>
          </w:tcPr>
          <w:p w14:paraId="3D7B7965">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9</w:t>
            </w:r>
          </w:p>
        </w:tc>
      </w:tr>
      <w:tr w14:paraId="545022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78DEC910">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12</w:t>
            </w:r>
          </w:p>
        </w:tc>
        <w:tc>
          <w:tcPr>
            <w:tcW w:w="1815" w:type="pct"/>
            <w:tcBorders>
              <w:tl2br w:val="nil"/>
              <w:tr2bl w:val="nil"/>
            </w:tcBorders>
            <w:vAlign w:val="center"/>
          </w:tcPr>
          <w:p w14:paraId="4A443447">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1，2-二氯乙烷</w:t>
            </w:r>
          </w:p>
        </w:tc>
        <w:tc>
          <w:tcPr>
            <w:tcW w:w="1810" w:type="pct"/>
            <w:tcBorders>
              <w:tl2br w:val="nil"/>
              <w:tr2bl w:val="nil"/>
            </w:tcBorders>
          </w:tcPr>
          <w:p w14:paraId="4F6A39EB">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5</w:t>
            </w:r>
          </w:p>
        </w:tc>
      </w:tr>
      <w:tr w14:paraId="3A3EC8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70E5CC29">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13</w:t>
            </w:r>
          </w:p>
        </w:tc>
        <w:tc>
          <w:tcPr>
            <w:tcW w:w="1815" w:type="pct"/>
            <w:tcBorders>
              <w:tl2br w:val="nil"/>
              <w:tr2bl w:val="nil"/>
            </w:tcBorders>
            <w:vAlign w:val="center"/>
          </w:tcPr>
          <w:p w14:paraId="6D389E10">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1，1-二氯乙烯</w:t>
            </w:r>
          </w:p>
        </w:tc>
        <w:tc>
          <w:tcPr>
            <w:tcW w:w="1810" w:type="pct"/>
            <w:tcBorders>
              <w:tl2br w:val="nil"/>
              <w:tr2bl w:val="nil"/>
            </w:tcBorders>
          </w:tcPr>
          <w:p w14:paraId="24A3E254">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66</w:t>
            </w:r>
          </w:p>
        </w:tc>
      </w:tr>
      <w:tr w14:paraId="69412C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7404DAF6">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14</w:t>
            </w:r>
          </w:p>
        </w:tc>
        <w:tc>
          <w:tcPr>
            <w:tcW w:w="1815" w:type="pct"/>
            <w:tcBorders>
              <w:tl2br w:val="nil"/>
              <w:tr2bl w:val="nil"/>
            </w:tcBorders>
            <w:vAlign w:val="center"/>
          </w:tcPr>
          <w:p w14:paraId="418DB6BD">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顺1，2-二氯乙烯</w:t>
            </w:r>
          </w:p>
        </w:tc>
        <w:tc>
          <w:tcPr>
            <w:tcW w:w="1810" w:type="pct"/>
            <w:tcBorders>
              <w:tl2br w:val="nil"/>
              <w:tr2bl w:val="nil"/>
            </w:tcBorders>
          </w:tcPr>
          <w:p w14:paraId="4B1C1F23">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596</w:t>
            </w:r>
          </w:p>
        </w:tc>
      </w:tr>
      <w:tr w14:paraId="670656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3C461B7D">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15</w:t>
            </w:r>
          </w:p>
        </w:tc>
        <w:tc>
          <w:tcPr>
            <w:tcW w:w="1815" w:type="pct"/>
            <w:tcBorders>
              <w:tl2br w:val="nil"/>
              <w:tr2bl w:val="nil"/>
            </w:tcBorders>
            <w:vAlign w:val="center"/>
          </w:tcPr>
          <w:p w14:paraId="0CE3A8CC">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反1，2-二氯乙烯</w:t>
            </w:r>
          </w:p>
        </w:tc>
        <w:tc>
          <w:tcPr>
            <w:tcW w:w="1810" w:type="pct"/>
            <w:tcBorders>
              <w:tl2br w:val="nil"/>
              <w:tr2bl w:val="nil"/>
            </w:tcBorders>
          </w:tcPr>
          <w:p w14:paraId="2E9239B4">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54</w:t>
            </w:r>
          </w:p>
        </w:tc>
      </w:tr>
      <w:tr w14:paraId="23BD8B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75454E43">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16</w:t>
            </w:r>
          </w:p>
        </w:tc>
        <w:tc>
          <w:tcPr>
            <w:tcW w:w="1815" w:type="pct"/>
            <w:tcBorders>
              <w:tl2br w:val="nil"/>
              <w:tr2bl w:val="nil"/>
            </w:tcBorders>
            <w:vAlign w:val="center"/>
          </w:tcPr>
          <w:p w14:paraId="23CBD808">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二氯甲烷</w:t>
            </w:r>
          </w:p>
        </w:tc>
        <w:tc>
          <w:tcPr>
            <w:tcW w:w="1810" w:type="pct"/>
            <w:tcBorders>
              <w:tl2br w:val="nil"/>
              <w:tr2bl w:val="nil"/>
            </w:tcBorders>
          </w:tcPr>
          <w:p w14:paraId="003452FF">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616</w:t>
            </w:r>
          </w:p>
        </w:tc>
      </w:tr>
      <w:tr w14:paraId="2D63B6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2984E6A0">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17</w:t>
            </w:r>
          </w:p>
        </w:tc>
        <w:tc>
          <w:tcPr>
            <w:tcW w:w="1815" w:type="pct"/>
            <w:tcBorders>
              <w:tl2br w:val="nil"/>
              <w:tr2bl w:val="nil"/>
            </w:tcBorders>
            <w:vAlign w:val="center"/>
          </w:tcPr>
          <w:p w14:paraId="763ED922">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1，2-二氯丙烷</w:t>
            </w:r>
          </w:p>
        </w:tc>
        <w:tc>
          <w:tcPr>
            <w:tcW w:w="1810" w:type="pct"/>
            <w:tcBorders>
              <w:tl2br w:val="nil"/>
              <w:tr2bl w:val="nil"/>
            </w:tcBorders>
          </w:tcPr>
          <w:p w14:paraId="42F52508">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5</w:t>
            </w:r>
          </w:p>
        </w:tc>
      </w:tr>
      <w:tr w14:paraId="16264C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095D73D5">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18</w:t>
            </w:r>
          </w:p>
        </w:tc>
        <w:tc>
          <w:tcPr>
            <w:tcW w:w="1815" w:type="pct"/>
            <w:tcBorders>
              <w:tl2br w:val="nil"/>
              <w:tr2bl w:val="nil"/>
            </w:tcBorders>
            <w:vAlign w:val="center"/>
          </w:tcPr>
          <w:p w14:paraId="15544F60">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1，1，1，2-四氯乙烷</w:t>
            </w:r>
          </w:p>
        </w:tc>
        <w:tc>
          <w:tcPr>
            <w:tcW w:w="1810" w:type="pct"/>
            <w:tcBorders>
              <w:tl2br w:val="nil"/>
              <w:tr2bl w:val="nil"/>
            </w:tcBorders>
          </w:tcPr>
          <w:p w14:paraId="1265B71A">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10</w:t>
            </w:r>
          </w:p>
        </w:tc>
      </w:tr>
      <w:tr w14:paraId="151A87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6D00C176">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19</w:t>
            </w:r>
          </w:p>
        </w:tc>
        <w:tc>
          <w:tcPr>
            <w:tcW w:w="1815" w:type="pct"/>
            <w:tcBorders>
              <w:tl2br w:val="nil"/>
              <w:tr2bl w:val="nil"/>
            </w:tcBorders>
            <w:vAlign w:val="center"/>
          </w:tcPr>
          <w:p w14:paraId="499844D1">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1，1，2，2-四氯乙烷</w:t>
            </w:r>
          </w:p>
        </w:tc>
        <w:tc>
          <w:tcPr>
            <w:tcW w:w="1810" w:type="pct"/>
            <w:tcBorders>
              <w:tl2br w:val="nil"/>
              <w:tr2bl w:val="nil"/>
            </w:tcBorders>
          </w:tcPr>
          <w:p w14:paraId="525BD704">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6.8</w:t>
            </w:r>
          </w:p>
        </w:tc>
      </w:tr>
      <w:tr w14:paraId="5EDA85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7CE0D611">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20</w:t>
            </w:r>
          </w:p>
        </w:tc>
        <w:tc>
          <w:tcPr>
            <w:tcW w:w="1815" w:type="pct"/>
            <w:tcBorders>
              <w:tl2br w:val="nil"/>
              <w:tr2bl w:val="nil"/>
            </w:tcBorders>
            <w:vAlign w:val="center"/>
          </w:tcPr>
          <w:p w14:paraId="302450D1">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四氯乙烯</w:t>
            </w:r>
          </w:p>
        </w:tc>
        <w:tc>
          <w:tcPr>
            <w:tcW w:w="1810" w:type="pct"/>
            <w:tcBorders>
              <w:tl2br w:val="nil"/>
              <w:tr2bl w:val="nil"/>
            </w:tcBorders>
          </w:tcPr>
          <w:p w14:paraId="7160E9EB">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53</w:t>
            </w:r>
          </w:p>
        </w:tc>
      </w:tr>
      <w:tr w14:paraId="7DE44C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1E638567">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21</w:t>
            </w:r>
          </w:p>
        </w:tc>
        <w:tc>
          <w:tcPr>
            <w:tcW w:w="1815" w:type="pct"/>
            <w:tcBorders>
              <w:tl2br w:val="nil"/>
              <w:tr2bl w:val="nil"/>
            </w:tcBorders>
            <w:vAlign w:val="center"/>
          </w:tcPr>
          <w:p w14:paraId="61559553">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1，1，1-三氯乙烷</w:t>
            </w:r>
          </w:p>
        </w:tc>
        <w:tc>
          <w:tcPr>
            <w:tcW w:w="1810" w:type="pct"/>
            <w:tcBorders>
              <w:tl2br w:val="nil"/>
              <w:tr2bl w:val="nil"/>
            </w:tcBorders>
          </w:tcPr>
          <w:p w14:paraId="43197E54">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840</w:t>
            </w:r>
          </w:p>
        </w:tc>
      </w:tr>
      <w:tr w14:paraId="7E4EB9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674A1DE4">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22</w:t>
            </w:r>
          </w:p>
        </w:tc>
        <w:tc>
          <w:tcPr>
            <w:tcW w:w="1815" w:type="pct"/>
            <w:tcBorders>
              <w:tl2br w:val="nil"/>
              <w:tr2bl w:val="nil"/>
            </w:tcBorders>
            <w:vAlign w:val="center"/>
          </w:tcPr>
          <w:p w14:paraId="78B6D360">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1，1，2-三氯乙烷</w:t>
            </w:r>
          </w:p>
        </w:tc>
        <w:tc>
          <w:tcPr>
            <w:tcW w:w="1810" w:type="pct"/>
            <w:tcBorders>
              <w:tl2br w:val="nil"/>
              <w:tr2bl w:val="nil"/>
            </w:tcBorders>
          </w:tcPr>
          <w:p w14:paraId="743A7141">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2.8</w:t>
            </w:r>
          </w:p>
        </w:tc>
      </w:tr>
      <w:tr w14:paraId="727E8A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51B85F78">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23</w:t>
            </w:r>
          </w:p>
        </w:tc>
        <w:tc>
          <w:tcPr>
            <w:tcW w:w="1815" w:type="pct"/>
            <w:tcBorders>
              <w:tl2br w:val="nil"/>
              <w:tr2bl w:val="nil"/>
            </w:tcBorders>
            <w:vAlign w:val="center"/>
          </w:tcPr>
          <w:p w14:paraId="26AD4414">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三氯乙烯</w:t>
            </w:r>
          </w:p>
        </w:tc>
        <w:tc>
          <w:tcPr>
            <w:tcW w:w="1810" w:type="pct"/>
            <w:tcBorders>
              <w:tl2br w:val="nil"/>
              <w:tr2bl w:val="nil"/>
            </w:tcBorders>
          </w:tcPr>
          <w:p w14:paraId="5D292D10">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2.8</w:t>
            </w:r>
          </w:p>
        </w:tc>
      </w:tr>
      <w:tr w14:paraId="354C16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4DDD0B7D">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24</w:t>
            </w:r>
          </w:p>
        </w:tc>
        <w:tc>
          <w:tcPr>
            <w:tcW w:w="1815" w:type="pct"/>
            <w:tcBorders>
              <w:tl2br w:val="nil"/>
              <w:tr2bl w:val="nil"/>
            </w:tcBorders>
            <w:vAlign w:val="center"/>
          </w:tcPr>
          <w:p w14:paraId="2742C38B">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1，2，3-三氯丙烷</w:t>
            </w:r>
          </w:p>
        </w:tc>
        <w:tc>
          <w:tcPr>
            <w:tcW w:w="1810" w:type="pct"/>
            <w:tcBorders>
              <w:tl2br w:val="nil"/>
              <w:tr2bl w:val="nil"/>
            </w:tcBorders>
          </w:tcPr>
          <w:p w14:paraId="29A06E2E">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0.5</w:t>
            </w:r>
          </w:p>
        </w:tc>
      </w:tr>
      <w:tr w14:paraId="45471B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3190E18C">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25</w:t>
            </w:r>
          </w:p>
        </w:tc>
        <w:tc>
          <w:tcPr>
            <w:tcW w:w="1815" w:type="pct"/>
            <w:tcBorders>
              <w:tl2br w:val="nil"/>
              <w:tr2bl w:val="nil"/>
            </w:tcBorders>
            <w:vAlign w:val="center"/>
          </w:tcPr>
          <w:p w14:paraId="7A1A3B22">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氯乙烯</w:t>
            </w:r>
          </w:p>
        </w:tc>
        <w:tc>
          <w:tcPr>
            <w:tcW w:w="1810" w:type="pct"/>
            <w:tcBorders>
              <w:tl2br w:val="nil"/>
              <w:tr2bl w:val="nil"/>
            </w:tcBorders>
          </w:tcPr>
          <w:p w14:paraId="70B08069">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0.43</w:t>
            </w:r>
          </w:p>
        </w:tc>
      </w:tr>
      <w:tr w14:paraId="49F64E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45F4DF90">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26</w:t>
            </w:r>
          </w:p>
        </w:tc>
        <w:tc>
          <w:tcPr>
            <w:tcW w:w="1815" w:type="pct"/>
            <w:tcBorders>
              <w:tl2br w:val="nil"/>
              <w:tr2bl w:val="nil"/>
            </w:tcBorders>
            <w:vAlign w:val="center"/>
          </w:tcPr>
          <w:p w14:paraId="09C80020">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苯</w:t>
            </w:r>
          </w:p>
        </w:tc>
        <w:tc>
          <w:tcPr>
            <w:tcW w:w="1810" w:type="pct"/>
            <w:tcBorders>
              <w:tl2br w:val="nil"/>
              <w:tr2bl w:val="nil"/>
            </w:tcBorders>
          </w:tcPr>
          <w:p w14:paraId="16EB114B">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4</w:t>
            </w:r>
          </w:p>
        </w:tc>
      </w:tr>
      <w:tr w14:paraId="5A3946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38EAEB5B">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27</w:t>
            </w:r>
          </w:p>
        </w:tc>
        <w:tc>
          <w:tcPr>
            <w:tcW w:w="1815" w:type="pct"/>
            <w:tcBorders>
              <w:tl2br w:val="nil"/>
              <w:tr2bl w:val="nil"/>
            </w:tcBorders>
            <w:vAlign w:val="center"/>
          </w:tcPr>
          <w:p w14:paraId="4AD2419F">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氯苯</w:t>
            </w:r>
          </w:p>
        </w:tc>
        <w:tc>
          <w:tcPr>
            <w:tcW w:w="1810" w:type="pct"/>
            <w:tcBorders>
              <w:tl2br w:val="nil"/>
              <w:tr2bl w:val="nil"/>
            </w:tcBorders>
          </w:tcPr>
          <w:p w14:paraId="101CE6C3">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270</w:t>
            </w:r>
          </w:p>
        </w:tc>
      </w:tr>
      <w:tr w14:paraId="013D58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0D720E0E">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28</w:t>
            </w:r>
          </w:p>
        </w:tc>
        <w:tc>
          <w:tcPr>
            <w:tcW w:w="1815" w:type="pct"/>
            <w:tcBorders>
              <w:tl2br w:val="nil"/>
              <w:tr2bl w:val="nil"/>
            </w:tcBorders>
            <w:vAlign w:val="center"/>
          </w:tcPr>
          <w:p w14:paraId="4D0531A5">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1，2-二氯苯</w:t>
            </w:r>
          </w:p>
        </w:tc>
        <w:tc>
          <w:tcPr>
            <w:tcW w:w="1810" w:type="pct"/>
            <w:tcBorders>
              <w:tl2br w:val="nil"/>
              <w:tr2bl w:val="nil"/>
            </w:tcBorders>
          </w:tcPr>
          <w:p w14:paraId="462EF6A7">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560</w:t>
            </w:r>
          </w:p>
        </w:tc>
      </w:tr>
      <w:tr w14:paraId="7E43EB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7E2F7F59">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29</w:t>
            </w:r>
          </w:p>
        </w:tc>
        <w:tc>
          <w:tcPr>
            <w:tcW w:w="1815" w:type="pct"/>
            <w:tcBorders>
              <w:tl2br w:val="nil"/>
              <w:tr2bl w:val="nil"/>
            </w:tcBorders>
            <w:vAlign w:val="center"/>
          </w:tcPr>
          <w:p w14:paraId="04FB463A">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1，4-二氯苯</w:t>
            </w:r>
          </w:p>
        </w:tc>
        <w:tc>
          <w:tcPr>
            <w:tcW w:w="1810" w:type="pct"/>
            <w:tcBorders>
              <w:tl2br w:val="nil"/>
              <w:tr2bl w:val="nil"/>
            </w:tcBorders>
          </w:tcPr>
          <w:p w14:paraId="0CD56BB4">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20</w:t>
            </w:r>
          </w:p>
        </w:tc>
      </w:tr>
      <w:tr w14:paraId="37B494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71C1644A">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30</w:t>
            </w:r>
          </w:p>
        </w:tc>
        <w:tc>
          <w:tcPr>
            <w:tcW w:w="1815" w:type="pct"/>
            <w:tcBorders>
              <w:tl2br w:val="nil"/>
              <w:tr2bl w:val="nil"/>
            </w:tcBorders>
            <w:vAlign w:val="center"/>
          </w:tcPr>
          <w:p w14:paraId="649254CB">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乙苯</w:t>
            </w:r>
          </w:p>
        </w:tc>
        <w:tc>
          <w:tcPr>
            <w:tcW w:w="1810" w:type="pct"/>
            <w:tcBorders>
              <w:tl2br w:val="nil"/>
              <w:tr2bl w:val="nil"/>
            </w:tcBorders>
          </w:tcPr>
          <w:p w14:paraId="288DF8C4">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28</w:t>
            </w:r>
          </w:p>
        </w:tc>
      </w:tr>
      <w:tr w14:paraId="482011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3A807CCC">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31</w:t>
            </w:r>
          </w:p>
        </w:tc>
        <w:tc>
          <w:tcPr>
            <w:tcW w:w="1815" w:type="pct"/>
            <w:tcBorders>
              <w:tl2br w:val="nil"/>
              <w:tr2bl w:val="nil"/>
            </w:tcBorders>
            <w:vAlign w:val="center"/>
          </w:tcPr>
          <w:p w14:paraId="36FF6770">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苯乙烯</w:t>
            </w:r>
          </w:p>
        </w:tc>
        <w:tc>
          <w:tcPr>
            <w:tcW w:w="1810" w:type="pct"/>
            <w:tcBorders>
              <w:tl2br w:val="nil"/>
              <w:tr2bl w:val="nil"/>
            </w:tcBorders>
          </w:tcPr>
          <w:p w14:paraId="10A9A7EF">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1290</w:t>
            </w:r>
          </w:p>
        </w:tc>
      </w:tr>
      <w:tr w14:paraId="1F08E1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42C4EC20">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32</w:t>
            </w:r>
          </w:p>
        </w:tc>
        <w:tc>
          <w:tcPr>
            <w:tcW w:w="1815" w:type="pct"/>
            <w:tcBorders>
              <w:tl2br w:val="nil"/>
              <w:tr2bl w:val="nil"/>
            </w:tcBorders>
            <w:vAlign w:val="center"/>
          </w:tcPr>
          <w:p w14:paraId="5A2F07C1">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甲苯</w:t>
            </w:r>
          </w:p>
        </w:tc>
        <w:tc>
          <w:tcPr>
            <w:tcW w:w="1810" w:type="pct"/>
            <w:tcBorders>
              <w:tl2br w:val="nil"/>
              <w:tr2bl w:val="nil"/>
            </w:tcBorders>
          </w:tcPr>
          <w:p w14:paraId="47C98E7F">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1200</w:t>
            </w:r>
          </w:p>
        </w:tc>
      </w:tr>
      <w:tr w14:paraId="736D20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415DE361">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33</w:t>
            </w:r>
          </w:p>
        </w:tc>
        <w:tc>
          <w:tcPr>
            <w:tcW w:w="1815" w:type="pct"/>
            <w:tcBorders>
              <w:tl2br w:val="nil"/>
              <w:tr2bl w:val="nil"/>
            </w:tcBorders>
            <w:vAlign w:val="center"/>
          </w:tcPr>
          <w:p w14:paraId="0823D4E6">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间二甲苯+对二甲苯</w:t>
            </w:r>
          </w:p>
        </w:tc>
        <w:tc>
          <w:tcPr>
            <w:tcW w:w="1810" w:type="pct"/>
            <w:tcBorders>
              <w:tl2br w:val="nil"/>
              <w:tr2bl w:val="nil"/>
            </w:tcBorders>
          </w:tcPr>
          <w:p w14:paraId="6C55D3D8">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570</w:t>
            </w:r>
          </w:p>
        </w:tc>
      </w:tr>
      <w:tr w14:paraId="74BBB0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6F29A8EB">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34</w:t>
            </w:r>
          </w:p>
        </w:tc>
        <w:tc>
          <w:tcPr>
            <w:tcW w:w="1815" w:type="pct"/>
            <w:tcBorders>
              <w:tl2br w:val="nil"/>
              <w:tr2bl w:val="nil"/>
            </w:tcBorders>
            <w:vAlign w:val="center"/>
          </w:tcPr>
          <w:p w14:paraId="19161AA1">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邻二甲苯</w:t>
            </w:r>
          </w:p>
        </w:tc>
        <w:tc>
          <w:tcPr>
            <w:tcW w:w="1810" w:type="pct"/>
            <w:tcBorders>
              <w:tl2br w:val="nil"/>
              <w:tr2bl w:val="nil"/>
            </w:tcBorders>
          </w:tcPr>
          <w:p w14:paraId="44845F6F">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640</w:t>
            </w:r>
          </w:p>
        </w:tc>
      </w:tr>
      <w:tr w14:paraId="7955D7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715EFC21">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35</w:t>
            </w:r>
          </w:p>
        </w:tc>
        <w:tc>
          <w:tcPr>
            <w:tcW w:w="1815" w:type="pct"/>
            <w:tcBorders>
              <w:tl2br w:val="nil"/>
              <w:tr2bl w:val="nil"/>
            </w:tcBorders>
            <w:vAlign w:val="center"/>
          </w:tcPr>
          <w:p w14:paraId="12D485FC">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硝基苯</w:t>
            </w:r>
          </w:p>
        </w:tc>
        <w:tc>
          <w:tcPr>
            <w:tcW w:w="1810" w:type="pct"/>
            <w:tcBorders>
              <w:tl2br w:val="nil"/>
              <w:tr2bl w:val="nil"/>
            </w:tcBorders>
          </w:tcPr>
          <w:p w14:paraId="1887B4E0">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76</w:t>
            </w:r>
          </w:p>
        </w:tc>
      </w:tr>
      <w:tr w14:paraId="75698F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006DBCBD">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36</w:t>
            </w:r>
          </w:p>
        </w:tc>
        <w:tc>
          <w:tcPr>
            <w:tcW w:w="1815" w:type="pct"/>
            <w:tcBorders>
              <w:tl2br w:val="nil"/>
              <w:tr2bl w:val="nil"/>
            </w:tcBorders>
            <w:vAlign w:val="center"/>
          </w:tcPr>
          <w:p w14:paraId="5F307ADA">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苯胺</w:t>
            </w:r>
          </w:p>
        </w:tc>
        <w:tc>
          <w:tcPr>
            <w:tcW w:w="1810" w:type="pct"/>
            <w:tcBorders>
              <w:tl2br w:val="nil"/>
              <w:tr2bl w:val="nil"/>
            </w:tcBorders>
          </w:tcPr>
          <w:p w14:paraId="54D976AC">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260</w:t>
            </w:r>
          </w:p>
        </w:tc>
      </w:tr>
      <w:tr w14:paraId="0FF73D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7AB44FD6">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37</w:t>
            </w:r>
          </w:p>
        </w:tc>
        <w:tc>
          <w:tcPr>
            <w:tcW w:w="1815" w:type="pct"/>
            <w:tcBorders>
              <w:tl2br w:val="nil"/>
              <w:tr2bl w:val="nil"/>
            </w:tcBorders>
            <w:vAlign w:val="center"/>
          </w:tcPr>
          <w:p w14:paraId="7653F7D3">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2-氯酚</w:t>
            </w:r>
          </w:p>
        </w:tc>
        <w:tc>
          <w:tcPr>
            <w:tcW w:w="1810" w:type="pct"/>
            <w:tcBorders>
              <w:tl2br w:val="nil"/>
              <w:tr2bl w:val="nil"/>
            </w:tcBorders>
          </w:tcPr>
          <w:p w14:paraId="668E41E0">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2256</w:t>
            </w:r>
          </w:p>
        </w:tc>
      </w:tr>
      <w:tr w14:paraId="2B9278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5E2891AE">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38</w:t>
            </w:r>
          </w:p>
        </w:tc>
        <w:tc>
          <w:tcPr>
            <w:tcW w:w="1815" w:type="pct"/>
            <w:tcBorders>
              <w:tl2br w:val="nil"/>
              <w:tr2bl w:val="nil"/>
            </w:tcBorders>
            <w:vAlign w:val="center"/>
          </w:tcPr>
          <w:p w14:paraId="080787CB">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苯并[a]蒽</w:t>
            </w:r>
          </w:p>
        </w:tc>
        <w:tc>
          <w:tcPr>
            <w:tcW w:w="1810" w:type="pct"/>
            <w:tcBorders>
              <w:tl2br w:val="nil"/>
              <w:tr2bl w:val="nil"/>
            </w:tcBorders>
          </w:tcPr>
          <w:p w14:paraId="49E3E83E">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15</w:t>
            </w:r>
          </w:p>
        </w:tc>
      </w:tr>
      <w:tr w14:paraId="448F26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51914836">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39</w:t>
            </w:r>
          </w:p>
        </w:tc>
        <w:tc>
          <w:tcPr>
            <w:tcW w:w="1815" w:type="pct"/>
            <w:tcBorders>
              <w:tl2br w:val="nil"/>
              <w:tr2bl w:val="nil"/>
            </w:tcBorders>
            <w:vAlign w:val="center"/>
          </w:tcPr>
          <w:p w14:paraId="2E332C2F">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苯并[a]芘</w:t>
            </w:r>
          </w:p>
        </w:tc>
        <w:tc>
          <w:tcPr>
            <w:tcW w:w="1810" w:type="pct"/>
            <w:tcBorders>
              <w:tl2br w:val="nil"/>
              <w:tr2bl w:val="nil"/>
            </w:tcBorders>
          </w:tcPr>
          <w:p w14:paraId="1AED07BE">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1.5</w:t>
            </w:r>
          </w:p>
        </w:tc>
      </w:tr>
      <w:tr w14:paraId="12507F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147BF33D">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40</w:t>
            </w:r>
          </w:p>
        </w:tc>
        <w:tc>
          <w:tcPr>
            <w:tcW w:w="1815" w:type="pct"/>
            <w:tcBorders>
              <w:tl2br w:val="nil"/>
              <w:tr2bl w:val="nil"/>
            </w:tcBorders>
            <w:vAlign w:val="center"/>
          </w:tcPr>
          <w:p w14:paraId="684528B8">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苯并[b]荧蒽</w:t>
            </w:r>
          </w:p>
        </w:tc>
        <w:tc>
          <w:tcPr>
            <w:tcW w:w="1810" w:type="pct"/>
            <w:tcBorders>
              <w:tl2br w:val="nil"/>
              <w:tr2bl w:val="nil"/>
            </w:tcBorders>
          </w:tcPr>
          <w:p w14:paraId="37D2D3EA">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15</w:t>
            </w:r>
          </w:p>
        </w:tc>
      </w:tr>
      <w:tr w14:paraId="063DA9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0831C80E">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41</w:t>
            </w:r>
          </w:p>
        </w:tc>
        <w:tc>
          <w:tcPr>
            <w:tcW w:w="1815" w:type="pct"/>
            <w:tcBorders>
              <w:tl2br w:val="nil"/>
              <w:tr2bl w:val="nil"/>
            </w:tcBorders>
            <w:vAlign w:val="center"/>
          </w:tcPr>
          <w:p w14:paraId="671F746C">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苯并[k]荧蒽</w:t>
            </w:r>
          </w:p>
        </w:tc>
        <w:tc>
          <w:tcPr>
            <w:tcW w:w="1810" w:type="pct"/>
            <w:tcBorders>
              <w:tl2br w:val="nil"/>
              <w:tr2bl w:val="nil"/>
            </w:tcBorders>
          </w:tcPr>
          <w:p w14:paraId="6121C575">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151</w:t>
            </w:r>
          </w:p>
        </w:tc>
      </w:tr>
      <w:tr w14:paraId="36611B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4BBA7D07">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42</w:t>
            </w:r>
          </w:p>
        </w:tc>
        <w:tc>
          <w:tcPr>
            <w:tcW w:w="1815" w:type="pct"/>
            <w:tcBorders>
              <w:tl2br w:val="nil"/>
              <w:tr2bl w:val="nil"/>
            </w:tcBorders>
            <w:vAlign w:val="center"/>
          </w:tcPr>
          <w:p w14:paraId="485E2062">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䓛</w:t>
            </w:r>
          </w:p>
        </w:tc>
        <w:tc>
          <w:tcPr>
            <w:tcW w:w="1810" w:type="pct"/>
            <w:tcBorders>
              <w:tl2br w:val="nil"/>
              <w:tr2bl w:val="nil"/>
            </w:tcBorders>
          </w:tcPr>
          <w:p w14:paraId="1887B9FF">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1293</w:t>
            </w:r>
          </w:p>
        </w:tc>
      </w:tr>
      <w:tr w14:paraId="6A9337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7F4C4544">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43</w:t>
            </w:r>
          </w:p>
        </w:tc>
        <w:tc>
          <w:tcPr>
            <w:tcW w:w="1815" w:type="pct"/>
            <w:tcBorders>
              <w:tl2br w:val="nil"/>
              <w:tr2bl w:val="nil"/>
            </w:tcBorders>
            <w:vAlign w:val="center"/>
          </w:tcPr>
          <w:p w14:paraId="7C790ED0">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二苯并[a，h]蒽</w:t>
            </w:r>
          </w:p>
        </w:tc>
        <w:tc>
          <w:tcPr>
            <w:tcW w:w="1810" w:type="pct"/>
            <w:tcBorders>
              <w:tl2br w:val="nil"/>
              <w:tr2bl w:val="nil"/>
            </w:tcBorders>
          </w:tcPr>
          <w:p w14:paraId="1EE96C3D">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1.5</w:t>
            </w:r>
          </w:p>
        </w:tc>
      </w:tr>
      <w:tr w14:paraId="392B82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6C606041">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44</w:t>
            </w:r>
          </w:p>
        </w:tc>
        <w:tc>
          <w:tcPr>
            <w:tcW w:w="1815" w:type="pct"/>
            <w:tcBorders>
              <w:tl2br w:val="nil"/>
              <w:tr2bl w:val="nil"/>
            </w:tcBorders>
            <w:vAlign w:val="center"/>
          </w:tcPr>
          <w:p w14:paraId="6F99B49D">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茚并[1，2，3-cd]芘</w:t>
            </w:r>
          </w:p>
        </w:tc>
        <w:tc>
          <w:tcPr>
            <w:tcW w:w="1810" w:type="pct"/>
            <w:tcBorders>
              <w:tl2br w:val="nil"/>
              <w:tr2bl w:val="nil"/>
            </w:tcBorders>
          </w:tcPr>
          <w:p w14:paraId="47F6D55B">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15</w:t>
            </w:r>
          </w:p>
        </w:tc>
      </w:tr>
      <w:tr w14:paraId="2CD974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4" w:type="pct"/>
            <w:tcBorders>
              <w:tl2br w:val="nil"/>
              <w:tr2bl w:val="nil"/>
            </w:tcBorders>
            <w:vAlign w:val="center"/>
          </w:tcPr>
          <w:p w14:paraId="4CE7158D">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45</w:t>
            </w:r>
          </w:p>
        </w:tc>
        <w:tc>
          <w:tcPr>
            <w:tcW w:w="1815" w:type="pct"/>
            <w:tcBorders>
              <w:tl2br w:val="nil"/>
              <w:tr2bl w:val="nil"/>
            </w:tcBorders>
            <w:vAlign w:val="center"/>
          </w:tcPr>
          <w:p w14:paraId="50D6F54F">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萘</w:t>
            </w:r>
          </w:p>
        </w:tc>
        <w:tc>
          <w:tcPr>
            <w:tcW w:w="1810" w:type="pct"/>
            <w:tcBorders>
              <w:tl2br w:val="nil"/>
              <w:tr2bl w:val="nil"/>
            </w:tcBorders>
          </w:tcPr>
          <w:p w14:paraId="0CF9486D">
            <w:pPr>
              <w:pStyle w:val="113"/>
              <w:rPr>
                <w:rFonts w:hint="default" w:ascii="Times New Roman" w:hAnsi="Times New Roman" w:cs="Times New Roman"/>
                <w:color w:val="auto"/>
                <w:u w:val="none" w:color="auto"/>
              </w:rPr>
            </w:pPr>
            <w:r>
              <w:rPr>
                <w:rFonts w:hint="default" w:ascii="Times New Roman" w:hAnsi="Times New Roman" w:cs="Times New Roman"/>
                <w:color w:val="auto"/>
                <w:u w:val="none" w:color="auto"/>
              </w:rPr>
              <w:t>70</w:t>
            </w:r>
          </w:p>
        </w:tc>
      </w:tr>
    </w:tbl>
    <w:p w14:paraId="19A3171D">
      <w:pPr>
        <w:pageBreakBefore w:val="0"/>
        <w:kinsoku w:val="0"/>
        <w:wordWrap w:val="0"/>
        <w:overflowPunct/>
        <w:topLinePunct/>
        <w:autoSpaceDE/>
        <w:autoSpaceDN/>
        <w:bidi w:val="0"/>
        <w:adjustRightInd w:val="0"/>
        <w:spacing w:line="360" w:lineRule="auto"/>
        <w:jc w:val="right"/>
        <w:rPr>
          <w:rFonts w:hint="default" w:ascii="Times New Roman" w:hAnsi="Times New Roman" w:eastAsia="宋体" w:cs="Times New Roman"/>
          <w:b/>
          <w:caps w:val="0"/>
          <w:smallCaps w:val="0"/>
          <w:color w:val="auto"/>
          <w:spacing w:val="0"/>
          <w:w w:val="100"/>
          <w:kern w:val="0"/>
          <w:position w:val="0"/>
          <w:sz w:val="24"/>
          <w:szCs w:val="24"/>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表1.5-</w:t>
      </w: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 xml:space="preserve">6  </w:t>
      </w:r>
      <w:r>
        <w:rPr>
          <w:rFonts w:hint="default" w:ascii="Times New Roman" w:hAnsi="Times New Roman" w:eastAsia="宋体" w:cs="Times New Roman"/>
          <w:b/>
          <w:caps w:val="0"/>
          <w:smallCaps w:val="0"/>
          <w:color w:val="auto"/>
          <w:spacing w:val="0"/>
          <w:w w:val="100"/>
          <w:kern w:val="0"/>
          <w:position w:val="0"/>
          <w:sz w:val="24"/>
          <w:szCs w:val="24"/>
          <w:u w:val="none" w:color="auto"/>
        </w:rPr>
        <w:t xml:space="preserve">农用地土壤污染风险筛选值  </w:t>
      </w: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b/>
          <w:caps w:val="0"/>
          <w:smallCaps w:val="0"/>
          <w:color w:val="auto"/>
          <w:spacing w:val="0"/>
          <w:w w:val="100"/>
          <w:kern w:val="0"/>
          <w:position w:val="0"/>
          <w:sz w:val="24"/>
          <w:szCs w:val="24"/>
          <w:u w:val="none" w:color="auto"/>
        </w:rPr>
        <w:t>单位：mg/kg</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70"/>
        <w:gridCol w:w="782"/>
        <w:gridCol w:w="1042"/>
        <w:gridCol w:w="1606"/>
        <w:gridCol w:w="1621"/>
        <w:gridCol w:w="1472"/>
        <w:gridCol w:w="1220"/>
      </w:tblGrid>
      <w:tr w14:paraId="43DFD0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restart"/>
            <w:tcBorders>
              <w:tl2br w:val="nil"/>
              <w:tr2bl w:val="nil"/>
            </w:tcBorders>
            <w:vAlign w:val="center"/>
          </w:tcPr>
          <w:p w14:paraId="1BA0F973">
            <w:pPr>
              <w:pStyle w:val="113"/>
              <w:widowControl w:val="0"/>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序号</w:t>
            </w:r>
          </w:p>
        </w:tc>
        <w:tc>
          <w:tcPr>
            <w:tcW w:w="1071" w:type="pct"/>
            <w:gridSpan w:val="2"/>
            <w:vMerge w:val="restart"/>
            <w:tcBorders>
              <w:tl2br w:val="nil"/>
              <w:tr2bl w:val="nil"/>
            </w:tcBorders>
            <w:vAlign w:val="center"/>
          </w:tcPr>
          <w:p w14:paraId="759A2A3D">
            <w:pPr>
              <w:pStyle w:val="113"/>
              <w:widowControl w:val="0"/>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污染物项目</w:t>
            </w:r>
          </w:p>
        </w:tc>
        <w:tc>
          <w:tcPr>
            <w:tcW w:w="3475" w:type="pct"/>
            <w:gridSpan w:val="4"/>
            <w:tcBorders>
              <w:tl2br w:val="nil"/>
              <w:tr2bl w:val="nil"/>
            </w:tcBorders>
            <w:vAlign w:val="center"/>
          </w:tcPr>
          <w:p w14:paraId="5A804E13">
            <w:pPr>
              <w:pStyle w:val="113"/>
              <w:widowControl w:val="0"/>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风险筛选值</w:t>
            </w:r>
          </w:p>
        </w:tc>
      </w:tr>
      <w:tr w14:paraId="7C7D32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continue"/>
            <w:tcBorders>
              <w:tl2br w:val="nil"/>
              <w:tr2bl w:val="nil"/>
            </w:tcBorders>
            <w:vAlign w:val="center"/>
          </w:tcPr>
          <w:p w14:paraId="396EA0E8">
            <w:pPr>
              <w:pStyle w:val="113"/>
              <w:widowControl w:val="0"/>
              <w:rPr>
                <w:rFonts w:hint="default" w:ascii="Times New Roman" w:hAnsi="Times New Roman" w:cs="Times New Roman"/>
                <w:b/>
                <w:bCs/>
                <w:color w:val="auto"/>
                <w:u w:val="none" w:color="auto"/>
              </w:rPr>
            </w:pPr>
          </w:p>
        </w:tc>
        <w:tc>
          <w:tcPr>
            <w:tcW w:w="1071" w:type="pct"/>
            <w:gridSpan w:val="2"/>
            <w:vMerge w:val="continue"/>
            <w:tcBorders>
              <w:tl2br w:val="nil"/>
              <w:tr2bl w:val="nil"/>
            </w:tcBorders>
            <w:vAlign w:val="center"/>
          </w:tcPr>
          <w:p w14:paraId="37020EF7">
            <w:pPr>
              <w:pStyle w:val="113"/>
              <w:widowControl w:val="0"/>
              <w:rPr>
                <w:rFonts w:hint="default" w:ascii="Times New Roman" w:hAnsi="Times New Roman" w:cs="Times New Roman"/>
                <w:b/>
                <w:bCs/>
                <w:color w:val="auto"/>
                <w:u w:val="none" w:color="auto"/>
              </w:rPr>
            </w:pPr>
          </w:p>
        </w:tc>
        <w:tc>
          <w:tcPr>
            <w:tcW w:w="943" w:type="pct"/>
            <w:tcBorders>
              <w:tl2br w:val="nil"/>
              <w:tr2bl w:val="nil"/>
            </w:tcBorders>
            <w:vAlign w:val="center"/>
          </w:tcPr>
          <w:p w14:paraId="4CA12D94">
            <w:pPr>
              <w:pStyle w:val="113"/>
              <w:widowControl w:val="0"/>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pH≤5.5</w:t>
            </w:r>
          </w:p>
        </w:tc>
        <w:tc>
          <w:tcPr>
            <w:tcW w:w="952" w:type="pct"/>
            <w:tcBorders>
              <w:tl2br w:val="nil"/>
              <w:tr2bl w:val="nil"/>
            </w:tcBorders>
            <w:vAlign w:val="center"/>
          </w:tcPr>
          <w:p w14:paraId="33B6F4B8">
            <w:pPr>
              <w:pStyle w:val="113"/>
              <w:widowControl w:val="0"/>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5.5&lt;pH≤6.5</w:t>
            </w:r>
          </w:p>
        </w:tc>
        <w:tc>
          <w:tcPr>
            <w:tcW w:w="864" w:type="pct"/>
            <w:tcBorders>
              <w:tl2br w:val="nil"/>
              <w:tr2bl w:val="nil"/>
            </w:tcBorders>
            <w:vAlign w:val="center"/>
          </w:tcPr>
          <w:p w14:paraId="0B9821EB">
            <w:pPr>
              <w:pStyle w:val="113"/>
              <w:widowControl w:val="0"/>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6.5&lt;pH≤7.5</w:t>
            </w:r>
          </w:p>
        </w:tc>
        <w:tc>
          <w:tcPr>
            <w:tcW w:w="714" w:type="pct"/>
            <w:tcBorders>
              <w:tl2br w:val="nil"/>
              <w:tr2bl w:val="nil"/>
            </w:tcBorders>
            <w:vAlign w:val="center"/>
          </w:tcPr>
          <w:p w14:paraId="5A9DA29A">
            <w:pPr>
              <w:pStyle w:val="113"/>
              <w:widowControl w:val="0"/>
              <w:rPr>
                <w:rFonts w:hint="default" w:ascii="Times New Roman" w:hAnsi="Times New Roman" w:cs="Times New Roman"/>
                <w:b/>
                <w:bCs/>
                <w:color w:val="auto"/>
                <w:u w:val="none" w:color="auto"/>
              </w:rPr>
            </w:pPr>
            <w:r>
              <w:rPr>
                <w:rFonts w:hint="default" w:ascii="Times New Roman" w:hAnsi="Times New Roman" w:cs="Times New Roman"/>
                <w:b/>
                <w:bCs/>
                <w:color w:val="auto"/>
                <w:u w:val="none" w:color="auto"/>
              </w:rPr>
              <w:t>pH&gt;7.5</w:t>
            </w:r>
          </w:p>
        </w:tc>
      </w:tr>
      <w:tr w14:paraId="20EE1F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restart"/>
            <w:tcBorders>
              <w:tl2br w:val="nil"/>
              <w:tr2bl w:val="nil"/>
            </w:tcBorders>
            <w:vAlign w:val="center"/>
          </w:tcPr>
          <w:p w14:paraId="168559D4">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w:t>
            </w:r>
          </w:p>
        </w:tc>
        <w:tc>
          <w:tcPr>
            <w:tcW w:w="459" w:type="pct"/>
            <w:vMerge w:val="restart"/>
            <w:tcBorders>
              <w:tl2br w:val="nil"/>
              <w:tr2bl w:val="nil"/>
            </w:tcBorders>
            <w:vAlign w:val="center"/>
          </w:tcPr>
          <w:p w14:paraId="3CEBBDF1">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镉</w:t>
            </w:r>
          </w:p>
        </w:tc>
        <w:tc>
          <w:tcPr>
            <w:tcW w:w="612" w:type="pct"/>
            <w:tcBorders>
              <w:tl2br w:val="nil"/>
              <w:tr2bl w:val="nil"/>
            </w:tcBorders>
            <w:vAlign w:val="center"/>
          </w:tcPr>
          <w:p w14:paraId="7B56E708">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水田</w:t>
            </w:r>
          </w:p>
        </w:tc>
        <w:tc>
          <w:tcPr>
            <w:tcW w:w="943" w:type="pct"/>
            <w:tcBorders>
              <w:tl2br w:val="nil"/>
              <w:tr2bl w:val="nil"/>
            </w:tcBorders>
            <w:vAlign w:val="center"/>
          </w:tcPr>
          <w:p w14:paraId="7FF3ED13">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0.3</w:t>
            </w:r>
          </w:p>
        </w:tc>
        <w:tc>
          <w:tcPr>
            <w:tcW w:w="952" w:type="pct"/>
            <w:tcBorders>
              <w:tl2br w:val="nil"/>
              <w:tr2bl w:val="nil"/>
            </w:tcBorders>
            <w:vAlign w:val="center"/>
          </w:tcPr>
          <w:p w14:paraId="2EADE53F">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0.4</w:t>
            </w:r>
          </w:p>
        </w:tc>
        <w:tc>
          <w:tcPr>
            <w:tcW w:w="864" w:type="pct"/>
            <w:tcBorders>
              <w:tl2br w:val="nil"/>
              <w:tr2bl w:val="nil"/>
            </w:tcBorders>
            <w:vAlign w:val="center"/>
          </w:tcPr>
          <w:p w14:paraId="487C139E">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0.6</w:t>
            </w:r>
          </w:p>
        </w:tc>
        <w:tc>
          <w:tcPr>
            <w:tcW w:w="714" w:type="pct"/>
            <w:tcBorders>
              <w:tl2br w:val="nil"/>
              <w:tr2bl w:val="nil"/>
            </w:tcBorders>
            <w:vAlign w:val="center"/>
          </w:tcPr>
          <w:p w14:paraId="1CA57324">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0.8</w:t>
            </w:r>
          </w:p>
        </w:tc>
      </w:tr>
      <w:tr w14:paraId="6B4BFB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continue"/>
            <w:tcBorders>
              <w:tl2br w:val="nil"/>
              <w:tr2bl w:val="nil"/>
            </w:tcBorders>
            <w:vAlign w:val="center"/>
          </w:tcPr>
          <w:p w14:paraId="05EC0EC7">
            <w:pPr>
              <w:pStyle w:val="113"/>
              <w:widowControl w:val="0"/>
              <w:rPr>
                <w:rFonts w:hint="default" w:ascii="Times New Roman" w:hAnsi="Times New Roman" w:cs="Times New Roman"/>
                <w:color w:val="auto"/>
                <w:u w:val="none" w:color="auto"/>
              </w:rPr>
            </w:pPr>
          </w:p>
        </w:tc>
        <w:tc>
          <w:tcPr>
            <w:tcW w:w="459" w:type="pct"/>
            <w:vMerge w:val="continue"/>
            <w:tcBorders>
              <w:tl2br w:val="nil"/>
              <w:tr2bl w:val="nil"/>
            </w:tcBorders>
            <w:vAlign w:val="center"/>
          </w:tcPr>
          <w:p w14:paraId="1C492B61">
            <w:pPr>
              <w:pStyle w:val="113"/>
              <w:widowControl w:val="0"/>
              <w:rPr>
                <w:rFonts w:hint="default" w:ascii="Times New Roman" w:hAnsi="Times New Roman" w:cs="Times New Roman"/>
                <w:color w:val="auto"/>
                <w:u w:val="none" w:color="auto"/>
              </w:rPr>
            </w:pPr>
          </w:p>
        </w:tc>
        <w:tc>
          <w:tcPr>
            <w:tcW w:w="612" w:type="pct"/>
            <w:tcBorders>
              <w:tl2br w:val="nil"/>
              <w:tr2bl w:val="nil"/>
            </w:tcBorders>
            <w:vAlign w:val="center"/>
          </w:tcPr>
          <w:p w14:paraId="470DEFEC">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其他</w:t>
            </w:r>
          </w:p>
        </w:tc>
        <w:tc>
          <w:tcPr>
            <w:tcW w:w="943" w:type="pct"/>
            <w:tcBorders>
              <w:tl2br w:val="nil"/>
              <w:tr2bl w:val="nil"/>
            </w:tcBorders>
            <w:vAlign w:val="center"/>
          </w:tcPr>
          <w:p w14:paraId="4C4B897D">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0.3</w:t>
            </w:r>
          </w:p>
        </w:tc>
        <w:tc>
          <w:tcPr>
            <w:tcW w:w="952" w:type="pct"/>
            <w:tcBorders>
              <w:tl2br w:val="nil"/>
              <w:tr2bl w:val="nil"/>
            </w:tcBorders>
            <w:vAlign w:val="center"/>
          </w:tcPr>
          <w:p w14:paraId="0A14654F">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0.3</w:t>
            </w:r>
          </w:p>
        </w:tc>
        <w:tc>
          <w:tcPr>
            <w:tcW w:w="864" w:type="pct"/>
            <w:tcBorders>
              <w:tl2br w:val="nil"/>
              <w:tr2bl w:val="nil"/>
            </w:tcBorders>
            <w:vAlign w:val="center"/>
          </w:tcPr>
          <w:p w14:paraId="501D6140">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0.3</w:t>
            </w:r>
          </w:p>
        </w:tc>
        <w:tc>
          <w:tcPr>
            <w:tcW w:w="714" w:type="pct"/>
            <w:tcBorders>
              <w:tl2br w:val="nil"/>
              <w:tr2bl w:val="nil"/>
            </w:tcBorders>
            <w:vAlign w:val="center"/>
          </w:tcPr>
          <w:p w14:paraId="061ACE77">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0.6</w:t>
            </w:r>
          </w:p>
        </w:tc>
      </w:tr>
      <w:tr w14:paraId="536C92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restart"/>
            <w:tcBorders>
              <w:tl2br w:val="nil"/>
              <w:tr2bl w:val="nil"/>
            </w:tcBorders>
            <w:vAlign w:val="center"/>
          </w:tcPr>
          <w:p w14:paraId="55FFF491">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w:t>
            </w:r>
          </w:p>
        </w:tc>
        <w:tc>
          <w:tcPr>
            <w:tcW w:w="459" w:type="pct"/>
            <w:vMerge w:val="restart"/>
            <w:tcBorders>
              <w:tl2br w:val="nil"/>
              <w:tr2bl w:val="nil"/>
            </w:tcBorders>
            <w:vAlign w:val="center"/>
          </w:tcPr>
          <w:p w14:paraId="26F5F451">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汞</w:t>
            </w:r>
          </w:p>
        </w:tc>
        <w:tc>
          <w:tcPr>
            <w:tcW w:w="612" w:type="pct"/>
            <w:tcBorders>
              <w:tl2br w:val="nil"/>
              <w:tr2bl w:val="nil"/>
            </w:tcBorders>
            <w:vAlign w:val="center"/>
          </w:tcPr>
          <w:p w14:paraId="7C84C5B9">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水田</w:t>
            </w:r>
          </w:p>
        </w:tc>
        <w:tc>
          <w:tcPr>
            <w:tcW w:w="943" w:type="pct"/>
            <w:tcBorders>
              <w:tl2br w:val="nil"/>
              <w:tr2bl w:val="nil"/>
            </w:tcBorders>
            <w:vAlign w:val="center"/>
          </w:tcPr>
          <w:p w14:paraId="4B316923">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0.5</w:t>
            </w:r>
          </w:p>
        </w:tc>
        <w:tc>
          <w:tcPr>
            <w:tcW w:w="952" w:type="pct"/>
            <w:tcBorders>
              <w:tl2br w:val="nil"/>
              <w:tr2bl w:val="nil"/>
            </w:tcBorders>
            <w:vAlign w:val="center"/>
          </w:tcPr>
          <w:p w14:paraId="50E28D79">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0.5</w:t>
            </w:r>
          </w:p>
        </w:tc>
        <w:tc>
          <w:tcPr>
            <w:tcW w:w="864" w:type="pct"/>
            <w:tcBorders>
              <w:tl2br w:val="nil"/>
              <w:tr2bl w:val="nil"/>
            </w:tcBorders>
            <w:vAlign w:val="center"/>
          </w:tcPr>
          <w:p w14:paraId="06ADBDB0">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0.6</w:t>
            </w:r>
          </w:p>
        </w:tc>
        <w:tc>
          <w:tcPr>
            <w:tcW w:w="714" w:type="pct"/>
            <w:tcBorders>
              <w:tl2br w:val="nil"/>
              <w:tr2bl w:val="nil"/>
            </w:tcBorders>
            <w:vAlign w:val="center"/>
          </w:tcPr>
          <w:p w14:paraId="1317C686">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w:t>
            </w:r>
          </w:p>
        </w:tc>
      </w:tr>
      <w:tr w14:paraId="5EF1A5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continue"/>
            <w:tcBorders>
              <w:tl2br w:val="nil"/>
              <w:tr2bl w:val="nil"/>
            </w:tcBorders>
            <w:vAlign w:val="center"/>
          </w:tcPr>
          <w:p w14:paraId="02B195E4">
            <w:pPr>
              <w:pStyle w:val="113"/>
              <w:widowControl w:val="0"/>
              <w:rPr>
                <w:rFonts w:hint="default" w:ascii="Times New Roman" w:hAnsi="Times New Roman" w:cs="Times New Roman"/>
                <w:color w:val="auto"/>
                <w:u w:val="none" w:color="auto"/>
              </w:rPr>
            </w:pPr>
          </w:p>
        </w:tc>
        <w:tc>
          <w:tcPr>
            <w:tcW w:w="459" w:type="pct"/>
            <w:vMerge w:val="continue"/>
            <w:tcBorders>
              <w:tl2br w:val="nil"/>
              <w:tr2bl w:val="nil"/>
            </w:tcBorders>
            <w:vAlign w:val="center"/>
          </w:tcPr>
          <w:p w14:paraId="50F9523D">
            <w:pPr>
              <w:pStyle w:val="113"/>
              <w:widowControl w:val="0"/>
              <w:rPr>
                <w:rFonts w:hint="default" w:ascii="Times New Roman" w:hAnsi="Times New Roman" w:cs="Times New Roman"/>
                <w:color w:val="auto"/>
                <w:u w:val="none" w:color="auto"/>
              </w:rPr>
            </w:pPr>
          </w:p>
        </w:tc>
        <w:tc>
          <w:tcPr>
            <w:tcW w:w="612" w:type="pct"/>
            <w:tcBorders>
              <w:tl2br w:val="nil"/>
              <w:tr2bl w:val="nil"/>
            </w:tcBorders>
            <w:vAlign w:val="center"/>
          </w:tcPr>
          <w:p w14:paraId="3B6479AD">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其他</w:t>
            </w:r>
          </w:p>
        </w:tc>
        <w:tc>
          <w:tcPr>
            <w:tcW w:w="943" w:type="pct"/>
            <w:tcBorders>
              <w:tl2br w:val="nil"/>
              <w:tr2bl w:val="nil"/>
            </w:tcBorders>
            <w:vAlign w:val="center"/>
          </w:tcPr>
          <w:p w14:paraId="2211CDFE">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1.3</w:t>
            </w:r>
          </w:p>
        </w:tc>
        <w:tc>
          <w:tcPr>
            <w:tcW w:w="952" w:type="pct"/>
            <w:tcBorders>
              <w:tl2br w:val="nil"/>
              <w:tr2bl w:val="nil"/>
            </w:tcBorders>
            <w:vAlign w:val="center"/>
          </w:tcPr>
          <w:p w14:paraId="51043E1D">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1.8</w:t>
            </w:r>
          </w:p>
        </w:tc>
        <w:tc>
          <w:tcPr>
            <w:tcW w:w="864" w:type="pct"/>
            <w:tcBorders>
              <w:tl2br w:val="nil"/>
              <w:tr2bl w:val="nil"/>
            </w:tcBorders>
            <w:vAlign w:val="center"/>
          </w:tcPr>
          <w:p w14:paraId="63BE153F">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2.4</w:t>
            </w:r>
          </w:p>
        </w:tc>
        <w:tc>
          <w:tcPr>
            <w:tcW w:w="714" w:type="pct"/>
            <w:tcBorders>
              <w:tl2br w:val="nil"/>
              <w:tr2bl w:val="nil"/>
            </w:tcBorders>
            <w:vAlign w:val="center"/>
          </w:tcPr>
          <w:p w14:paraId="1E15691E">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3.4</w:t>
            </w:r>
          </w:p>
        </w:tc>
      </w:tr>
      <w:tr w14:paraId="725EB5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restart"/>
            <w:tcBorders>
              <w:tl2br w:val="nil"/>
              <w:tr2bl w:val="nil"/>
            </w:tcBorders>
            <w:vAlign w:val="center"/>
          </w:tcPr>
          <w:p w14:paraId="50143478">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w:t>
            </w:r>
          </w:p>
        </w:tc>
        <w:tc>
          <w:tcPr>
            <w:tcW w:w="459" w:type="pct"/>
            <w:vMerge w:val="restart"/>
            <w:tcBorders>
              <w:tl2br w:val="nil"/>
              <w:tr2bl w:val="nil"/>
            </w:tcBorders>
            <w:vAlign w:val="center"/>
          </w:tcPr>
          <w:p w14:paraId="30A3161A">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砷</w:t>
            </w:r>
          </w:p>
        </w:tc>
        <w:tc>
          <w:tcPr>
            <w:tcW w:w="612" w:type="pct"/>
            <w:tcBorders>
              <w:tl2br w:val="nil"/>
              <w:tr2bl w:val="nil"/>
            </w:tcBorders>
            <w:vAlign w:val="center"/>
          </w:tcPr>
          <w:p w14:paraId="068E2A12">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水田</w:t>
            </w:r>
          </w:p>
        </w:tc>
        <w:tc>
          <w:tcPr>
            <w:tcW w:w="943" w:type="pct"/>
            <w:tcBorders>
              <w:tl2br w:val="nil"/>
              <w:tr2bl w:val="nil"/>
            </w:tcBorders>
            <w:vAlign w:val="center"/>
          </w:tcPr>
          <w:p w14:paraId="086210F7">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30</w:t>
            </w:r>
          </w:p>
        </w:tc>
        <w:tc>
          <w:tcPr>
            <w:tcW w:w="952" w:type="pct"/>
            <w:tcBorders>
              <w:tl2br w:val="nil"/>
              <w:tr2bl w:val="nil"/>
            </w:tcBorders>
            <w:vAlign w:val="center"/>
          </w:tcPr>
          <w:p w14:paraId="58766EF3">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30</w:t>
            </w:r>
          </w:p>
        </w:tc>
        <w:tc>
          <w:tcPr>
            <w:tcW w:w="864" w:type="pct"/>
            <w:tcBorders>
              <w:tl2br w:val="nil"/>
              <w:tr2bl w:val="nil"/>
            </w:tcBorders>
            <w:vAlign w:val="center"/>
          </w:tcPr>
          <w:p w14:paraId="5B97887F">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25</w:t>
            </w:r>
          </w:p>
        </w:tc>
        <w:tc>
          <w:tcPr>
            <w:tcW w:w="714" w:type="pct"/>
            <w:tcBorders>
              <w:tl2br w:val="nil"/>
              <w:tr2bl w:val="nil"/>
            </w:tcBorders>
            <w:vAlign w:val="center"/>
          </w:tcPr>
          <w:p w14:paraId="034CBE8B">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w:t>
            </w:r>
          </w:p>
        </w:tc>
      </w:tr>
      <w:tr w14:paraId="7A2622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continue"/>
            <w:tcBorders>
              <w:tl2br w:val="nil"/>
              <w:tr2bl w:val="nil"/>
            </w:tcBorders>
            <w:vAlign w:val="center"/>
          </w:tcPr>
          <w:p w14:paraId="42C528E8">
            <w:pPr>
              <w:pStyle w:val="113"/>
              <w:widowControl w:val="0"/>
              <w:rPr>
                <w:rFonts w:hint="default" w:ascii="Times New Roman" w:hAnsi="Times New Roman" w:cs="Times New Roman"/>
                <w:color w:val="auto"/>
                <w:u w:val="none" w:color="auto"/>
              </w:rPr>
            </w:pPr>
          </w:p>
        </w:tc>
        <w:tc>
          <w:tcPr>
            <w:tcW w:w="459" w:type="pct"/>
            <w:vMerge w:val="continue"/>
            <w:tcBorders>
              <w:tl2br w:val="nil"/>
              <w:tr2bl w:val="nil"/>
            </w:tcBorders>
            <w:vAlign w:val="center"/>
          </w:tcPr>
          <w:p w14:paraId="718CB8E3">
            <w:pPr>
              <w:pStyle w:val="113"/>
              <w:widowControl w:val="0"/>
              <w:rPr>
                <w:rFonts w:hint="default" w:ascii="Times New Roman" w:hAnsi="Times New Roman" w:cs="Times New Roman"/>
                <w:color w:val="auto"/>
                <w:u w:val="none" w:color="auto"/>
              </w:rPr>
            </w:pPr>
          </w:p>
        </w:tc>
        <w:tc>
          <w:tcPr>
            <w:tcW w:w="612" w:type="pct"/>
            <w:tcBorders>
              <w:tl2br w:val="nil"/>
              <w:tr2bl w:val="nil"/>
            </w:tcBorders>
            <w:vAlign w:val="center"/>
          </w:tcPr>
          <w:p w14:paraId="1C9B357F">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其他</w:t>
            </w:r>
          </w:p>
        </w:tc>
        <w:tc>
          <w:tcPr>
            <w:tcW w:w="943" w:type="pct"/>
            <w:tcBorders>
              <w:tl2br w:val="nil"/>
              <w:tr2bl w:val="nil"/>
            </w:tcBorders>
            <w:vAlign w:val="center"/>
          </w:tcPr>
          <w:p w14:paraId="2CF2FD26">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40</w:t>
            </w:r>
          </w:p>
        </w:tc>
        <w:tc>
          <w:tcPr>
            <w:tcW w:w="952" w:type="pct"/>
            <w:tcBorders>
              <w:tl2br w:val="nil"/>
              <w:tr2bl w:val="nil"/>
            </w:tcBorders>
            <w:vAlign w:val="center"/>
          </w:tcPr>
          <w:p w14:paraId="5B7212E4">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40</w:t>
            </w:r>
          </w:p>
        </w:tc>
        <w:tc>
          <w:tcPr>
            <w:tcW w:w="864" w:type="pct"/>
            <w:tcBorders>
              <w:tl2br w:val="nil"/>
              <w:tr2bl w:val="nil"/>
            </w:tcBorders>
            <w:vAlign w:val="center"/>
          </w:tcPr>
          <w:p w14:paraId="498592A7">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30</w:t>
            </w:r>
          </w:p>
        </w:tc>
        <w:tc>
          <w:tcPr>
            <w:tcW w:w="714" w:type="pct"/>
            <w:tcBorders>
              <w:tl2br w:val="nil"/>
              <w:tr2bl w:val="nil"/>
            </w:tcBorders>
            <w:vAlign w:val="center"/>
          </w:tcPr>
          <w:p w14:paraId="79EDB8B8">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25</w:t>
            </w:r>
          </w:p>
        </w:tc>
      </w:tr>
      <w:tr w14:paraId="4B03BD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restart"/>
            <w:tcBorders>
              <w:tl2br w:val="nil"/>
              <w:tr2bl w:val="nil"/>
            </w:tcBorders>
            <w:vAlign w:val="center"/>
          </w:tcPr>
          <w:p w14:paraId="625BE9C8">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4</w:t>
            </w:r>
          </w:p>
        </w:tc>
        <w:tc>
          <w:tcPr>
            <w:tcW w:w="459" w:type="pct"/>
            <w:vMerge w:val="restart"/>
            <w:tcBorders>
              <w:tl2br w:val="nil"/>
              <w:tr2bl w:val="nil"/>
            </w:tcBorders>
            <w:vAlign w:val="center"/>
          </w:tcPr>
          <w:p w14:paraId="42857BDE">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铅</w:t>
            </w:r>
          </w:p>
        </w:tc>
        <w:tc>
          <w:tcPr>
            <w:tcW w:w="612" w:type="pct"/>
            <w:tcBorders>
              <w:tl2br w:val="nil"/>
              <w:tr2bl w:val="nil"/>
            </w:tcBorders>
            <w:vAlign w:val="center"/>
          </w:tcPr>
          <w:p w14:paraId="65AEBE6D">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水田</w:t>
            </w:r>
          </w:p>
        </w:tc>
        <w:tc>
          <w:tcPr>
            <w:tcW w:w="943" w:type="pct"/>
            <w:tcBorders>
              <w:tl2br w:val="nil"/>
              <w:tr2bl w:val="nil"/>
            </w:tcBorders>
            <w:vAlign w:val="center"/>
          </w:tcPr>
          <w:p w14:paraId="38B1A8F6">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80</w:t>
            </w:r>
          </w:p>
        </w:tc>
        <w:tc>
          <w:tcPr>
            <w:tcW w:w="952" w:type="pct"/>
            <w:tcBorders>
              <w:tl2br w:val="nil"/>
              <w:tr2bl w:val="nil"/>
            </w:tcBorders>
            <w:vAlign w:val="center"/>
          </w:tcPr>
          <w:p w14:paraId="07DCF40F">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c>
          <w:tcPr>
            <w:tcW w:w="864" w:type="pct"/>
            <w:tcBorders>
              <w:tl2br w:val="nil"/>
              <w:tr2bl w:val="nil"/>
            </w:tcBorders>
            <w:vAlign w:val="center"/>
          </w:tcPr>
          <w:p w14:paraId="0591C44B">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140</w:t>
            </w:r>
          </w:p>
        </w:tc>
        <w:tc>
          <w:tcPr>
            <w:tcW w:w="714" w:type="pct"/>
            <w:tcBorders>
              <w:tl2br w:val="nil"/>
              <w:tr2bl w:val="nil"/>
            </w:tcBorders>
            <w:vAlign w:val="center"/>
          </w:tcPr>
          <w:p w14:paraId="21C5D551">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240</w:t>
            </w:r>
          </w:p>
        </w:tc>
      </w:tr>
      <w:tr w14:paraId="2348F3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continue"/>
            <w:tcBorders>
              <w:tl2br w:val="nil"/>
              <w:tr2bl w:val="nil"/>
            </w:tcBorders>
            <w:vAlign w:val="center"/>
          </w:tcPr>
          <w:p w14:paraId="00C53A64">
            <w:pPr>
              <w:pStyle w:val="113"/>
              <w:widowControl w:val="0"/>
              <w:rPr>
                <w:rFonts w:hint="default" w:ascii="Times New Roman" w:hAnsi="Times New Roman" w:cs="Times New Roman"/>
                <w:color w:val="auto"/>
                <w:u w:val="none" w:color="auto"/>
              </w:rPr>
            </w:pPr>
          </w:p>
        </w:tc>
        <w:tc>
          <w:tcPr>
            <w:tcW w:w="459" w:type="pct"/>
            <w:vMerge w:val="continue"/>
            <w:tcBorders>
              <w:tl2br w:val="nil"/>
              <w:tr2bl w:val="nil"/>
            </w:tcBorders>
            <w:vAlign w:val="center"/>
          </w:tcPr>
          <w:p w14:paraId="126FC09A">
            <w:pPr>
              <w:pStyle w:val="113"/>
              <w:widowControl w:val="0"/>
              <w:rPr>
                <w:rFonts w:hint="default" w:ascii="Times New Roman" w:hAnsi="Times New Roman" w:cs="Times New Roman"/>
                <w:color w:val="auto"/>
                <w:u w:val="none" w:color="auto"/>
              </w:rPr>
            </w:pPr>
          </w:p>
        </w:tc>
        <w:tc>
          <w:tcPr>
            <w:tcW w:w="612" w:type="pct"/>
            <w:tcBorders>
              <w:tl2br w:val="nil"/>
              <w:tr2bl w:val="nil"/>
            </w:tcBorders>
            <w:vAlign w:val="center"/>
          </w:tcPr>
          <w:p w14:paraId="378E63AA">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其他</w:t>
            </w:r>
          </w:p>
        </w:tc>
        <w:tc>
          <w:tcPr>
            <w:tcW w:w="943" w:type="pct"/>
            <w:tcBorders>
              <w:tl2br w:val="nil"/>
              <w:tr2bl w:val="nil"/>
            </w:tcBorders>
            <w:vAlign w:val="center"/>
          </w:tcPr>
          <w:p w14:paraId="104AA1BD">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70</w:t>
            </w:r>
          </w:p>
        </w:tc>
        <w:tc>
          <w:tcPr>
            <w:tcW w:w="952" w:type="pct"/>
            <w:tcBorders>
              <w:tl2br w:val="nil"/>
              <w:tr2bl w:val="nil"/>
            </w:tcBorders>
            <w:vAlign w:val="center"/>
          </w:tcPr>
          <w:p w14:paraId="3D464515">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90</w:t>
            </w:r>
          </w:p>
        </w:tc>
        <w:tc>
          <w:tcPr>
            <w:tcW w:w="864" w:type="pct"/>
            <w:tcBorders>
              <w:tl2br w:val="nil"/>
              <w:tr2bl w:val="nil"/>
            </w:tcBorders>
            <w:vAlign w:val="center"/>
          </w:tcPr>
          <w:p w14:paraId="3D80510D">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120</w:t>
            </w:r>
          </w:p>
        </w:tc>
        <w:tc>
          <w:tcPr>
            <w:tcW w:w="714" w:type="pct"/>
            <w:tcBorders>
              <w:tl2br w:val="nil"/>
              <w:tr2bl w:val="nil"/>
            </w:tcBorders>
            <w:vAlign w:val="center"/>
          </w:tcPr>
          <w:p w14:paraId="3F9E06CF">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170</w:t>
            </w:r>
          </w:p>
        </w:tc>
      </w:tr>
      <w:tr w14:paraId="338FEE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restart"/>
            <w:tcBorders>
              <w:tl2br w:val="nil"/>
              <w:tr2bl w:val="nil"/>
            </w:tcBorders>
            <w:vAlign w:val="center"/>
          </w:tcPr>
          <w:p w14:paraId="509A8F36">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5</w:t>
            </w:r>
          </w:p>
        </w:tc>
        <w:tc>
          <w:tcPr>
            <w:tcW w:w="459" w:type="pct"/>
            <w:vMerge w:val="restart"/>
            <w:tcBorders>
              <w:tl2br w:val="nil"/>
              <w:tr2bl w:val="nil"/>
            </w:tcBorders>
            <w:vAlign w:val="center"/>
          </w:tcPr>
          <w:p w14:paraId="56399406">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铬</w:t>
            </w:r>
          </w:p>
        </w:tc>
        <w:tc>
          <w:tcPr>
            <w:tcW w:w="612" w:type="pct"/>
            <w:tcBorders>
              <w:tl2br w:val="nil"/>
              <w:tr2bl w:val="nil"/>
            </w:tcBorders>
            <w:vAlign w:val="center"/>
          </w:tcPr>
          <w:p w14:paraId="1895732E">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水田</w:t>
            </w:r>
          </w:p>
        </w:tc>
        <w:tc>
          <w:tcPr>
            <w:tcW w:w="943" w:type="pct"/>
            <w:tcBorders>
              <w:tl2br w:val="nil"/>
              <w:tr2bl w:val="nil"/>
            </w:tcBorders>
            <w:vAlign w:val="center"/>
          </w:tcPr>
          <w:p w14:paraId="50D671F8">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250</w:t>
            </w:r>
          </w:p>
        </w:tc>
        <w:tc>
          <w:tcPr>
            <w:tcW w:w="952" w:type="pct"/>
            <w:tcBorders>
              <w:tl2br w:val="nil"/>
              <w:tr2bl w:val="nil"/>
            </w:tcBorders>
            <w:vAlign w:val="center"/>
          </w:tcPr>
          <w:p w14:paraId="185F3ECB">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250</w:t>
            </w:r>
          </w:p>
        </w:tc>
        <w:tc>
          <w:tcPr>
            <w:tcW w:w="864" w:type="pct"/>
            <w:tcBorders>
              <w:tl2br w:val="nil"/>
              <w:tr2bl w:val="nil"/>
            </w:tcBorders>
            <w:vAlign w:val="center"/>
          </w:tcPr>
          <w:p w14:paraId="1A492623">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300</w:t>
            </w:r>
          </w:p>
        </w:tc>
        <w:tc>
          <w:tcPr>
            <w:tcW w:w="714" w:type="pct"/>
            <w:tcBorders>
              <w:tl2br w:val="nil"/>
              <w:tr2bl w:val="nil"/>
            </w:tcBorders>
            <w:vAlign w:val="center"/>
          </w:tcPr>
          <w:p w14:paraId="01771E1C">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350</w:t>
            </w:r>
          </w:p>
        </w:tc>
      </w:tr>
      <w:tr w14:paraId="73B6B6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continue"/>
            <w:tcBorders>
              <w:tl2br w:val="nil"/>
              <w:tr2bl w:val="nil"/>
            </w:tcBorders>
            <w:vAlign w:val="center"/>
          </w:tcPr>
          <w:p w14:paraId="5ADE5932">
            <w:pPr>
              <w:pStyle w:val="113"/>
              <w:widowControl w:val="0"/>
              <w:rPr>
                <w:rFonts w:hint="default" w:ascii="Times New Roman" w:hAnsi="Times New Roman" w:cs="Times New Roman"/>
                <w:color w:val="auto"/>
                <w:u w:val="none" w:color="auto"/>
              </w:rPr>
            </w:pPr>
          </w:p>
        </w:tc>
        <w:tc>
          <w:tcPr>
            <w:tcW w:w="459" w:type="pct"/>
            <w:vMerge w:val="continue"/>
            <w:tcBorders>
              <w:tl2br w:val="nil"/>
              <w:tr2bl w:val="nil"/>
            </w:tcBorders>
            <w:vAlign w:val="center"/>
          </w:tcPr>
          <w:p w14:paraId="029D170E">
            <w:pPr>
              <w:pStyle w:val="113"/>
              <w:widowControl w:val="0"/>
              <w:rPr>
                <w:rFonts w:hint="default" w:ascii="Times New Roman" w:hAnsi="Times New Roman" w:cs="Times New Roman"/>
                <w:color w:val="auto"/>
                <w:u w:val="none" w:color="auto"/>
              </w:rPr>
            </w:pPr>
          </w:p>
        </w:tc>
        <w:tc>
          <w:tcPr>
            <w:tcW w:w="612" w:type="pct"/>
            <w:tcBorders>
              <w:tl2br w:val="nil"/>
              <w:tr2bl w:val="nil"/>
            </w:tcBorders>
            <w:vAlign w:val="center"/>
          </w:tcPr>
          <w:p w14:paraId="5899081F">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其他</w:t>
            </w:r>
          </w:p>
        </w:tc>
        <w:tc>
          <w:tcPr>
            <w:tcW w:w="943" w:type="pct"/>
            <w:tcBorders>
              <w:tl2br w:val="nil"/>
              <w:tr2bl w:val="nil"/>
            </w:tcBorders>
            <w:vAlign w:val="center"/>
          </w:tcPr>
          <w:p w14:paraId="757ECEE7">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150</w:t>
            </w:r>
          </w:p>
        </w:tc>
        <w:tc>
          <w:tcPr>
            <w:tcW w:w="952" w:type="pct"/>
            <w:tcBorders>
              <w:tl2br w:val="nil"/>
              <w:tr2bl w:val="nil"/>
            </w:tcBorders>
            <w:vAlign w:val="center"/>
          </w:tcPr>
          <w:p w14:paraId="2F3B1187">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150</w:t>
            </w:r>
          </w:p>
        </w:tc>
        <w:tc>
          <w:tcPr>
            <w:tcW w:w="864" w:type="pct"/>
            <w:tcBorders>
              <w:tl2br w:val="nil"/>
              <w:tr2bl w:val="nil"/>
            </w:tcBorders>
            <w:vAlign w:val="center"/>
          </w:tcPr>
          <w:p w14:paraId="7CDB00AE">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200</w:t>
            </w:r>
          </w:p>
        </w:tc>
        <w:tc>
          <w:tcPr>
            <w:tcW w:w="714" w:type="pct"/>
            <w:tcBorders>
              <w:tl2br w:val="nil"/>
              <w:tr2bl w:val="nil"/>
            </w:tcBorders>
            <w:vAlign w:val="center"/>
          </w:tcPr>
          <w:p w14:paraId="7B669107">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250</w:t>
            </w:r>
          </w:p>
        </w:tc>
      </w:tr>
      <w:tr w14:paraId="4BCC0D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restart"/>
            <w:tcBorders>
              <w:tl2br w:val="nil"/>
              <w:tr2bl w:val="nil"/>
            </w:tcBorders>
            <w:vAlign w:val="center"/>
          </w:tcPr>
          <w:p w14:paraId="17C080C6">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6</w:t>
            </w:r>
          </w:p>
        </w:tc>
        <w:tc>
          <w:tcPr>
            <w:tcW w:w="459" w:type="pct"/>
            <w:vMerge w:val="restart"/>
            <w:tcBorders>
              <w:tl2br w:val="nil"/>
              <w:tr2bl w:val="nil"/>
            </w:tcBorders>
            <w:vAlign w:val="center"/>
          </w:tcPr>
          <w:p w14:paraId="66C53037">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铜</w:t>
            </w:r>
          </w:p>
        </w:tc>
        <w:tc>
          <w:tcPr>
            <w:tcW w:w="612" w:type="pct"/>
            <w:tcBorders>
              <w:tl2br w:val="nil"/>
              <w:tr2bl w:val="nil"/>
            </w:tcBorders>
            <w:vAlign w:val="center"/>
          </w:tcPr>
          <w:p w14:paraId="48F6A206">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水田</w:t>
            </w:r>
          </w:p>
        </w:tc>
        <w:tc>
          <w:tcPr>
            <w:tcW w:w="943" w:type="pct"/>
            <w:tcBorders>
              <w:tl2br w:val="nil"/>
              <w:tr2bl w:val="nil"/>
            </w:tcBorders>
            <w:vAlign w:val="center"/>
          </w:tcPr>
          <w:p w14:paraId="372F7205">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150</w:t>
            </w:r>
          </w:p>
        </w:tc>
        <w:tc>
          <w:tcPr>
            <w:tcW w:w="952" w:type="pct"/>
            <w:tcBorders>
              <w:tl2br w:val="nil"/>
              <w:tr2bl w:val="nil"/>
            </w:tcBorders>
            <w:vAlign w:val="center"/>
          </w:tcPr>
          <w:p w14:paraId="6EF2207E">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150</w:t>
            </w:r>
          </w:p>
        </w:tc>
        <w:tc>
          <w:tcPr>
            <w:tcW w:w="864" w:type="pct"/>
            <w:tcBorders>
              <w:tl2br w:val="nil"/>
              <w:tr2bl w:val="nil"/>
            </w:tcBorders>
            <w:vAlign w:val="center"/>
          </w:tcPr>
          <w:p w14:paraId="15F0BC88">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200</w:t>
            </w:r>
          </w:p>
        </w:tc>
        <w:tc>
          <w:tcPr>
            <w:tcW w:w="714" w:type="pct"/>
            <w:tcBorders>
              <w:tl2br w:val="nil"/>
              <w:tr2bl w:val="nil"/>
            </w:tcBorders>
            <w:vAlign w:val="center"/>
          </w:tcPr>
          <w:p w14:paraId="73429D09">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200</w:t>
            </w:r>
          </w:p>
        </w:tc>
      </w:tr>
      <w:tr w14:paraId="1422A4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vMerge w:val="continue"/>
            <w:tcBorders>
              <w:tl2br w:val="nil"/>
              <w:tr2bl w:val="nil"/>
            </w:tcBorders>
            <w:vAlign w:val="center"/>
          </w:tcPr>
          <w:p w14:paraId="70966051">
            <w:pPr>
              <w:pStyle w:val="113"/>
              <w:widowControl w:val="0"/>
              <w:rPr>
                <w:rFonts w:hint="default" w:ascii="Times New Roman" w:hAnsi="Times New Roman" w:cs="Times New Roman"/>
                <w:color w:val="auto"/>
                <w:u w:val="none" w:color="auto"/>
              </w:rPr>
            </w:pPr>
          </w:p>
        </w:tc>
        <w:tc>
          <w:tcPr>
            <w:tcW w:w="459" w:type="pct"/>
            <w:vMerge w:val="continue"/>
            <w:tcBorders>
              <w:tl2br w:val="nil"/>
              <w:tr2bl w:val="nil"/>
            </w:tcBorders>
            <w:vAlign w:val="center"/>
          </w:tcPr>
          <w:p w14:paraId="6D5BF057">
            <w:pPr>
              <w:pStyle w:val="113"/>
              <w:widowControl w:val="0"/>
              <w:rPr>
                <w:rFonts w:hint="default" w:ascii="Times New Roman" w:hAnsi="Times New Roman" w:cs="Times New Roman"/>
                <w:color w:val="auto"/>
                <w:u w:val="none" w:color="auto"/>
              </w:rPr>
            </w:pPr>
          </w:p>
        </w:tc>
        <w:tc>
          <w:tcPr>
            <w:tcW w:w="612" w:type="pct"/>
            <w:tcBorders>
              <w:tl2br w:val="nil"/>
              <w:tr2bl w:val="nil"/>
            </w:tcBorders>
            <w:vAlign w:val="center"/>
          </w:tcPr>
          <w:p w14:paraId="48015A3C">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其他</w:t>
            </w:r>
          </w:p>
        </w:tc>
        <w:tc>
          <w:tcPr>
            <w:tcW w:w="943" w:type="pct"/>
            <w:tcBorders>
              <w:tl2br w:val="nil"/>
              <w:tr2bl w:val="nil"/>
            </w:tcBorders>
            <w:vAlign w:val="center"/>
          </w:tcPr>
          <w:p w14:paraId="13D0E548">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50</w:t>
            </w:r>
          </w:p>
        </w:tc>
        <w:tc>
          <w:tcPr>
            <w:tcW w:w="952" w:type="pct"/>
            <w:tcBorders>
              <w:tl2br w:val="nil"/>
              <w:tr2bl w:val="nil"/>
            </w:tcBorders>
            <w:vAlign w:val="center"/>
          </w:tcPr>
          <w:p w14:paraId="7E39E70E">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50</w:t>
            </w:r>
          </w:p>
        </w:tc>
        <w:tc>
          <w:tcPr>
            <w:tcW w:w="864" w:type="pct"/>
            <w:tcBorders>
              <w:tl2br w:val="nil"/>
              <w:tr2bl w:val="nil"/>
            </w:tcBorders>
            <w:vAlign w:val="center"/>
          </w:tcPr>
          <w:p w14:paraId="50BEBFA4">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c>
          <w:tcPr>
            <w:tcW w:w="714" w:type="pct"/>
            <w:tcBorders>
              <w:tl2br w:val="nil"/>
              <w:tr2bl w:val="nil"/>
            </w:tcBorders>
            <w:vAlign w:val="center"/>
          </w:tcPr>
          <w:p w14:paraId="09F03D4A">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r>
      <w:tr w14:paraId="573728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tcBorders>
              <w:tl2br w:val="nil"/>
              <w:tr2bl w:val="nil"/>
            </w:tcBorders>
            <w:vAlign w:val="center"/>
          </w:tcPr>
          <w:p w14:paraId="718C12AE">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7</w:t>
            </w:r>
          </w:p>
        </w:tc>
        <w:tc>
          <w:tcPr>
            <w:tcW w:w="1071" w:type="pct"/>
            <w:gridSpan w:val="2"/>
            <w:tcBorders>
              <w:tl2br w:val="nil"/>
              <w:tr2bl w:val="nil"/>
            </w:tcBorders>
            <w:vAlign w:val="center"/>
          </w:tcPr>
          <w:p w14:paraId="30BBFC8E">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镍</w:t>
            </w:r>
          </w:p>
        </w:tc>
        <w:tc>
          <w:tcPr>
            <w:tcW w:w="943" w:type="pct"/>
            <w:tcBorders>
              <w:tl2br w:val="nil"/>
              <w:tr2bl w:val="nil"/>
            </w:tcBorders>
            <w:vAlign w:val="center"/>
          </w:tcPr>
          <w:p w14:paraId="7F33797A">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60</w:t>
            </w:r>
          </w:p>
        </w:tc>
        <w:tc>
          <w:tcPr>
            <w:tcW w:w="952" w:type="pct"/>
            <w:tcBorders>
              <w:tl2br w:val="nil"/>
              <w:tr2bl w:val="nil"/>
            </w:tcBorders>
            <w:vAlign w:val="center"/>
          </w:tcPr>
          <w:p w14:paraId="785EDE2C">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70</w:t>
            </w:r>
          </w:p>
        </w:tc>
        <w:tc>
          <w:tcPr>
            <w:tcW w:w="864" w:type="pct"/>
            <w:tcBorders>
              <w:tl2br w:val="nil"/>
              <w:tr2bl w:val="nil"/>
            </w:tcBorders>
            <w:vAlign w:val="center"/>
          </w:tcPr>
          <w:p w14:paraId="6C2E2834">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100</w:t>
            </w:r>
          </w:p>
        </w:tc>
        <w:tc>
          <w:tcPr>
            <w:tcW w:w="714" w:type="pct"/>
            <w:tcBorders>
              <w:tl2br w:val="nil"/>
              <w:tr2bl w:val="nil"/>
            </w:tcBorders>
            <w:vAlign w:val="center"/>
          </w:tcPr>
          <w:p w14:paraId="5106075F">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190</w:t>
            </w:r>
          </w:p>
        </w:tc>
      </w:tr>
      <w:tr w14:paraId="7DCEC9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2" w:type="pct"/>
            <w:tcBorders>
              <w:tl2br w:val="nil"/>
              <w:tr2bl w:val="nil"/>
            </w:tcBorders>
            <w:vAlign w:val="center"/>
          </w:tcPr>
          <w:p w14:paraId="5F87C989">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8</w:t>
            </w:r>
          </w:p>
        </w:tc>
        <w:tc>
          <w:tcPr>
            <w:tcW w:w="1071" w:type="pct"/>
            <w:gridSpan w:val="2"/>
            <w:tcBorders>
              <w:tl2br w:val="nil"/>
              <w:tr2bl w:val="nil"/>
            </w:tcBorders>
            <w:vAlign w:val="center"/>
          </w:tcPr>
          <w:p w14:paraId="5E89C0E0">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锌</w:t>
            </w:r>
          </w:p>
        </w:tc>
        <w:tc>
          <w:tcPr>
            <w:tcW w:w="943" w:type="pct"/>
            <w:tcBorders>
              <w:tl2br w:val="nil"/>
              <w:tr2bl w:val="nil"/>
            </w:tcBorders>
            <w:vAlign w:val="center"/>
          </w:tcPr>
          <w:p w14:paraId="5A5E8176">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200</w:t>
            </w:r>
          </w:p>
        </w:tc>
        <w:tc>
          <w:tcPr>
            <w:tcW w:w="952" w:type="pct"/>
            <w:tcBorders>
              <w:tl2br w:val="nil"/>
              <w:tr2bl w:val="nil"/>
            </w:tcBorders>
            <w:vAlign w:val="center"/>
          </w:tcPr>
          <w:p w14:paraId="597C50E9">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200</w:t>
            </w:r>
          </w:p>
        </w:tc>
        <w:tc>
          <w:tcPr>
            <w:tcW w:w="864" w:type="pct"/>
            <w:tcBorders>
              <w:tl2br w:val="nil"/>
              <w:tr2bl w:val="nil"/>
            </w:tcBorders>
            <w:vAlign w:val="center"/>
          </w:tcPr>
          <w:p w14:paraId="4E38C12D">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250</w:t>
            </w:r>
          </w:p>
        </w:tc>
        <w:tc>
          <w:tcPr>
            <w:tcW w:w="714" w:type="pct"/>
            <w:tcBorders>
              <w:tl2br w:val="nil"/>
              <w:tr2bl w:val="nil"/>
            </w:tcBorders>
            <w:vAlign w:val="center"/>
          </w:tcPr>
          <w:p w14:paraId="310361C6">
            <w:pPr>
              <w:pStyle w:val="113"/>
              <w:widowControl w:val="0"/>
              <w:rPr>
                <w:rFonts w:hint="default" w:ascii="Times New Roman" w:hAnsi="Times New Roman" w:cs="Times New Roman"/>
                <w:color w:val="auto"/>
                <w:u w:val="none" w:color="auto"/>
              </w:rPr>
            </w:pPr>
            <w:r>
              <w:rPr>
                <w:rFonts w:hint="default" w:ascii="Times New Roman" w:hAnsi="Times New Roman" w:cs="Times New Roman"/>
                <w:color w:val="auto"/>
                <w:u w:val="none" w:color="auto"/>
              </w:rPr>
              <w:t>300</w:t>
            </w:r>
          </w:p>
        </w:tc>
      </w:tr>
    </w:tbl>
    <w:p w14:paraId="3483F05F">
      <w:pPr>
        <w:pStyle w:val="4"/>
        <w:bidi w:val="0"/>
        <w:rPr>
          <w:rFonts w:hint="default" w:ascii="Times New Roman" w:hAnsi="Times New Roman" w:cs="Times New Roman"/>
        </w:rPr>
      </w:pPr>
      <w:bookmarkStart w:id="71" w:name="_Toc12791"/>
      <w:bookmarkStart w:id="72" w:name="_Toc517710659"/>
      <w:r>
        <w:rPr>
          <w:rFonts w:hint="default" w:ascii="Times New Roman" w:hAnsi="Times New Roman" w:cs="Times New Roman"/>
        </w:rPr>
        <w:t>污染物排放标准</w:t>
      </w:r>
      <w:bookmarkEnd w:id="71"/>
      <w:bookmarkEnd w:id="72"/>
    </w:p>
    <w:p w14:paraId="3CBEAEF0">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（1）大气污染物排放标准</w:t>
      </w:r>
    </w:p>
    <w:p w14:paraId="0A691EDB">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rPr>
        <w:t>施工期主要大气污染物为无组织排放的粉尘和施工机械废气，执行《大气污染物综合排放标准》(GB16297-1996)中无组织排放监控浓度限值</w:t>
      </w:r>
      <w:r>
        <w:rPr>
          <w:rFonts w:hint="default" w:ascii="Times New Roman" w:hAnsi="Times New Roman" w:eastAsia="宋体" w:cs="Times New Roman"/>
          <w:color w:val="auto"/>
          <w:spacing w:val="0"/>
          <w:w w:val="100"/>
          <w:position w:val="0"/>
          <w:sz w:val="24"/>
          <w:szCs w:val="24"/>
          <w:u w:val="none" w:color="auto"/>
          <w:lang w:eastAsia="zh-CN"/>
        </w:rPr>
        <w:t>，具体标准值见表</w:t>
      </w:r>
      <w:r>
        <w:rPr>
          <w:rFonts w:hint="default" w:ascii="Times New Roman" w:hAnsi="Times New Roman" w:eastAsia="宋体" w:cs="Times New Roman"/>
          <w:color w:val="auto"/>
          <w:spacing w:val="0"/>
          <w:w w:val="100"/>
          <w:position w:val="0"/>
          <w:sz w:val="24"/>
          <w:szCs w:val="24"/>
          <w:u w:val="none" w:color="auto"/>
          <w:lang w:val="en-US" w:eastAsia="zh-CN"/>
        </w:rPr>
        <w:t>1.5-7</w:t>
      </w: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宋体" w:cs="Times New Roman"/>
          <w:color w:val="auto"/>
          <w:spacing w:val="0"/>
          <w:w w:val="100"/>
          <w:position w:val="0"/>
          <w:sz w:val="24"/>
          <w:szCs w:val="24"/>
          <w:u w:val="none" w:color="auto"/>
          <w:lang w:eastAsia="zh-CN"/>
        </w:rPr>
        <w:t>运营期管理所食堂油烟参照执行</w:t>
      </w:r>
      <w:r>
        <w:rPr>
          <w:rFonts w:hint="default" w:ascii="Times New Roman" w:hAnsi="Times New Roman" w:eastAsia="宋体" w:cs="Times New Roman"/>
          <w:color w:val="auto"/>
          <w:spacing w:val="0"/>
          <w:w w:val="100"/>
          <w:position w:val="0"/>
          <w:sz w:val="24"/>
          <w:szCs w:val="24"/>
          <w:u w:val="none" w:color="auto"/>
        </w:rPr>
        <w:t>《饮食业油烟排放标准》（试行）（GB18483-2001），相应排放限值见表1.</w:t>
      </w:r>
      <w:r>
        <w:rPr>
          <w:rFonts w:hint="default" w:ascii="Times New Roman" w:hAnsi="Times New Roman" w:eastAsia="宋体" w:cs="Times New Roman"/>
          <w:color w:val="auto"/>
          <w:spacing w:val="0"/>
          <w:w w:val="100"/>
          <w:position w:val="0"/>
          <w:sz w:val="24"/>
          <w:szCs w:val="24"/>
          <w:u w:val="none" w:color="auto"/>
          <w:lang w:val="en-US" w:eastAsia="zh-CN"/>
        </w:rPr>
        <w:t>5</w:t>
      </w: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宋体" w:cs="Times New Roman"/>
          <w:color w:val="auto"/>
          <w:spacing w:val="0"/>
          <w:w w:val="100"/>
          <w:position w:val="0"/>
          <w:sz w:val="24"/>
          <w:szCs w:val="24"/>
          <w:u w:val="none" w:color="auto"/>
          <w:lang w:val="en-US" w:eastAsia="zh-CN"/>
        </w:rPr>
        <w:t>8</w:t>
      </w:r>
      <w:r>
        <w:rPr>
          <w:rFonts w:hint="default" w:ascii="Times New Roman" w:hAnsi="Times New Roman" w:eastAsia="宋体" w:cs="Times New Roman"/>
          <w:color w:val="auto"/>
          <w:spacing w:val="0"/>
          <w:w w:val="100"/>
          <w:position w:val="0"/>
          <w:sz w:val="24"/>
          <w:szCs w:val="24"/>
          <w:u w:val="none" w:color="auto"/>
        </w:rPr>
        <w:t>。</w:t>
      </w:r>
    </w:p>
    <w:p w14:paraId="00385A4A">
      <w:pPr>
        <w:pageBreakBefore w:val="0"/>
        <w:kinsoku w:val="0"/>
        <w:wordWrap w:val="0"/>
        <w:overflowPunct/>
        <w:topLinePunct/>
        <w:autoSpaceDE/>
        <w:autoSpaceDN/>
        <w:bidi w:val="0"/>
        <w:adjustRightInd w:val="0"/>
        <w:spacing w:line="360" w:lineRule="auto"/>
        <w:jc w:val="right"/>
        <w:rPr>
          <w:rFonts w:hint="default" w:ascii="Times New Roman" w:hAnsi="Times New Roman" w:eastAsia="宋体" w:cs="Times New Roman"/>
          <w:b/>
          <w:caps w:val="0"/>
          <w:smallCaps w:val="0"/>
          <w:color w:val="auto"/>
          <w:spacing w:val="0"/>
          <w:w w:val="100"/>
          <w:kern w:val="0"/>
          <w:position w:val="0"/>
          <w:sz w:val="24"/>
          <w:szCs w:val="24"/>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表1.5-</w:t>
      </w: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7</w:t>
      </w:r>
      <w:r>
        <w:rPr>
          <w:rFonts w:hint="default" w:ascii="Times New Roman" w:hAnsi="Times New Roman" w:eastAsia="宋体" w:cs="Times New Roman"/>
          <w:b/>
          <w:caps w:val="0"/>
          <w:smallCaps w:val="0"/>
          <w:color w:val="auto"/>
          <w:spacing w:val="0"/>
          <w:w w:val="100"/>
          <w:kern w:val="0"/>
          <w:position w:val="0"/>
          <w:sz w:val="24"/>
          <w:szCs w:val="24"/>
          <w:u w:val="none" w:color="auto"/>
        </w:rPr>
        <w:t xml:space="preserve"> </w:t>
      </w: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b/>
          <w:caps w:val="0"/>
          <w:smallCaps w:val="0"/>
          <w:color w:val="auto"/>
          <w:spacing w:val="0"/>
          <w:w w:val="100"/>
          <w:kern w:val="0"/>
          <w:position w:val="0"/>
          <w:sz w:val="24"/>
          <w:szCs w:val="24"/>
          <w:u w:val="none" w:color="auto"/>
        </w:rPr>
        <w:t>《大气污染物综合排放标准》(GB16297-1996)(摘录)</w:t>
      </w:r>
    </w:p>
    <w:tbl>
      <w:tblPr>
        <w:tblStyle w:val="95"/>
        <w:tblW w:w="5036"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769"/>
        <w:gridCol w:w="2543"/>
        <w:gridCol w:w="3078"/>
      </w:tblGrid>
      <w:tr w14:paraId="28CB07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759" w:type="dxa"/>
            <w:vMerge w:val="restart"/>
            <w:tcBorders>
              <w:tl2br w:val="nil"/>
              <w:tr2bl w:val="nil"/>
            </w:tcBorders>
            <w:noWrap w:val="0"/>
            <w:vAlign w:val="center"/>
          </w:tcPr>
          <w:p w14:paraId="5EED3BA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污染因子</w:t>
            </w:r>
          </w:p>
        </w:tc>
        <w:tc>
          <w:tcPr>
            <w:tcW w:w="5601" w:type="dxa"/>
            <w:gridSpan w:val="2"/>
            <w:tcBorders>
              <w:tl2br w:val="nil"/>
              <w:tr2bl w:val="nil"/>
            </w:tcBorders>
            <w:noWrap w:val="0"/>
            <w:vAlign w:val="center"/>
          </w:tcPr>
          <w:p w14:paraId="7623687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无组织排放监控浓度限值</w:t>
            </w:r>
          </w:p>
        </w:tc>
      </w:tr>
      <w:tr w14:paraId="4A1188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759" w:type="dxa"/>
            <w:vMerge w:val="continue"/>
            <w:tcBorders>
              <w:tl2br w:val="nil"/>
              <w:tr2bl w:val="nil"/>
            </w:tcBorders>
            <w:noWrap w:val="0"/>
            <w:vAlign w:val="center"/>
          </w:tcPr>
          <w:p w14:paraId="77B49AE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p>
        </w:tc>
        <w:tc>
          <w:tcPr>
            <w:tcW w:w="2534" w:type="dxa"/>
            <w:tcBorders>
              <w:tl2br w:val="nil"/>
              <w:tr2bl w:val="nil"/>
            </w:tcBorders>
            <w:noWrap w:val="0"/>
            <w:vAlign w:val="center"/>
          </w:tcPr>
          <w:p w14:paraId="37F2AF4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监控点</w:t>
            </w:r>
          </w:p>
        </w:tc>
        <w:tc>
          <w:tcPr>
            <w:tcW w:w="3067" w:type="dxa"/>
            <w:tcBorders>
              <w:tl2br w:val="nil"/>
              <w:tr2bl w:val="nil"/>
            </w:tcBorders>
            <w:noWrap w:val="0"/>
            <w:vAlign w:val="center"/>
          </w:tcPr>
          <w:p w14:paraId="076EAAB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浓度</w:t>
            </w:r>
            <w:r>
              <w:rPr>
                <w:rFonts w:hint="default" w:ascii="Times New Roman" w:hAnsi="Times New Roman" w:eastAsia="宋体" w:cs="Times New Roman"/>
                <w:color w:val="auto"/>
                <w:spacing w:val="0"/>
                <w:w w:val="100"/>
                <w:position w:val="0"/>
                <w:sz w:val="21"/>
                <w:szCs w:val="21"/>
                <w:u w:val="none" w:color="auto"/>
                <w:lang w:eastAsia="zh-CN"/>
              </w:rPr>
              <w:t>（</w:t>
            </w:r>
            <w:r>
              <w:rPr>
                <w:rFonts w:hint="default" w:ascii="Times New Roman" w:hAnsi="Times New Roman" w:eastAsia="宋体" w:cs="Times New Roman"/>
                <w:color w:val="auto"/>
                <w:spacing w:val="0"/>
                <w:w w:val="100"/>
                <w:position w:val="0"/>
                <w:sz w:val="21"/>
                <w:szCs w:val="21"/>
                <w:u w:val="none" w:color="auto"/>
              </w:rPr>
              <w:t>mg/</w:t>
            </w:r>
            <w:r>
              <w:rPr>
                <w:rFonts w:hint="default" w:ascii="Times New Roman" w:hAnsi="Times New Roman" w:eastAsia="宋体" w:cs="Times New Roman"/>
                <w:color w:val="auto"/>
                <w:spacing w:val="0"/>
                <w:w w:val="100"/>
                <w:position w:val="0"/>
                <w:sz w:val="21"/>
                <w:szCs w:val="21"/>
                <w:u w:val="none" w:color="auto"/>
                <w:lang w:val="en-US" w:eastAsia="zh-CN"/>
              </w:rPr>
              <w:t>m</w:t>
            </w:r>
            <w:r>
              <w:rPr>
                <w:rFonts w:hint="default" w:ascii="Times New Roman" w:hAnsi="Times New Roman" w:eastAsia="宋体" w:cs="Times New Roman"/>
                <w:color w:val="auto"/>
                <w:spacing w:val="0"/>
                <w:w w:val="100"/>
                <w:position w:val="0"/>
                <w:sz w:val="21"/>
                <w:szCs w:val="21"/>
                <w:u w:val="none" w:color="auto"/>
                <w:vertAlign w:val="superscript"/>
                <w:lang w:val="en-US" w:eastAsia="zh-CN"/>
              </w:rPr>
              <w:t>3</w:t>
            </w:r>
            <w:r>
              <w:rPr>
                <w:rFonts w:hint="default" w:ascii="Times New Roman" w:hAnsi="Times New Roman" w:eastAsia="宋体" w:cs="Times New Roman"/>
                <w:color w:val="auto"/>
                <w:spacing w:val="0"/>
                <w:w w:val="100"/>
                <w:position w:val="0"/>
                <w:sz w:val="21"/>
                <w:szCs w:val="21"/>
                <w:u w:val="none" w:color="auto"/>
                <w:vertAlign w:val="baseline"/>
                <w:lang w:val="en-US" w:eastAsia="zh-CN"/>
              </w:rPr>
              <w:t>）</w:t>
            </w:r>
          </w:p>
        </w:tc>
      </w:tr>
      <w:tr w14:paraId="363A35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759" w:type="dxa"/>
            <w:tcBorders>
              <w:tl2br w:val="nil"/>
              <w:tr2bl w:val="nil"/>
            </w:tcBorders>
            <w:noWrap w:val="0"/>
            <w:vAlign w:val="center"/>
          </w:tcPr>
          <w:p w14:paraId="375C78B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颗粒物</w:t>
            </w:r>
          </w:p>
        </w:tc>
        <w:tc>
          <w:tcPr>
            <w:tcW w:w="2534" w:type="dxa"/>
            <w:tcBorders>
              <w:tl2br w:val="nil"/>
              <w:tr2bl w:val="nil"/>
            </w:tcBorders>
            <w:noWrap w:val="0"/>
            <w:vAlign w:val="center"/>
          </w:tcPr>
          <w:p w14:paraId="237CDA2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周界外浓度最高点</w:t>
            </w:r>
          </w:p>
        </w:tc>
        <w:tc>
          <w:tcPr>
            <w:tcW w:w="3067" w:type="dxa"/>
            <w:tcBorders>
              <w:tl2br w:val="nil"/>
              <w:tr2bl w:val="nil"/>
            </w:tcBorders>
            <w:noWrap w:val="0"/>
            <w:vAlign w:val="center"/>
          </w:tcPr>
          <w:p w14:paraId="1F58EF4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1.0</w:t>
            </w:r>
          </w:p>
        </w:tc>
      </w:tr>
    </w:tbl>
    <w:p w14:paraId="75C82AAF">
      <w:pPr>
        <w:pStyle w:val="112"/>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000000" w:themeColor="text1"/>
          <w:u w:val="none" w:color="auto"/>
          <w14:textFill>
            <w14:solidFill>
              <w14:schemeClr w14:val="tx1"/>
            </w14:solidFill>
          </w14:textFill>
        </w:rPr>
      </w:pPr>
      <w:r>
        <w:rPr>
          <w:rFonts w:hint="default" w:ascii="Times New Roman" w:hAnsi="Times New Roman" w:eastAsia="宋体" w:cs="Times New Roman"/>
          <w:b/>
          <w:caps w:val="0"/>
          <w:smallCaps w:val="0"/>
          <w:color w:val="auto"/>
          <w:spacing w:val="0"/>
          <w:w w:val="100"/>
          <w:kern w:val="0"/>
          <w:position w:val="0"/>
          <w:sz w:val="24"/>
          <w:szCs w:val="24"/>
          <w:u w:val="none" w:color="auto"/>
        </w:rPr>
        <w:t>表1.5-</w:t>
      </w: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8</w:t>
      </w:r>
      <w:r>
        <w:rPr>
          <w:rFonts w:hint="default" w:ascii="Times New Roman" w:hAnsi="Times New Roman" w:eastAsia="宋体" w:cs="Times New Roman"/>
          <w:b/>
          <w:caps w:val="0"/>
          <w:smallCaps w:val="0"/>
          <w:color w:val="auto"/>
          <w:spacing w:val="0"/>
          <w:w w:val="100"/>
          <w:kern w:val="0"/>
          <w:position w:val="0"/>
          <w:sz w:val="24"/>
          <w:szCs w:val="24"/>
          <w:u w:val="none" w:color="auto"/>
        </w:rPr>
        <w:t xml:space="preserve"> </w:t>
      </w: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b/>
          <w:bCs/>
          <w:color w:val="000000" w:themeColor="text1"/>
          <w:u w:val="none" w:color="auto"/>
          <w14:textFill>
            <w14:solidFill>
              <w14:schemeClr w14:val="tx1"/>
            </w14:solidFill>
          </w14:textFill>
        </w:rPr>
        <w:t>饮食业油烟排放标准</w:t>
      </w:r>
    </w:p>
    <w:tbl>
      <w:tblPr>
        <w:tblStyle w:val="114"/>
        <w:tblW w:w="503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2755"/>
        <w:gridCol w:w="2135"/>
        <w:gridCol w:w="1948"/>
        <w:gridCol w:w="1552"/>
      </w:tblGrid>
      <w:tr w14:paraId="7A7C05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45" w:type="dxa"/>
            <w:tcBorders>
              <w:tl2br w:val="nil"/>
              <w:tr2bl w:val="nil"/>
            </w:tcBorders>
            <w:vAlign w:val="center"/>
          </w:tcPr>
          <w:p w14:paraId="067DB787">
            <w:pPr>
              <w:keepNext w:val="0"/>
              <w:keepLines w:val="0"/>
              <w:pageBreakBefore w:val="0"/>
              <w:widowControl w:val="0"/>
              <w:kinsoku/>
              <w:wordWrap/>
              <w:overflowPunct/>
              <w:topLinePunct w:val="0"/>
              <w:autoSpaceDE/>
              <w:autoSpaceDN/>
              <w:bidi w:val="0"/>
              <w:adjustRightInd w:val="0"/>
              <w:snapToGrid w:val="0"/>
              <w:spacing w:line="240" w:lineRule="auto"/>
              <w:ind w:left="0" w:firstLine="420"/>
              <w:jc w:val="center"/>
              <w:textAlignment w:val="auto"/>
              <w:rPr>
                <w:rFonts w:hint="default" w:ascii="Times New Roman" w:hAnsi="Times New Roman" w:eastAsia="宋体" w:cs="Times New Roman"/>
                <w:b/>
                <w:bCs/>
                <w:color w:val="000000" w:themeColor="text1"/>
                <w:sz w:val="21"/>
                <w:szCs w:val="21"/>
                <w:lang w:eastAsia="en-US"/>
                <w14:textFill>
                  <w14:solidFill>
                    <w14:schemeClr w14:val="tx1"/>
                  </w14:solidFill>
                </w14:textFill>
              </w:rPr>
            </w:pPr>
            <w:r>
              <w:rPr>
                <w:rFonts w:hint="default" w:ascii="Times New Roman" w:hAnsi="Times New Roman" w:eastAsia="宋体" w:cs="Times New Roman"/>
                <w:b/>
                <w:bCs/>
                <w:color w:val="000000" w:themeColor="text1"/>
                <w:sz w:val="21"/>
                <w:szCs w:val="21"/>
                <w:lang w:eastAsia="en-US"/>
                <w14:textFill>
                  <w14:solidFill>
                    <w14:schemeClr w14:val="tx1"/>
                  </w14:solidFill>
                </w14:textFill>
              </w:rPr>
              <w:t>项目</w:t>
            </w:r>
          </w:p>
        </w:tc>
        <w:tc>
          <w:tcPr>
            <w:tcW w:w="2128" w:type="dxa"/>
            <w:tcBorders>
              <w:tl2br w:val="nil"/>
              <w:tr2bl w:val="nil"/>
            </w:tcBorders>
            <w:vAlign w:val="center"/>
          </w:tcPr>
          <w:p w14:paraId="37DC73D1">
            <w:pPr>
              <w:keepNext w:val="0"/>
              <w:keepLines w:val="0"/>
              <w:pageBreakBefore w:val="0"/>
              <w:widowControl w:val="0"/>
              <w:kinsoku/>
              <w:wordWrap/>
              <w:overflowPunct/>
              <w:topLinePunct w:val="0"/>
              <w:autoSpaceDE/>
              <w:autoSpaceDN/>
              <w:bidi w:val="0"/>
              <w:adjustRightInd w:val="0"/>
              <w:snapToGrid w:val="0"/>
              <w:spacing w:line="240" w:lineRule="auto"/>
              <w:ind w:left="0" w:firstLine="420"/>
              <w:jc w:val="center"/>
              <w:textAlignment w:val="auto"/>
              <w:rPr>
                <w:rFonts w:hint="default" w:ascii="Times New Roman" w:hAnsi="Times New Roman" w:eastAsia="宋体" w:cs="Times New Roman"/>
                <w:color w:val="000000" w:themeColor="text1"/>
                <w:sz w:val="21"/>
                <w:szCs w:val="21"/>
                <w:lang w:eastAsia="en-US"/>
                <w14:textFill>
                  <w14:solidFill>
                    <w14:schemeClr w14:val="tx1"/>
                  </w14:solidFill>
                </w14:textFill>
              </w:rPr>
            </w:pPr>
            <w:r>
              <w:rPr>
                <w:rFonts w:hint="default" w:ascii="Times New Roman" w:hAnsi="Times New Roman" w:eastAsia="宋体" w:cs="Times New Roman"/>
                <w:color w:val="000000" w:themeColor="text1"/>
                <w:sz w:val="21"/>
                <w:szCs w:val="21"/>
                <w:lang w:eastAsia="en-US"/>
                <w14:textFill>
                  <w14:solidFill>
                    <w14:schemeClr w14:val="tx1"/>
                  </w14:solidFill>
                </w14:textFill>
              </w:rPr>
              <w:t>小型</w:t>
            </w:r>
          </w:p>
        </w:tc>
        <w:tc>
          <w:tcPr>
            <w:tcW w:w="1941" w:type="dxa"/>
            <w:tcBorders>
              <w:tl2br w:val="nil"/>
              <w:tr2bl w:val="nil"/>
            </w:tcBorders>
            <w:vAlign w:val="center"/>
          </w:tcPr>
          <w:p w14:paraId="4834E6DE">
            <w:pPr>
              <w:keepNext w:val="0"/>
              <w:keepLines w:val="0"/>
              <w:pageBreakBefore w:val="0"/>
              <w:widowControl w:val="0"/>
              <w:kinsoku/>
              <w:wordWrap/>
              <w:overflowPunct/>
              <w:topLinePunct w:val="0"/>
              <w:autoSpaceDE/>
              <w:autoSpaceDN/>
              <w:bidi w:val="0"/>
              <w:adjustRightInd w:val="0"/>
              <w:snapToGrid w:val="0"/>
              <w:spacing w:line="240" w:lineRule="auto"/>
              <w:ind w:left="0" w:firstLine="420"/>
              <w:jc w:val="center"/>
              <w:textAlignment w:val="auto"/>
              <w:rPr>
                <w:rFonts w:hint="default" w:ascii="Times New Roman" w:hAnsi="Times New Roman" w:eastAsia="宋体" w:cs="Times New Roman"/>
                <w:color w:val="000000" w:themeColor="text1"/>
                <w:sz w:val="21"/>
                <w:szCs w:val="21"/>
                <w:lang w:eastAsia="en-US"/>
                <w14:textFill>
                  <w14:solidFill>
                    <w14:schemeClr w14:val="tx1"/>
                  </w14:solidFill>
                </w14:textFill>
              </w:rPr>
            </w:pPr>
            <w:r>
              <w:rPr>
                <w:rFonts w:hint="default" w:ascii="Times New Roman" w:hAnsi="Times New Roman" w:eastAsia="宋体" w:cs="Times New Roman"/>
                <w:color w:val="000000" w:themeColor="text1"/>
                <w:sz w:val="21"/>
                <w:szCs w:val="21"/>
                <w:lang w:eastAsia="en-US"/>
                <w14:textFill>
                  <w14:solidFill>
                    <w14:schemeClr w14:val="tx1"/>
                  </w14:solidFill>
                </w14:textFill>
              </w:rPr>
              <w:t>中型</w:t>
            </w:r>
          </w:p>
        </w:tc>
        <w:tc>
          <w:tcPr>
            <w:tcW w:w="1547" w:type="dxa"/>
            <w:tcBorders>
              <w:tl2br w:val="nil"/>
              <w:tr2bl w:val="nil"/>
            </w:tcBorders>
            <w:vAlign w:val="center"/>
          </w:tcPr>
          <w:p w14:paraId="6FB587D2">
            <w:pPr>
              <w:keepNext w:val="0"/>
              <w:keepLines w:val="0"/>
              <w:pageBreakBefore w:val="0"/>
              <w:widowControl w:val="0"/>
              <w:kinsoku/>
              <w:wordWrap/>
              <w:overflowPunct/>
              <w:topLinePunct w:val="0"/>
              <w:autoSpaceDE/>
              <w:autoSpaceDN/>
              <w:bidi w:val="0"/>
              <w:adjustRightInd w:val="0"/>
              <w:snapToGrid w:val="0"/>
              <w:spacing w:line="240" w:lineRule="auto"/>
              <w:ind w:left="0" w:firstLine="420"/>
              <w:jc w:val="center"/>
              <w:textAlignment w:val="auto"/>
              <w:rPr>
                <w:rFonts w:hint="default" w:ascii="Times New Roman" w:hAnsi="Times New Roman" w:eastAsia="宋体" w:cs="Times New Roman"/>
                <w:color w:val="000000" w:themeColor="text1"/>
                <w:sz w:val="21"/>
                <w:szCs w:val="21"/>
                <w:lang w:eastAsia="en-US"/>
                <w14:textFill>
                  <w14:solidFill>
                    <w14:schemeClr w14:val="tx1"/>
                  </w14:solidFill>
                </w14:textFill>
              </w:rPr>
            </w:pPr>
            <w:r>
              <w:rPr>
                <w:rFonts w:hint="default" w:ascii="Times New Roman" w:hAnsi="Times New Roman" w:eastAsia="宋体" w:cs="Times New Roman"/>
                <w:color w:val="000000" w:themeColor="text1"/>
                <w:sz w:val="21"/>
                <w:szCs w:val="21"/>
                <w:lang w:eastAsia="en-US"/>
                <w14:textFill>
                  <w14:solidFill>
                    <w14:schemeClr w14:val="tx1"/>
                  </w14:solidFill>
                </w14:textFill>
              </w:rPr>
              <w:t>大型</w:t>
            </w:r>
          </w:p>
        </w:tc>
      </w:tr>
      <w:tr w14:paraId="0ADB07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45" w:type="dxa"/>
            <w:tcBorders>
              <w:tl2br w:val="nil"/>
              <w:tr2bl w:val="nil"/>
            </w:tcBorders>
            <w:vAlign w:val="center"/>
          </w:tcPr>
          <w:p w14:paraId="768B5F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00" w:themeColor="text1"/>
                <w:sz w:val="21"/>
                <w:szCs w:val="21"/>
                <w:lang w:eastAsia="en-US"/>
                <w14:textFill>
                  <w14:solidFill>
                    <w14:schemeClr w14:val="tx1"/>
                  </w14:solidFill>
                </w14:textFill>
              </w:rPr>
            </w:pPr>
            <w:r>
              <w:rPr>
                <w:rFonts w:hint="default" w:ascii="Times New Roman" w:hAnsi="Times New Roman" w:eastAsia="宋体" w:cs="Times New Roman"/>
                <w:b/>
                <w:bCs/>
                <w:color w:val="000000" w:themeColor="text1"/>
                <w:sz w:val="21"/>
                <w:szCs w:val="21"/>
                <w:lang w:eastAsia="en-US"/>
                <w14:textFill>
                  <w14:solidFill>
                    <w14:schemeClr w14:val="tx1"/>
                  </w14:solidFill>
                </w14:textFill>
              </w:rPr>
              <w:t>最高允许排放浓度（mg/m</w:t>
            </w:r>
            <w:r>
              <w:rPr>
                <w:rFonts w:hint="default" w:ascii="Times New Roman" w:hAnsi="Times New Roman" w:eastAsia="宋体" w:cs="Times New Roman"/>
                <w:b/>
                <w:bCs/>
                <w:color w:val="000000" w:themeColor="text1"/>
                <w:sz w:val="21"/>
                <w:szCs w:val="21"/>
                <w:vertAlign w:val="superscript"/>
                <w:lang w:eastAsia="en-US"/>
                <w14:textFill>
                  <w14:solidFill>
                    <w14:schemeClr w14:val="tx1"/>
                  </w14:solidFill>
                </w14:textFill>
              </w:rPr>
              <w:t>3</w:t>
            </w:r>
            <w:r>
              <w:rPr>
                <w:rFonts w:hint="default" w:ascii="Times New Roman" w:hAnsi="Times New Roman" w:eastAsia="宋体" w:cs="Times New Roman"/>
                <w:b/>
                <w:bCs/>
                <w:color w:val="000000" w:themeColor="text1"/>
                <w:sz w:val="21"/>
                <w:szCs w:val="21"/>
                <w:lang w:eastAsia="en-US"/>
                <w14:textFill>
                  <w14:solidFill>
                    <w14:schemeClr w14:val="tx1"/>
                  </w14:solidFill>
                </w14:textFill>
              </w:rPr>
              <w:t>）</w:t>
            </w:r>
          </w:p>
        </w:tc>
        <w:tc>
          <w:tcPr>
            <w:tcW w:w="5616" w:type="dxa"/>
            <w:gridSpan w:val="3"/>
            <w:tcBorders>
              <w:tl2br w:val="nil"/>
              <w:tr2bl w:val="nil"/>
            </w:tcBorders>
            <w:vAlign w:val="center"/>
          </w:tcPr>
          <w:p w14:paraId="12C31823">
            <w:pPr>
              <w:keepNext w:val="0"/>
              <w:keepLines w:val="0"/>
              <w:pageBreakBefore w:val="0"/>
              <w:widowControl w:val="0"/>
              <w:kinsoku/>
              <w:wordWrap/>
              <w:overflowPunct/>
              <w:topLinePunct w:val="0"/>
              <w:autoSpaceDE/>
              <w:autoSpaceDN/>
              <w:bidi w:val="0"/>
              <w:adjustRightInd w:val="0"/>
              <w:snapToGrid w:val="0"/>
              <w:spacing w:line="240" w:lineRule="auto"/>
              <w:ind w:left="0" w:firstLine="420"/>
              <w:jc w:val="center"/>
              <w:textAlignment w:val="auto"/>
              <w:rPr>
                <w:rFonts w:hint="default" w:ascii="Times New Roman" w:hAnsi="Times New Roman" w:eastAsia="宋体" w:cs="Times New Roman"/>
                <w:color w:val="000000" w:themeColor="text1"/>
                <w:sz w:val="21"/>
                <w:szCs w:val="21"/>
                <w:lang w:eastAsia="en-US"/>
                <w14:textFill>
                  <w14:solidFill>
                    <w14:schemeClr w14:val="tx1"/>
                  </w14:solidFill>
                </w14:textFill>
              </w:rPr>
            </w:pPr>
            <w:r>
              <w:rPr>
                <w:rFonts w:hint="default" w:ascii="Times New Roman" w:hAnsi="Times New Roman" w:eastAsia="宋体" w:cs="Times New Roman"/>
                <w:color w:val="000000" w:themeColor="text1"/>
                <w:sz w:val="21"/>
                <w:szCs w:val="21"/>
                <w:lang w:eastAsia="en-US"/>
                <w14:textFill>
                  <w14:solidFill>
                    <w14:schemeClr w14:val="tx1"/>
                  </w14:solidFill>
                </w14:textFill>
              </w:rPr>
              <w:t>2.0</w:t>
            </w:r>
          </w:p>
        </w:tc>
      </w:tr>
      <w:tr w14:paraId="4E443F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45" w:type="dxa"/>
            <w:tcBorders>
              <w:tl2br w:val="nil"/>
              <w:tr2bl w:val="nil"/>
            </w:tcBorders>
            <w:vAlign w:val="center"/>
          </w:tcPr>
          <w:p w14:paraId="1BBDBF9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219" w:firstLineChars="104"/>
              <w:jc w:val="both"/>
              <w:textAlignment w:val="auto"/>
              <w:rPr>
                <w:rFonts w:hint="default" w:ascii="Times New Roman" w:hAnsi="Times New Roman" w:eastAsia="宋体" w:cs="Times New Roman"/>
                <w:b/>
                <w:bCs/>
                <w:color w:val="000000" w:themeColor="text1"/>
                <w:sz w:val="21"/>
                <w:szCs w:val="21"/>
                <w:lang w:eastAsia="en-US"/>
                <w14:textFill>
                  <w14:solidFill>
                    <w14:schemeClr w14:val="tx1"/>
                  </w14:solidFill>
                </w14:textFill>
              </w:rPr>
            </w:pPr>
            <w:r>
              <w:rPr>
                <w:rFonts w:hint="default" w:ascii="Times New Roman" w:hAnsi="Times New Roman" w:eastAsia="宋体" w:cs="Times New Roman"/>
                <w:b/>
                <w:bCs/>
                <w:color w:val="000000" w:themeColor="text1"/>
                <w:sz w:val="21"/>
                <w:szCs w:val="21"/>
                <w:lang w:eastAsia="en-US"/>
                <w14:textFill>
                  <w14:solidFill>
                    <w14:schemeClr w14:val="tx1"/>
                  </w14:solidFill>
                </w14:textFill>
              </w:rPr>
              <w:t>净化设施最低去除率（%）</w:t>
            </w:r>
          </w:p>
        </w:tc>
        <w:tc>
          <w:tcPr>
            <w:tcW w:w="2128" w:type="dxa"/>
            <w:tcBorders>
              <w:tl2br w:val="nil"/>
              <w:tr2bl w:val="nil"/>
            </w:tcBorders>
            <w:vAlign w:val="center"/>
          </w:tcPr>
          <w:p w14:paraId="381DDBE3">
            <w:pPr>
              <w:keepNext w:val="0"/>
              <w:keepLines w:val="0"/>
              <w:pageBreakBefore w:val="0"/>
              <w:widowControl w:val="0"/>
              <w:kinsoku/>
              <w:wordWrap/>
              <w:overflowPunct/>
              <w:topLinePunct w:val="0"/>
              <w:autoSpaceDE/>
              <w:autoSpaceDN/>
              <w:bidi w:val="0"/>
              <w:adjustRightInd w:val="0"/>
              <w:snapToGrid w:val="0"/>
              <w:spacing w:line="240" w:lineRule="auto"/>
              <w:ind w:left="0" w:firstLine="420"/>
              <w:jc w:val="center"/>
              <w:textAlignment w:val="auto"/>
              <w:rPr>
                <w:rFonts w:hint="default" w:ascii="Times New Roman" w:hAnsi="Times New Roman" w:eastAsia="宋体" w:cs="Times New Roman"/>
                <w:color w:val="000000" w:themeColor="text1"/>
                <w:sz w:val="21"/>
                <w:szCs w:val="21"/>
                <w:lang w:eastAsia="en-US"/>
                <w14:textFill>
                  <w14:solidFill>
                    <w14:schemeClr w14:val="tx1"/>
                  </w14:solidFill>
                </w14:textFill>
              </w:rPr>
            </w:pPr>
            <w:r>
              <w:rPr>
                <w:rFonts w:hint="default" w:ascii="Times New Roman" w:hAnsi="Times New Roman" w:eastAsia="宋体" w:cs="Times New Roman"/>
                <w:color w:val="000000" w:themeColor="text1"/>
                <w:sz w:val="21"/>
                <w:szCs w:val="21"/>
                <w:lang w:eastAsia="en-US"/>
                <w14:textFill>
                  <w14:solidFill>
                    <w14:schemeClr w14:val="tx1"/>
                  </w14:solidFill>
                </w14:textFill>
              </w:rPr>
              <w:t>60</w:t>
            </w:r>
          </w:p>
        </w:tc>
        <w:tc>
          <w:tcPr>
            <w:tcW w:w="1941" w:type="dxa"/>
            <w:tcBorders>
              <w:tl2br w:val="nil"/>
              <w:tr2bl w:val="nil"/>
            </w:tcBorders>
            <w:vAlign w:val="center"/>
          </w:tcPr>
          <w:p w14:paraId="709992C1">
            <w:pPr>
              <w:keepNext w:val="0"/>
              <w:keepLines w:val="0"/>
              <w:pageBreakBefore w:val="0"/>
              <w:widowControl w:val="0"/>
              <w:kinsoku/>
              <w:wordWrap/>
              <w:overflowPunct/>
              <w:topLinePunct w:val="0"/>
              <w:autoSpaceDE/>
              <w:autoSpaceDN/>
              <w:bidi w:val="0"/>
              <w:adjustRightInd w:val="0"/>
              <w:snapToGrid w:val="0"/>
              <w:spacing w:line="240" w:lineRule="auto"/>
              <w:ind w:left="0" w:firstLine="420"/>
              <w:jc w:val="center"/>
              <w:textAlignment w:val="auto"/>
              <w:rPr>
                <w:rFonts w:hint="default" w:ascii="Times New Roman" w:hAnsi="Times New Roman" w:eastAsia="宋体" w:cs="Times New Roman"/>
                <w:color w:val="000000" w:themeColor="text1"/>
                <w:sz w:val="21"/>
                <w:szCs w:val="21"/>
                <w:lang w:eastAsia="en-US"/>
                <w14:textFill>
                  <w14:solidFill>
                    <w14:schemeClr w14:val="tx1"/>
                  </w14:solidFill>
                </w14:textFill>
              </w:rPr>
            </w:pPr>
            <w:r>
              <w:rPr>
                <w:rFonts w:hint="default" w:ascii="Times New Roman" w:hAnsi="Times New Roman" w:eastAsia="宋体" w:cs="Times New Roman"/>
                <w:color w:val="000000" w:themeColor="text1"/>
                <w:sz w:val="21"/>
                <w:szCs w:val="21"/>
                <w:lang w:eastAsia="en-US"/>
                <w14:textFill>
                  <w14:solidFill>
                    <w14:schemeClr w14:val="tx1"/>
                  </w14:solidFill>
                </w14:textFill>
              </w:rPr>
              <w:t>75</w:t>
            </w:r>
          </w:p>
        </w:tc>
        <w:tc>
          <w:tcPr>
            <w:tcW w:w="1547" w:type="dxa"/>
            <w:tcBorders>
              <w:tl2br w:val="nil"/>
              <w:tr2bl w:val="nil"/>
            </w:tcBorders>
            <w:vAlign w:val="center"/>
          </w:tcPr>
          <w:p w14:paraId="73A8C516">
            <w:pPr>
              <w:keepNext w:val="0"/>
              <w:keepLines w:val="0"/>
              <w:pageBreakBefore w:val="0"/>
              <w:widowControl w:val="0"/>
              <w:kinsoku/>
              <w:wordWrap/>
              <w:overflowPunct/>
              <w:topLinePunct w:val="0"/>
              <w:autoSpaceDE/>
              <w:autoSpaceDN/>
              <w:bidi w:val="0"/>
              <w:adjustRightInd w:val="0"/>
              <w:snapToGrid w:val="0"/>
              <w:spacing w:line="240" w:lineRule="auto"/>
              <w:ind w:left="0" w:firstLine="420"/>
              <w:jc w:val="center"/>
              <w:textAlignment w:val="auto"/>
              <w:rPr>
                <w:rFonts w:hint="default" w:ascii="Times New Roman" w:hAnsi="Times New Roman" w:eastAsia="宋体" w:cs="Times New Roman"/>
                <w:color w:val="000000" w:themeColor="text1"/>
                <w:sz w:val="21"/>
                <w:szCs w:val="21"/>
                <w:lang w:eastAsia="en-US"/>
                <w14:textFill>
                  <w14:solidFill>
                    <w14:schemeClr w14:val="tx1"/>
                  </w14:solidFill>
                </w14:textFill>
              </w:rPr>
            </w:pPr>
            <w:r>
              <w:rPr>
                <w:rFonts w:hint="default" w:ascii="Times New Roman" w:hAnsi="Times New Roman" w:eastAsia="宋体" w:cs="Times New Roman"/>
                <w:color w:val="000000" w:themeColor="text1"/>
                <w:sz w:val="21"/>
                <w:szCs w:val="21"/>
                <w:lang w:eastAsia="en-US"/>
                <w14:textFill>
                  <w14:solidFill>
                    <w14:schemeClr w14:val="tx1"/>
                  </w14:solidFill>
                </w14:textFill>
              </w:rPr>
              <w:t>85</w:t>
            </w:r>
          </w:p>
        </w:tc>
      </w:tr>
    </w:tbl>
    <w:p w14:paraId="3617928A">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p>
    <w:p w14:paraId="3212D4D3">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（2）废水排放标准</w:t>
      </w:r>
    </w:p>
    <w:p w14:paraId="25DE288A">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auto"/>
          <w:spacing w:val="0"/>
          <w:w w:val="100"/>
          <w:position w:val="0"/>
          <w:sz w:val="24"/>
          <w:szCs w:val="24"/>
          <w:u w:val="none" w:color="auto"/>
        </w:rPr>
        <w:t>项目</w:t>
      </w:r>
      <w:r>
        <w:rPr>
          <w:rFonts w:hint="default" w:ascii="Times New Roman" w:hAnsi="Times New Roman" w:eastAsia="宋体" w:cs="Times New Roman"/>
          <w:color w:val="auto"/>
          <w:spacing w:val="0"/>
          <w:w w:val="100"/>
          <w:position w:val="0"/>
          <w:sz w:val="24"/>
          <w:szCs w:val="24"/>
          <w:u w:val="none" w:color="auto"/>
          <w:lang w:eastAsia="zh-CN"/>
        </w:rPr>
        <w:t>在饮用水水源保护区内禁止设置排放口，禁止排放污水。施工期不设施工营地，施工人员产生的生活污水当地依托租用民房化粪池处理；施工期生产废水经处理后回用，不外排。运营期员工</w:t>
      </w:r>
      <w:r>
        <w:rPr>
          <w:rFonts w:hint="default" w:ascii="Times New Roman" w:hAnsi="Times New Roman" w:eastAsia="宋体" w:cs="Times New Roman"/>
          <w:color w:val="000000"/>
          <w:kern w:val="0"/>
          <w:sz w:val="24"/>
          <w:szCs w:val="24"/>
          <w:lang w:val="en-US" w:eastAsia="zh-CN" w:bidi="ar"/>
        </w:rPr>
        <w:t>生活污水经化粪池处理后回用于周边田地施肥，不外排。</w:t>
      </w:r>
    </w:p>
    <w:p w14:paraId="08299031">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（3）噪声排放标准</w:t>
      </w:r>
    </w:p>
    <w:p w14:paraId="5399B07B">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施工期间施工场界噪声执行《建筑施工场界环境噪声排放标准》（GB12523-2011）；营运期厂界噪声执行《工业企业厂界环境噪声排放标准》（GB12348-2008）中的1类标准，相关标准值见表1.5-</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9</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09E4A9BC">
      <w:pPr>
        <w:keepNext w:val="0"/>
        <w:keepLines w:val="0"/>
        <w:pageBreakBefore w:val="0"/>
        <w:widowControl w:val="0"/>
        <w:kinsoku w:val="0"/>
        <w:wordWrap w:val="0"/>
        <w:overflowPunct/>
        <w:topLinePunct/>
        <w:autoSpaceDE/>
        <w:autoSpaceDN/>
        <w:bidi w:val="0"/>
        <w:adjustRightInd w:val="0"/>
        <w:snapToGrid/>
        <w:spacing w:line="360" w:lineRule="auto"/>
        <w:jc w:val="center"/>
        <w:textAlignment w:val="auto"/>
        <w:rPr>
          <w:rFonts w:hint="default" w:ascii="Times New Roman" w:hAnsi="Times New Roman" w:eastAsia="宋体" w:cs="Times New Roman"/>
          <w:b/>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b/>
          <w:caps w:val="0"/>
          <w:smallCaps w:val="0"/>
          <w:color w:val="auto"/>
          <w:spacing w:val="0"/>
          <w:w w:val="100"/>
          <w:kern w:val="0"/>
          <w:position w:val="0"/>
          <w:sz w:val="24"/>
          <w:szCs w:val="24"/>
          <w:u w:val="none" w:color="auto"/>
        </w:rPr>
        <w:t>表1.5-</w:t>
      </w: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9</w:t>
      </w:r>
      <w:r>
        <w:rPr>
          <w:rFonts w:hint="default" w:ascii="Times New Roman" w:hAnsi="Times New Roman" w:eastAsia="宋体" w:cs="Times New Roman"/>
          <w:b/>
          <w:caps w:val="0"/>
          <w:smallCaps w:val="0"/>
          <w:color w:val="auto"/>
          <w:spacing w:val="0"/>
          <w:w w:val="100"/>
          <w:kern w:val="0"/>
          <w:position w:val="0"/>
          <w:sz w:val="24"/>
          <w:szCs w:val="24"/>
          <w:u w:val="none" w:color="auto"/>
        </w:rPr>
        <w:t xml:space="preserve">  噪声排放</w:t>
      </w:r>
      <w:r>
        <w:rPr>
          <w:rFonts w:hint="default" w:ascii="Times New Roman" w:hAnsi="Times New Roman" w:eastAsia="宋体" w:cs="Times New Roman"/>
          <w:b/>
          <w:caps w:val="0"/>
          <w:smallCaps w:val="0"/>
          <w:color w:val="auto"/>
          <w:spacing w:val="0"/>
          <w:w w:val="100"/>
          <w:kern w:val="0"/>
          <w:position w:val="0"/>
          <w:sz w:val="24"/>
          <w:szCs w:val="24"/>
          <w:u w:val="none" w:color="auto"/>
          <w:lang w:eastAsia="zh-CN"/>
        </w:rPr>
        <w:t>标准限值</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8"/>
        <w:gridCol w:w="5426"/>
        <w:gridCol w:w="954"/>
        <w:gridCol w:w="1268"/>
      </w:tblGrid>
      <w:tr w14:paraId="21F05A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6" w:type="dxa"/>
            <w:vMerge w:val="restart"/>
            <w:tcBorders>
              <w:tl2br w:val="nil"/>
              <w:tr2bl w:val="nil"/>
            </w:tcBorders>
            <w:vAlign w:val="center"/>
          </w:tcPr>
          <w:p w14:paraId="4B8B727B">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val="0"/>
                <w:caps w:val="0"/>
                <w:smallCaps w:val="0"/>
                <w:color w:val="auto"/>
                <w:spacing w:val="0"/>
                <w:w w:val="100"/>
                <w:position w:val="0"/>
                <w:szCs w:val="21"/>
                <w:u w:val="none" w:color="auto"/>
                <w:lang w:eastAsia="zh-CN"/>
              </w:rPr>
            </w:pPr>
            <w:bookmarkStart w:id="73" w:name="_Toc200422362"/>
            <w:r>
              <w:rPr>
                <w:rFonts w:hint="default" w:ascii="Times New Roman" w:hAnsi="Times New Roman" w:eastAsia="宋体" w:cs="Times New Roman"/>
                <w:b/>
                <w:bCs w:val="0"/>
                <w:caps w:val="0"/>
                <w:smallCaps w:val="0"/>
                <w:color w:val="auto"/>
                <w:spacing w:val="0"/>
                <w:w w:val="100"/>
                <w:position w:val="0"/>
                <w:szCs w:val="21"/>
                <w:u w:val="none" w:color="auto"/>
              </w:rPr>
              <w:t>时</w:t>
            </w:r>
            <w:r>
              <w:rPr>
                <w:rFonts w:hint="default" w:ascii="Times New Roman" w:hAnsi="Times New Roman" w:eastAsia="宋体" w:cs="Times New Roman"/>
                <w:b/>
                <w:bCs w:val="0"/>
                <w:caps w:val="0"/>
                <w:smallCaps w:val="0"/>
                <w:color w:val="auto"/>
                <w:spacing w:val="0"/>
                <w:w w:val="100"/>
                <w:position w:val="0"/>
                <w:szCs w:val="21"/>
                <w:u w:val="none" w:color="auto"/>
                <w:lang w:eastAsia="zh-CN"/>
              </w:rPr>
              <w:t>段</w:t>
            </w:r>
          </w:p>
        </w:tc>
        <w:tc>
          <w:tcPr>
            <w:tcW w:w="5805" w:type="dxa"/>
            <w:vMerge w:val="restart"/>
            <w:tcBorders>
              <w:tl2br w:val="nil"/>
              <w:tr2bl w:val="nil"/>
            </w:tcBorders>
            <w:vAlign w:val="center"/>
          </w:tcPr>
          <w:p w14:paraId="231BC449">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val="0"/>
                <w:caps w:val="0"/>
                <w:smallCaps w:val="0"/>
                <w:color w:val="auto"/>
                <w:spacing w:val="0"/>
                <w:w w:val="100"/>
                <w:position w:val="0"/>
                <w:szCs w:val="21"/>
                <w:u w:val="none" w:color="auto"/>
              </w:rPr>
            </w:pPr>
            <w:r>
              <w:rPr>
                <w:rFonts w:hint="default" w:ascii="Times New Roman" w:hAnsi="Times New Roman" w:eastAsia="宋体" w:cs="Times New Roman"/>
                <w:b/>
                <w:bCs w:val="0"/>
                <w:caps w:val="0"/>
                <w:smallCaps w:val="0"/>
                <w:color w:val="auto"/>
                <w:spacing w:val="0"/>
                <w:w w:val="100"/>
                <w:position w:val="0"/>
                <w:szCs w:val="21"/>
                <w:u w:val="none" w:color="auto"/>
              </w:rPr>
              <w:t>执行标准</w:t>
            </w:r>
          </w:p>
        </w:tc>
        <w:tc>
          <w:tcPr>
            <w:tcW w:w="2351" w:type="dxa"/>
            <w:gridSpan w:val="2"/>
            <w:tcBorders>
              <w:tl2br w:val="nil"/>
              <w:tr2bl w:val="nil"/>
            </w:tcBorders>
            <w:vAlign w:val="center"/>
          </w:tcPr>
          <w:p w14:paraId="0C49E653">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val="0"/>
                <w:caps w:val="0"/>
                <w:smallCaps w:val="0"/>
                <w:color w:val="auto"/>
                <w:spacing w:val="0"/>
                <w:w w:val="100"/>
                <w:position w:val="0"/>
                <w:szCs w:val="21"/>
                <w:u w:val="none" w:color="auto"/>
              </w:rPr>
            </w:pPr>
            <w:r>
              <w:rPr>
                <w:rFonts w:hint="default" w:ascii="Times New Roman" w:hAnsi="Times New Roman" w:eastAsia="宋体" w:cs="Times New Roman"/>
                <w:b/>
                <w:bCs w:val="0"/>
                <w:caps w:val="0"/>
                <w:smallCaps w:val="0"/>
                <w:color w:val="auto"/>
                <w:spacing w:val="0"/>
                <w:w w:val="100"/>
                <w:position w:val="0"/>
                <w:szCs w:val="21"/>
                <w:u w:val="none" w:color="auto"/>
                <w:lang w:eastAsia="zh-CN"/>
              </w:rPr>
              <w:t>标准</w:t>
            </w:r>
            <w:r>
              <w:rPr>
                <w:rFonts w:hint="default" w:ascii="Times New Roman" w:hAnsi="Times New Roman" w:eastAsia="宋体" w:cs="Times New Roman"/>
                <w:b/>
                <w:bCs w:val="0"/>
                <w:caps w:val="0"/>
                <w:smallCaps w:val="0"/>
                <w:color w:val="auto"/>
                <w:spacing w:val="0"/>
                <w:w w:val="100"/>
                <w:position w:val="0"/>
                <w:szCs w:val="21"/>
                <w:u w:val="none" w:color="auto"/>
              </w:rPr>
              <w:t>限值〔dB（A）〕</w:t>
            </w:r>
          </w:p>
        </w:tc>
      </w:tr>
      <w:tr w14:paraId="6C82B5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6" w:type="dxa"/>
            <w:vMerge w:val="continue"/>
            <w:tcBorders>
              <w:tl2br w:val="nil"/>
              <w:tr2bl w:val="nil"/>
            </w:tcBorders>
            <w:vAlign w:val="center"/>
          </w:tcPr>
          <w:p w14:paraId="235ED6D4">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val="0"/>
                <w:caps w:val="0"/>
                <w:smallCaps w:val="0"/>
                <w:color w:val="auto"/>
                <w:spacing w:val="0"/>
                <w:w w:val="100"/>
                <w:position w:val="0"/>
                <w:szCs w:val="21"/>
                <w:u w:val="none" w:color="auto"/>
              </w:rPr>
            </w:pPr>
          </w:p>
        </w:tc>
        <w:tc>
          <w:tcPr>
            <w:tcW w:w="5805" w:type="dxa"/>
            <w:vMerge w:val="continue"/>
            <w:tcBorders>
              <w:tl2br w:val="nil"/>
              <w:tr2bl w:val="nil"/>
            </w:tcBorders>
            <w:vAlign w:val="center"/>
          </w:tcPr>
          <w:p w14:paraId="2CE8BDE8">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val="0"/>
                <w:caps w:val="0"/>
                <w:smallCaps w:val="0"/>
                <w:color w:val="auto"/>
                <w:spacing w:val="0"/>
                <w:w w:val="100"/>
                <w:position w:val="0"/>
                <w:szCs w:val="21"/>
                <w:u w:val="none" w:color="auto"/>
              </w:rPr>
            </w:pPr>
          </w:p>
        </w:tc>
        <w:tc>
          <w:tcPr>
            <w:tcW w:w="1007" w:type="dxa"/>
            <w:tcBorders>
              <w:tl2br w:val="nil"/>
              <w:tr2bl w:val="nil"/>
            </w:tcBorders>
            <w:vAlign w:val="center"/>
          </w:tcPr>
          <w:p w14:paraId="1E6FF387">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val="0"/>
                <w:caps w:val="0"/>
                <w:smallCaps w:val="0"/>
                <w:color w:val="auto"/>
                <w:spacing w:val="0"/>
                <w:w w:val="100"/>
                <w:position w:val="0"/>
                <w:szCs w:val="21"/>
                <w:u w:val="none" w:color="auto"/>
              </w:rPr>
            </w:pPr>
            <w:r>
              <w:rPr>
                <w:rFonts w:hint="default" w:ascii="Times New Roman" w:hAnsi="Times New Roman" w:eastAsia="宋体" w:cs="Times New Roman"/>
                <w:b/>
                <w:bCs w:val="0"/>
                <w:caps w:val="0"/>
                <w:smallCaps w:val="0"/>
                <w:color w:val="auto"/>
                <w:spacing w:val="0"/>
                <w:w w:val="100"/>
                <w:position w:val="0"/>
                <w:szCs w:val="21"/>
                <w:u w:val="none" w:color="auto"/>
              </w:rPr>
              <w:t>昼间</w:t>
            </w:r>
          </w:p>
        </w:tc>
        <w:tc>
          <w:tcPr>
            <w:tcW w:w="1344" w:type="dxa"/>
            <w:tcBorders>
              <w:tl2br w:val="nil"/>
              <w:tr2bl w:val="nil"/>
            </w:tcBorders>
            <w:vAlign w:val="center"/>
          </w:tcPr>
          <w:p w14:paraId="009AB2B0">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val="0"/>
                <w:caps w:val="0"/>
                <w:smallCaps w:val="0"/>
                <w:color w:val="auto"/>
                <w:spacing w:val="0"/>
                <w:w w:val="100"/>
                <w:position w:val="0"/>
                <w:szCs w:val="21"/>
                <w:u w:val="none" w:color="auto"/>
              </w:rPr>
            </w:pPr>
            <w:r>
              <w:rPr>
                <w:rFonts w:hint="default" w:ascii="Times New Roman" w:hAnsi="Times New Roman" w:eastAsia="宋体" w:cs="Times New Roman"/>
                <w:b/>
                <w:bCs w:val="0"/>
                <w:caps w:val="0"/>
                <w:smallCaps w:val="0"/>
                <w:color w:val="auto"/>
                <w:spacing w:val="0"/>
                <w:w w:val="100"/>
                <w:position w:val="0"/>
                <w:szCs w:val="21"/>
                <w:u w:val="none" w:color="auto"/>
              </w:rPr>
              <w:t>夜间</w:t>
            </w:r>
          </w:p>
        </w:tc>
      </w:tr>
      <w:tr w14:paraId="52DFCB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6" w:type="dxa"/>
            <w:tcBorders>
              <w:tl2br w:val="nil"/>
              <w:tr2bl w:val="nil"/>
            </w:tcBorders>
            <w:vAlign w:val="center"/>
          </w:tcPr>
          <w:p w14:paraId="4BDB9115">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val="0"/>
                <w:caps w:val="0"/>
                <w:smallCaps w:val="0"/>
                <w:color w:val="auto"/>
                <w:spacing w:val="0"/>
                <w:w w:val="100"/>
                <w:position w:val="0"/>
                <w:szCs w:val="21"/>
                <w:u w:val="none" w:color="auto"/>
              </w:rPr>
            </w:pPr>
            <w:r>
              <w:rPr>
                <w:rFonts w:hint="default" w:ascii="Times New Roman" w:hAnsi="Times New Roman" w:eastAsia="宋体" w:cs="Times New Roman"/>
                <w:b/>
                <w:bCs w:val="0"/>
                <w:caps w:val="0"/>
                <w:smallCaps w:val="0"/>
                <w:color w:val="auto"/>
                <w:spacing w:val="0"/>
                <w:w w:val="100"/>
                <w:position w:val="0"/>
                <w:szCs w:val="21"/>
                <w:u w:val="none" w:color="auto"/>
              </w:rPr>
              <w:t>施工期</w:t>
            </w:r>
          </w:p>
        </w:tc>
        <w:tc>
          <w:tcPr>
            <w:tcW w:w="5805" w:type="dxa"/>
            <w:tcBorders>
              <w:tl2br w:val="nil"/>
              <w:tr2bl w:val="nil"/>
            </w:tcBorders>
            <w:vAlign w:val="center"/>
          </w:tcPr>
          <w:p w14:paraId="3E19CEAF">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《建筑施工场界环境噪声排放标准》（GB12523-2011）</w:t>
            </w:r>
          </w:p>
        </w:tc>
        <w:tc>
          <w:tcPr>
            <w:tcW w:w="1007" w:type="dxa"/>
            <w:tcBorders>
              <w:tl2br w:val="nil"/>
              <w:tr2bl w:val="nil"/>
            </w:tcBorders>
            <w:vAlign w:val="center"/>
          </w:tcPr>
          <w:p w14:paraId="60621690">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70</w:t>
            </w:r>
          </w:p>
        </w:tc>
        <w:tc>
          <w:tcPr>
            <w:tcW w:w="1344" w:type="dxa"/>
            <w:tcBorders>
              <w:tl2br w:val="nil"/>
              <w:tr2bl w:val="nil"/>
            </w:tcBorders>
            <w:vAlign w:val="center"/>
          </w:tcPr>
          <w:p w14:paraId="5038700E">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55</w:t>
            </w:r>
          </w:p>
        </w:tc>
      </w:tr>
      <w:tr w14:paraId="41D3B0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6" w:type="dxa"/>
            <w:tcBorders>
              <w:tl2br w:val="nil"/>
              <w:tr2bl w:val="nil"/>
            </w:tcBorders>
            <w:vAlign w:val="center"/>
          </w:tcPr>
          <w:p w14:paraId="0428B0CE">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val="0"/>
                <w:caps w:val="0"/>
                <w:smallCaps w:val="0"/>
                <w:color w:val="auto"/>
                <w:spacing w:val="0"/>
                <w:w w:val="100"/>
                <w:position w:val="0"/>
                <w:szCs w:val="21"/>
                <w:u w:val="none" w:color="auto"/>
              </w:rPr>
            </w:pPr>
            <w:r>
              <w:rPr>
                <w:rFonts w:hint="default" w:ascii="Times New Roman" w:hAnsi="Times New Roman" w:eastAsia="宋体" w:cs="Times New Roman"/>
                <w:b/>
                <w:bCs w:val="0"/>
                <w:caps w:val="0"/>
                <w:smallCaps w:val="0"/>
                <w:color w:val="auto"/>
                <w:spacing w:val="0"/>
                <w:w w:val="100"/>
                <w:position w:val="0"/>
                <w:szCs w:val="21"/>
                <w:u w:val="none" w:color="auto"/>
              </w:rPr>
              <w:t>营运期</w:t>
            </w:r>
          </w:p>
        </w:tc>
        <w:tc>
          <w:tcPr>
            <w:tcW w:w="5805" w:type="dxa"/>
            <w:tcBorders>
              <w:tl2br w:val="nil"/>
              <w:tr2bl w:val="nil"/>
            </w:tcBorders>
            <w:vAlign w:val="center"/>
          </w:tcPr>
          <w:p w14:paraId="4BDB2D16">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《工业企业厂界环境噪声排放标准》（GB12348-2008）</w:t>
            </w:r>
          </w:p>
          <w:p w14:paraId="5C9B2C3E">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1类标准</w:t>
            </w:r>
          </w:p>
        </w:tc>
        <w:tc>
          <w:tcPr>
            <w:tcW w:w="1007" w:type="dxa"/>
            <w:tcBorders>
              <w:tl2br w:val="nil"/>
              <w:tr2bl w:val="nil"/>
            </w:tcBorders>
            <w:vAlign w:val="center"/>
          </w:tcPr>
          <w:p w14:paraId="5B332B6E">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55</w:t>
            </w:r>
          </w:p>
        </w:tc>
        <w:tc>
          <w:tcPr>
            <w:tcW w:w="1344" w:type="dxa"/>
            <w:tcBorders>
              <w:tl2br w:val="nil"/>
              <w:tr2bl w:val="nil"/>
            </w:tcBorders>
            <w:vAlign w:val="center"/>
          </w:tcPr>
          <w:p w14:paraId="308105C6">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45</w:t>
            </w:r>
          </w:p>
        </w:tc>
      </w:tr>
      <w:bookmarkEnd w:id="73"/>
    </w:tbl>
    <w:p w14:paraId="4AF7E13C">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（4）固体废物</w:t>
      </w:r>
    </w:p>
    <w:p w14:paraId="3491D97B">
      <w:pPr>
        <w:keepNext w:val="0"/>
        <w:keepLines w:val="0"/>
        <w:pageBreakBefore w:val="0"/>
        <w:widowControl w:val="0"/>
        <w:overflowPunct/>
        <w:autoSpaceDE/>
        <w:autoSpaceDN/>
        <w:bidi w:val="0"/>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eastAsia="zh-CN"/>
        </w:rPr>
      </w:pPr>
      <w:bookmarkStart w:id="74" w:name="_Toc72569627"/>
      <w:bookmarkStart w:id="75" w:name="_Toc445479491"/>
      <w:bookmarkStart w:id="76" w:name="_Toc5981501"/>
      <w:bookmarkStart w:id="77" w:name="_Toc15319398"/>
      <w:r>
        <w:rPr>
          <w:rFonts w:hint="default" w:ascii="Times New Roman" w:hAnsi="Times New Roman" w:eastAsia="宋体" w:cs="Times New Roman"/>
          <w:caps w:val="0"/>
          <w:smallCaps w:val="0"/>
          <w:color w:val="auto"/>
          <w:spacing w:val="0"/>
          <w:w w:val="100"/>
          <w:kern w:val="0"/>
          <w:position w:val="0"/>
          <w:sz w:val="24"/>
          <w:szCs w:val="24"/>
          <w:u w:val="none" w:color="auto"/>
        </w:rPr>
        <w:t>一般固体废弃物执行《一般工业固体废物贮存和填埋污染控制标准》（GB18599-2020）相关要求；危险废物执行《危险废物贮存污染控制标准》（</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GB18597-2023</w:t>
      </w:r>
      <w:r>
        <w:rPr>
          <w:rFonts w:hint="default" w:ascii="Times New Roman" w:hAnsi="Times New Roman" w:eastAsia="宋体" w:cs="Times New Roman"/>
          <w:caps w:val="0"/>
          <w:smallCaps w:val="0"/>
          <w:color w:val="auto"/>
          <w:spacing w:val="0"/>
          <w:w w:val="100"/>
          <w:kern w:val="0"/>
          <w:position w:val="0"/>
          <w:sz w:val="24"/>
          <w:szCs w:val="24"/>
          <w:u w:val="none" w:color="auto"/>
        </w:rPr>
        <w:t>）相关要求</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 xml:space="preserve"> </w:t>
      </w:r>
    </w:p>
    <w:p w14:paraId="3AA9A582">
      <w:pPr>
        <w:pStyle w:val="3"/>
        <w:bidi w:val="0"/>
        <w:rPr>
          <w:rFonts w:hint="default" w:ascii="Times New Roman" w:hAnsi="Times New Roman" w:cs="Times New Roman"/>
        </w:rPr>
      </w:pPr>
      <w:bookmarkStart w:id="78" w:name="_Toc18638"/>
      <w:r>
        <w:rPr>
          <w:rFonts w:hint="default" w:ascii="Times New Roman" w:hAnsi="Times New Roman" w:cs="Times New Roman"/>
        </w:rPr>
        <w:t>评价等级及评价范围</w:t>
      </w:r>
      <w:bookmarkEnd w:id="78"/>
    </w:p>
    <w:p w14:paraId="7AF78BB5">
      <w:pPr>
        <w:pStyle w:val="4"/>
        <w:bidi w:val="0"/>
        <w:rPr>
          <w:rFonts w:hint="default" w:ascii="Times New Roman" w:hAnsi="Times New Roman" w:cs="Times New Roman"/>
        </w:rPr>
      </w:pPr>
      <w:bookmarkStart w:id="79" w:name="_Toc22682"/>
      <w:r>
        <w:rPr>
          <w:rFonts w:hint="default" w:ascii="Times New Roman" w:hAnsi="Times New Roman" w:cs="Times New Roman"/>
        </w:rPr>
        <w:t>评价等级</w:t>
      </w:r>
      <w:bookmarkEnd w:id="79"/>
    </w:p>
    <w:p w14:paraId="08B9D346">
      <w:pPr>
        <w:keepNext w:val="0"/>
        <w:keepLines w:val="0"/>
        <w:pageBreakBefore w:val="0"/>
        <w:widowControl w:val="0"/>
        <w:kinsoku/>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大气环境</w:t>
      </w:r>
    </w:p>
    <w:p w14:paraId="2EC712DA">
      <w:pPr>
        <w:keepNext w:val="0"/>
        <w:keepLines w:val="0"/>
        <w:pageBreakBefore w:val="0"/>
        <w:widowControl w:val="0"/>
        <w:kinsoku/>
        <w:wordWrap w:val="0"/>
        <w:overflowPunct/>
        <w:topLinePunct/>
        <w:autoSpaceDE/>
        <w:autoSpaceDN/>
        <w:bidi w:val="0"/>
        <w:adjustRightInd w:val="0"/>
        <w:snapToGrid/>
        <w:spacing w:line="500" w:lineRule="exact"/>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本工程属于生态影响型项目，根据项目特点，本项目大气污染物排放主要集中在施工期。施工期主要污染物为运输扬尘、施工机械废气、车辆尾气等，主要污染因子为TSP、NO</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x</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、SO</w:t>
      </w:r>
      <w:r>
        <w:rPr>
          <w:rFonts w:hint="default" w:ascii="Times New Roman" w:hAnsi="Times New Roman" w:eastAsia="宋体" w:cs="Times New Roman"/>
          <w:caps w:val="0"/>
          <w:smallCaps w:val="0"/>
          <w:color w:val="auto"/>
          <w:spacing w:val="0"/>
          <w:w w:val="100"/>
          <w:kern w:val="0"/>
          <w:position w:val="0"/>
          <w:sz w:val="24"/>
          <w:szCs w:val="24"/>
          <w:u w:val="none" w:color="auto"/>
          <w:vertAlign w:val="subscript"/>
          <w:lang w:eastAsia="zh-CN"/>
        </w:rPr>
        <w:t>2</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等；运营期主要为水库管理所食堂油烟。鉴于施工期各大气污染物排放量及排放浓度均具有不稳定性，排放量小</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且为无组织排放，具有间歇性、分布散的特点，同时</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只集中在施工期间，仅为暂时性的，随着施工期结束影响即消除。根据《环境影响评价技术导则 大气环境》（HJ2.2-2018）中关于大气环境影响评价工作等级划分依据，本项目大气环境影响评价等级为三级。</w:t>
      </w:r>
    </w:p>
    <w:p w14:paraId="17C82B75">
      <w:pPr>
        <w:keepNext w:val="0"/>
        <w:keepLines w:val="0"/>
        <w:pageBreakBefore w:val="0"/>
        <w:widowControl w:val="0"/>
        <w:kinsoku/>
        <w:wordWrap w:val="0"/>
        <w:overflowPunct/>
        <w:topLinePunct/>
        <w:autoSpaceDE/>
        <w:autoSpaceDN/>
        <w:bidi w:val="0"/>
        <w:adjustRightInd w:val="0"/>
        <w:snapToGrid/>
        <w:spacing w:line="500" w:lineRule="exact"/>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（2）地表水环境</w:t>
      </w:r>
    </w:p>
    <w:p w14:paraId="467F5099">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本项目施工期废水主要为施工人员生活污水、施工废水等，施工废水循环利用不外排，生活污水依托周边民房现有处理设施。根据《环境影响评价技术导则－地表水环境》（HJ2.3－2018）中地表水环境影响评价工作分级要求，本工程对地表水的影响为水文影响型，水文要素影响型建设项目评价等级判定见表1.6-1。</w:t>
      </w:r>
    </w:p>
    <w:p w14:paraId="3D7579F7">
      <w:pPr>
        <w:pageBreakBefore w:val="0"/>
        <w:kinsoku w:val="0"/>
        <w:wordWrap w:val="0"/>
        <w:overflowPunct/>
        <w:topLinePunct/>
        <w:autoSpaceDE/>
        <w:autoSpaceDN/>
        <w:bidi w:val="0"/>
        <w:adjustRightInd w:val="0"/>
        <w:spacing w:line="500" w:lineRule="exact"/>
        <w:jc w:val="center"/>
        <w:rPr>
          <w:rFonts w:hint="default" w:ascii="Times New Roman" w:hAnsi="Times New Roman" w:eastAsia="宋体" w:cs="Times New Roman"/>
          <w:b/>
          <w:caps w:val="0"/>
          <w:smallCaps w:val="0"/>
          <w:color w:val="auto"/>
          <w:spacing w:val="0"/>
          <w:w w:val="100"/>
          <w:kern w:val="0"/>
          <w:position w:val="0"/>
          <w:sz w:val="24"/>
          <w:szCs w:val="24"/>
          <w:u w:val="none" w:color="auto"/>
        </w:rPr>
      </w:pPr>
      <w:bookmarkStart w:id="80" w:name="bookmark86"/>
      <w:bookmarkStart w:id="81" w:name="bookmark87"/>
      <w:r>
        <w:rPr>
          <w:rFonts w:hint="default" w:ascii="Times New Roman" w:hAnsi="Times New Roman" w:eastAsia="宋体" w:cs="Times New Roman"/>
          <w:b/>
          <w:caps w:val="0"/>
          <w:smallCaps w:val="0"/>
          <w:color w:val="auto"/>
          <w:spacing w:val="0"/>
          <w:w w:val="100"/>
          <w:kern w:val="0"/>
          <w:position w:val="0"/>
          <w:sz w:val="24"/>
          <w:szCs w:val="24"/>
          <w:u w:val="none" w:color="auto"/>
        </w:rPr>
        <w:t>表1.6-1  水文要素影响型建设项目评价等级判定</w:t>
      </w:r>
      <w:bookmarkEnd w:id="80"/>
      <w:bookmarkEnd w:id="81"/>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702"/>
        <w:gridCol w:w="1271"/>
        <w:gridCol w:w="1127"/>
        <w:gridCol w:w="1019"/>
        <w:gridCol w:w="1491"/>
        <w:gridCol w:w="1427"/>
        <w:gridCol w:w="1293"/>
      </w:tblGrid>
      <w:tr w14:paraId="0BBC43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64" w:type="dxa"/>
            <w:vMerge w:val="restart"/>
            <w:tcBorders>
              <w:tl2br w:val="nil"/>
              <w:tr2bl w:val="nil"/>
            </w:tcBorders>
            <w:shd w:val="clear" w:color="auto" w:fill="FFFFFF"/>
            <w:vAlign w:val="center"/>
          </w:tcPr>
          <w:p w14:paraId="62AF43F1">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Style w:val="63"/>
                <w:rFonts w:hint="default" w:ascii="Times New Roman" w:hAnsi="Times New Roman" w:eastAsia="宋体" w:cs="Times New Roman"/>
                <w:b/>
                <w:bCs w:val="0"/>
                <w:caps w:val="0"/>
                <w:smallCaps w:val="0"/>
                <w:color w:val="auto"/>
                <w:spacing w:val="0"/>
                <w:w w:val="100"/>
                <w:position w:val="0"/>
                <w:sz w:val="21"/>
                <w:szCs w:val="21"/>
                <w:u w:val="none" w:color="auto"/>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评价</w:t>
            </w:r>
          </w:p>
          <w:p w14:paraId="6812313D">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等级</w:t>
            </w:r>
          </w:p>
        </w:tc>
        <w:tc>
          <w:tcPr>
            <w:tcW w:w="1384" w:type="dxa"/>
            <w:tcBorders>
              <w:tl2br w:val="nil"/>
              <w:tr2bl w:val="nil"/>
            </w:tcBorders>
            <w:shd w:val="clear" w:color="auto" w:fill="FFFFFF"/>
            <w:vAlign w:val="center"/>
          </w:tcPr>
          <w:p w14:paraId="7E3672A4">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水温</w:t>
            </w:r>
          </w:p>
        </w:tc>
        <w:tc>
          <w:tcPr>
            <w:tcW w:w="2337" w:type="dxa"/>
            <w:gridSpan w:val="2"/>
            <w:tcBorders>
              <w:tl2br w:val="nil"/>
              <w:tr2bl w:val="nil"/>
            </w:tcBorders>
            <w:shd w:val="clear" w:color="auto" w:fill="FFFFFF"/>
            <w:vAlign w:val="center"/>
          </w:tcPr>
          <w:p w14:paraId="3CB3BFE8">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径流</w:t>
            </w:r>
          </w:p>
        </w:tc>
        <w:tc>
          <w:tcPr>
            <w:tcW w:w="4586" w:type="dxa"/>
            <w:gridSpan w:val="3"/>
            <w:tcBorders>
              <w:tl2br w:val="nil"/>
              <w:tr2bl w:val="nil"/>
            </w:tcBorders>
            <w:shd w:val="clear" w:color="auto" w:fill="FFFFFF"/>
            <w:vAlign w:val="center"/>
          </w:tcPr>
          <w:p w14:paraId="646A3376">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受影响地表水域</w:t>
            </w:r>
          </w:p>
        </w:tc>
      </w:tr>
      <w:tr w14:paraId="689F3A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64" w:type="dxa"/>
            <w:vMerge w:val="continue"/>
            <w:tcBorders>
              <w:tl2br w:val="nil"/>
              <w:tr2bl w:val="nil"/>
            </w:tcBorders>
            <w:shd w:val="clear" w:color="auto" w:fill="FFFFFF"/>
            <w:vAlign w:val="center"/>
          </w:tcPr>
          <w:p w14:paraId="4E7B7807">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p>
        </w:tc>
        <w:tc>
          <w:tcPr>
            <w:tcW w:w="1384" w:type="dxa"/>
            <w:vMerge w:val="restart"/>
            <w:tcBorders>
              <w:tl2br w:val="nil"/>
              <w:tr2bl w:val="nil"/>
            </w:tcBorders>
            <w:shd w:val="clear" w:color="auto" w:fill="FFFFFF"/>
            <w:vAlign w:val="center"/>
          </w:tcPr>
          <w:p w14:paraId="3CB99395">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年径流量与总库容百分比</w:t>
            </w:r>
            <w:r>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rPr>
              <w:t>a/%</w:t>
            </w:r>
          </w:p>
        </w:tc>
        <w:tc>
          <w:tcPr>
            <w:tcW w:w="1227" w:type="dxa"/>
            <w:vMerge w:val="restart"/>
            <w:tcBorders>
              <w:tl2br w:val="nil"/>
              <w:tr2bl w:val="nil"/>
            </w:tcBorders>
            <w:shd w:val="clear" w:color="auto" w:fill="FFFFFF"/>
            <w:vAlign w:val="center"/>
          </w:tcPr>
          <w:p w14:paraId="385043E2">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兴利库容与年径流量百分比</w:t>
            </w:r>
            <w:r>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eastAsia="en-US"/>
              </w:rPr>
              <w:t>β</w:t>
            </w:r>
            <w:r>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rPr>
              <w:t>/%</w:t>
            </w:r>
          </w:p>
        </w:tc>
        <w:tc>
          <w:tcPr>
            <w:tcW w:w="1110" w:type="dxa"/>
            <w:vMerge w:val="restart"/>
            <w:tcBorders>
              <w:tl2br w:val="nil"/>
              <w:tr2bl w:val="nil"/>
            </w:tcBorders>
            <w:shd w:val="clear" w:color="auto" w:fill="FFFFFF"/>
            <w:vAlign w:val="center"/>
          </w:tcPr>
          <w:p w14:paraId="365BBC63">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取水量占多年平均径流量百分比</w:t>
            </w:r>
            <w:r>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rPr>
              <w:t>ɤ%</w:t>
            </w:r>
          </w:p>
        </w:tc>
        <w:tc>
          <w:tcPr>
            <w:tcW w:w="3179" w:type="dxa"/>
            <w:gridSpan w:val="2"/>
            <w:tcBorders>
              <w:tl2br w:val="nil"/>
              <w:tr2bl w:val="nil"/>
            </w:tcBorders>
            <w:shd w:val="clear" w:color="auto" w:fill="FFFFFF"/>
            <w:vAlign w:val="center"/>
          </w:tcPr>
          <w:p w14:paraId="5E638E7B">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Style w:val="63"/>
                <w:rFonts w:hint="default" w:ascii="Times New Roman" w:hAnsi="Times New Roman" w:eastAsia="宋体" w:cs="Times New Roman"/>
                <w:b/>
                <w:bCs w:val="0"/>
                <w:caps w:val="0"/>
                <w:smallCaps w:val="0"/>
                <w:color w:val="auto"/>
                <w:spacing w:val="0"/>
                <w:w w:val="100"/>
                <w:position w:val="0"/>
                <w:sz w:val="21"/>
                <w:szCs w:val="21"/>
                <w:u w:val="none" w:color="auto"/>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工程垂直投影面积</w:t>
            </w:r>
          </w:p>
          <w:p w14:paraId="550982B4">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及外扩范围</w:t>
            </w:r>
            <w:r>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rPr>
              <w:t>A</w:t>
            </w:r>
            <w:r>
              <w:rPr>
                <w:rStyle w:val="63"/>
                <w:rFonts w:hint="default" w:ascii="Times New Roman" w:hAnsi="Times New Roman" w:eastAsia="宋体" w:cs="Times New Roman"/>
                <w:b/>
                <w:bCs w:val="0"/>
                <w:caps w:val="0"/>
                <w:smallCaps w:val="0"/>
                <w:color w:val="auto"/>
                <w:spacing w:val="0"/>
                <w:w w:val="100"/>
                <w:position w:val="0"/>
                <w:sz w:val="21"/>
                <w:szCs w:val="21"/>
                <w:u w:val="none" w:color="auto"/>
                <w:vertAlign w:val="subscript"/>
                <w:lang w:val="en-US"/>
              </w:rPr>
              <w:t>1</w:t>
            </w:r>
            <w:r>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rPr>
              <w:t>/km</w:t>
            </w:r>
            <w:r>
              <w:rPr>
                <w:rStyle w:val="63"/>
                <w:rFonts w:hint="default" w:ascii="Times New Roman" w:hAnsi="Times New Roman" w:eastAsia="宋体" w:cs="Times New Roman"/>
                <w:b/>
                <w:bCs w:val="0"/>
                <w:caps w:val="0"/>
                <w:smallCaps w:val="0"/>
                <w:color w:val="auto"/>
                <w:spacing w:val="0"/>
                <w:w w:val="100"/>
                <w:position w:val="0"/>
                <w:sz w:val="21"/>
                <w:szCs w:val="21"/>
                <w:u w:val="none" w:color="auto"/>
                <w:vertAlign w:val="superscript"/>
                <w:lang w:val="en-US"/>
              </w:rPr>
              <w:t>2</w:t>
            </w:r>
            <w:r>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rPr>
              <w:t>；</w:t>
            </w:r>
          </w:p>
          <w:p w14:paraId="440D620A">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Style w:val="63"/>
                <w:rFonts w:hint="default" w:ascii="Times New Roman" w:hAnsi="Times New Roman" w:eastAsia="宋体" w:cs="Times New Roman"/>
                <w:b/>
                <w:bCs w:val="0"/>
                <w:caps w:val="0"/>
                <w:smallCaps w:val="0"/>
                <w:color w:val="auto"/>
                <w:spacing w:val="0"/>
                <w:w w:val="100"/>
                <w:position w:val="0"/>
                <w:sz w:val="21"/>
                <w:szCs w:val="21"/>
                <w:u w:val="none" w:color="auto"/>
                <w:vertAlign w:val="subscript"/>
                <w:lang w:val="en-US"/>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工程扰动水底面积</w:t>
            </w:r>
            <w:r>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rPr>
              <w:t>A</w:t>
            </w:r>
            <w:r>
              <w:rPr>
                <w:rStyle w:val="63"/>
                <w:rFonts w:hint="default" w:ascii="Times New Roman" w:hAnsi="Times New Roman" w:eastAsia="宋体" w:cs="Times New Roman"/>
                <w:b/>
                <w:bCs w:val="0"/>
                <w:caps w:val="0"/>
                <w:smallCaps w:val="0"/>
                <w:color w:val="auto"/>
                <w:spacing w:val="0"/>
                <w:w w:val="100"/>
                <w:position w:val="0"/>
                <w:sz w:val="21"/>
                <w:szCs w:val="21"/>
                <w:u w:val="none" w:color="auto"/>
                <w:vertAlign w:val="subscript"/>
                <w:lang w:val="en-US"/>
              </w:rPr>
              <w:t>2</w:t>
            </w:r>
            <w:r>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rPr>
              <w:t>/km</w:t>
            </w:r>
            <w:r>
              <w:rPr>
                <w:rStyle w:val="63"/>
                <w:rFonts w:hint="default" w:ascii="Times New Roman" w:hAnsi="Times New Roman" w:eastAsia="宋体" w:cs="Times New Roman"/>
                <w:b/>
                <w:bCs w:val="0"/>
                <w:caps w:val="0"/>
                <w:smallCaps w:val="0"/>
                <w:color w:val="auto"/>
                <w:spacing w:val="0"/>
                <w:w w:val="100"/>
                <w:position w:val="0"/>
                <w:sz w:val="21"/>
                <w:szCs w:val="21"/>
                <w:u w:val="none" w:color="auto"/>
                <w:vertAlign w:val="superscript"/>
                <w:lang w:val="en-US"/>
              </w:rPr>
              <w:t>2</w:t>
            </w:r>
            <w:r>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rPr>
              <w:t>；</w:t>
            </w:r>
          </w:p>
          <w:p w14:paraId="42A5683B">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过水断面宽度占用比例或占用水域面积比例</w:t>
            </w:r>
            <w:r>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rPr>
              <w:t>R/%</w:t>
            </w:r>
          </w:p>
        </w:tc>
        <w:tc>
          <w:tcPr>
            <w:tcW w:w="1407" w:type="dxa"/>
            <w:tcBorders>
              <w:tl2br w:val="nil"/>
              <w:tr2bl w:val="nil"/>
            </w:tcBorders>
            <w:shd w:val="clear" w:color="auto" w:fill="FFFFFF"/>
            <w:vAlign w:val="center"/>
          </w:tcPr>
          <w:p w14:paraId="5C67F524">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工程垂直投影面积及外扩范围</w:t>
            </w:r>
            <w:r>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rPr>
              <w:t>A</w:t>
            </w:r>
            <w:r>
              <w:rPr>
                <w:rStyle w:val="63"/>
                <w:rFonts w:hint="default" w:ascii="Times New Roman" w:hAnsi="Times New Roman" w:eastAsia="宋体" w:cs="Times New Roman"/>
                <w:b/>
                <w:bCs w:val="0"/>
                <w:caps w:val="0"/>
                <w:smallCaps w:val="0"/>
                <w:color w:val="auto"/>
                <w:spacing w:val="0"/>
                <w:w w:val="100"/>
                <w:position w:val="0"/>
                <w:sz w:val="21"/>
                <w:szCs w:val="21"/>
                <w:u w:val="none" w:color="auto"/>
                <w:vertAlign w:val="subscript"/>
                <w:lang w:val="en-US"/>
              </w:rPr>
              <w:t>1</w:t>
            </w:r>
            <w:r>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rPr>
              <w:t>/km</w:t>
            </w:r>
            <w:r>
              <w:rPr>
                <w:rStyle w:val="63"/>
                <w:rFonts w:hint="default" w:ascii="Times New Roman" w:hAnsi="Times New Roman" w:eastAsia="宋体" w:cs="Times New Roman"/>
                <w:b/>
                <w:bCs w:val="0"/>
                <w:caps w:val="0"/>
                <w:smallCaps w:val="0"/>
                <w:color w:val="auto"/>
                <w:spacing w:val="0"/>
                <w:w w:val="100"/>
                <w:position w:val="0"/>
                <w:sz w:val="21"/>
                <w:szCs w:val="21"/>
                <w:u w:val="none" w:color="auto"/>
                <w:vertAlign w:val="superscript"/>
                <w:lang w:val="en-US"/>
              </w:rPr>
              <w:t>2</w:t>
            </w:r>
            <w:r>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rPr>
              <w:t>；</w:t>
            </w:r>
          </w:p>
          <w:p w14:paraId="5706877D">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工程扰动水底面积</w:t>
            </w:r>
            <w:r>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rPr>
              <w:t>A</w:t>
            </w:r>
            <w:r>
              <w:rPr>
                <w:rStyle w:val="63"/>
                <w:rFonts w:hint="default" w:ascii="Times New Roman" w:hAnsi="Times New Roman" w:eastAsia="宋体" w:cs="Times New Roman"/>
                <w:b/>
                <w:bCs w:val="0"/>
                <w:caps w:val="0"/>
                <w:smallCaps w:val="0"/>
                <w:color w:val="auto"/>
                <w:spacing w:val="0"/>
                <w:w w:val="100"/>
                <w:position w:val="0"/>
                <w:sz w:val="21"/>
                <w:szCs w:val="21"/>
                <w:u w:val="none" w:color="auto"/>
                <w:vertAlign w:val="subscript"/>
                <w:lang w:val="en-US"/>
              </w:rPr>
              <w:t>2</w:t>
            </w: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w:t>
            </w:r>
            <w:r>
              <w:rPr>
                <w:rStyle w:val="63"/>
                <w:rFonts w:hint="default" w:ascii="Times New Roman" w:hAnsi="Times New Roman" w:eastAsia="宋体" w:cs="Times New Roman"/>
                <w:b/>
                <w:bCs w:val="0"/>
                <w:caps w:val="0"/>
                <w:smallCaps w:val="0"/>
                <w:color w:val="auto"/>
                <w:spacing w:val="0"/>
                <w:w w:val="100"/>
                <w:position w:val="0"/>
                <w:sz w:val="21"/>
                <w:szCs w:val="21"/>
                <w:u w:val="none" w:color="auto"/>
                <w:lang w:val="en-US"/>
              </w:rPr>
              <w:t>km</w:t>
            </w:r>
            <w:r>
              <w:rPr>
                <w:rStyle w:val="63"/>
                <w:rFonts w:hint="default" w:ascii="Times New Roman" w:hAnsi="Times New Roman" w:eastAsia="宋体" w:cs="Times New Roman"/>
                <w:b/>
                <w:bCs w:val="0"/>
                <w:caps w:val="0"/>
                <w:smallCaps w:val="0"/>
                <w:color w:val="auto"/>
                <w:spacing w:val="0"/>
                <w:w w:val="100"/>
                <w:position w:val="0"/>
                <w:sz w:val="21"/>
                <w:szCs w:val="21"/>
                <w:u w:val="none" w:color="auto"/>
                <w:vertAlign w:val="superscript"/>
                <w:lang w:val="en-US"/>
              </w:rPr>
              <w:t>2</w:t>
            </w:r>
          </w:p>
        </w:tc>
      </w:tr>
      <w:tr w14:paraId="20855C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64" w:type="dxa"/>
            <w:vMerge w:val="continue"/>
            <w:tcBorders>
              <w:tl2br w:val="nil"/>
              <w:tr2bl w:val="nil"/>
            </w:tcBorders>
            <w:shd w:val="clear" w:color="auto" w:fill="FFFFFF"/>
            <w:vAlign w:val="center"/>
          </w:tcPr>
          <w:p w14:paraId="6E52A143">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p>
        </w:tc>
        <w:tc>
          <w:tcPr>
            <w:tcW w:w="1384" w:type="dxa"/>
            <w:vMerge w:val="continue"/>
            <w:tcBorders>
              <w:tl2br w:val="nil"/>
              <w:tr2bl w:val="nil"/>
            </w:tcBorders>
            <w:shd w:val="clear" w:color="auto" w:fill="FFFFFF"/>
            <w:vAlign w:val="center"/>
          </w:tcPr>
          <w:p w14:paraId="73689C94">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p>
        </w:tc>
        <w:tc>
          <w:tcPr>
            <w:tcW w:w="1227" w:type="dxa"/>
            <w:vMerge w:val="continue"/>
            <w:tcBorders>
              <w:tl2br w:val="nil"/>
              <w:tr2bl w:val="nil"/>
            </w:tcBorders>
            <w:shd w:val="clear" w:color="auto" w:fill="FFFFFF"/>
            <w:vAlign w:val="center"/>
          </w:tcPr>
          <w:p w14:paraId="230147C3">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p>
        </w:tc>
        <w:tc>
          <w:tcPr>
            <w:tcW w:w="1110" w:type="dxa"/>
            <w:vMerge w:val="continue"/>
            <w:tcBorders>
              <w:tl2br w:val="nil"/>
              <w:tr2bl w:val="nil"/>
            </w:tcBorders>
            <w:shd w:val="clear" w:color="auto" w:fill="FFFFFF"/>
            <w:vAlign w:val="center"/>
          </w:tcPr>
          <w:p w14:paraId="07A85B5B">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p>
        </w:tc>
        <w:tc>
          <w:tcPr>
            <w:tcW w:w="1624" w:type="dxa"/>
            <w:tcBorders>
              <w:tl2br w:val="nil"/>
              <w:tr2bl w:val="nil"/>
            </w:tcBorders>
            <w:shd w:val="clear" w:color="auto" w:fill="FFFFFF"/>
            <w:vAlign w:val="center"/>
          </w:tcPr>
          <w:p w14:paraId="1CD9D4CA">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河流</w:t>
            </w:r>
          </w:p>
        </w:tc>
        <w:tc>
          <w:tcPr>
            <w:tcW w:w="1555" w:type="dxa"/>
            <w:tcBorders>
              <w:tl2br w:val="nil"/>
              <w:tr2bl w:val="nil"/>
            </w:tcBorders>
            <w:shd w:val="clear" w:color="auto" w:fill="FFFFFF"/>
            <w:vAlign w:val="center"/>
          </w:tcPr>
          <w:p w14:paraId="24B365E1">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湖库</w:t>
            </w:r>
          </w:p>
        </w:tc>
        <w:tc>
          <w:tcPr>
            <w:tcW w:w="1407" w:type="dxa"/>
            <w:tcBorders>
              <w:tl2br w:val="nil"/>
              <w:tr2bl w:val="nil"/>
            </w:tcBorders>
            <w:shd w:val="clear" w:color="auto" w:fill="FFFFFF"/>
            <w:vAlign w:val="center"/>
          </w:tcPr>
          <w:p w14:paraId="4C6B039D">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入海河口、</w:t>
            </w:r>
          </w:p>
          <w:p w14:paraId="12B4A3E1">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140"/>
              <w:jc w:val="center"/>
              <w:textAlignment w:val="auto"/>
              <w:rPr>
                <w:rFonts w:hint="default" w:ascii="Times New Roman" w:hAnsi="Times New Roman" w:eastAsia="宋体" w:cs="Times New Roman"/>
                <w:b/>
                <w:bCs w:val="0"/>
                <w:caps w:val="0"/>
                <w:smallCaps w:val="0"/>
                <w:color w:val="auto"/>
                <w:spacing w:val="0"/>
                <w:w w:val="100"/>
                <w:position w:val="0"/>
                <w:sz w:val="21"/>
                <w:szCs w:val="21"/>
                <w:u w:val="none" w:color="auto"/>
              </w:rPr>
            </w:pPr>
            <w:r>
              <w:rPr>
                <w:rStyle w:val="63"/>
                <w:rFonts w:hint="default" w:ascii="Times New Roman" w:hAnsi="Times New Roman" w:eastAsia="宋体" w:cs="Times New Roman"/>
                <w:b/>
                <w:bCs w:val="0"/>
                <w:caps w:val="0"/>
                <w:smallCaps w:val="0"/>
                <w:color w:val="auto"/>
                <w:spacing w:val="0"/>
                <w:w w:val="100"/>
                <w:position w:val="0"/>
                <w:sz w:val="21"/>
                <w:szCs w:val="21"/>
                <w:u w:val="none" w:color="auto"/>
              </w:rPr>
              <w:t>近岸海域</w:t>
            </w:r>
          </w:p>
        </w:tc>
      </w:tr>
      <w:tr w14:paraId="7F03BB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64" w:type="dxa"/>
            <w:tcBorders>
              <w:tl2br w:val="nil"/>
              <w:tr2bl w:val="nil"/>
            </w:tcBorders>
            <w:shd w:val="clear" w:color="auto" w:fill="FFFFFF"/>
            <w:vAlign w:val="center"/>
          </w:tcPr>
          <w:p w14:paraId="1A5FE4A6">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rPr>
              <w:t>一级</w:t>
            </w:r>
          </w:p>
        </w:tc>
        <w:tc>
          <w:tcPr>
            <w:tcW w:w="1384" w:type="dxa"/>
            <w:tcBorders>
              <w:tl2br w:val="nil"/>
              <w:tr2bl w:val="nil"/>
            </w:tcBorders>
            <w:shd w:val="clear" w:color="auto" w:fill="FFFFFF"/>
            <w:vAlign w:val="center"/>
          </w:tcPr>
          <w:p w14:paraId="55857CC0">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a&lt;10；</w:t>
            </w:r>
            <w:r>
              <w:rPr>
                <w:rStyle w:val="63"/>
                <w:rFonts w:hint="default" w:ascii="Times New Roman" w:hAnsi="Times New Roman" w:eastAsia="宋体" w:cs="Times New Roman"/>
                <w:bCs/>
                <w:caps w:val="0"/>
                <w:smallCaps w:val="0"/>
                <w:color w:val="auto"/>
                <w:spacing w:val="0"/>
                <w:w w:val="100"/>
                <w:position w:val="0"/>
                <w:sz w:val="21"/>
                <w:szCs w:val="21"/>
                <w:u w:val="none" w:color="auto"/>
              </w:rPr>
              <w:t>或稳定分层</w:t>
            </w:r>
          </w:p>
        </w:tc>
        <w:tc>
          <w:tcPr>
            <w:tcW w:w="1227" w:type="dxa"/>
            <w:tcBorders>
              <w:tl2br w:val="nil"/>
              <w:tr2bl w:val="nil"/>
            </w:tcBorders>
            <w:shd w:val="clear" w:color="auto" w:fill="FFFFFF"/>
            <w:vAlign w:val="center"/>
          </w:tcPr>
          <w:p w14:paraId="31A1E628">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β</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rPr>
              <w:t>&gt;20；</w:t>
            </w:r>
            <w:r>
              <w:rPr>
                <w:rStyle w:val="63"/>
                <w:rFonts w:hint="default" w:ascii="Times New Roman" w:hAnsi="Times New Roman" w:eastAsia="宋体" w:cs="Times New Roman"/>
                <w:bCs/>
                <w:caps w:val="0"/>
                <w:smallCaps w:val="0"/>
                <w:color w:val="auto"/>
                <w:spacing w:val="0"/>
                <w:w w:val="100"/>
                <w:position w:val="0"/>
                <w:sz w:val="21"/>
                <w:szCs w:val="21"/>
                <w:u w:val="none" w:color="auto"/>
              </w:rPr>
              <w:t>或</w:t>
            </w:r>
          </w:p>
          <w:p w14:paraId="7720C296">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rPr>
              <w:t>完全年调节与多年调节</w:t>
            </w:r>
          </w:p>
        </w:tc>
        <w:tc>
          <w:tcPr>
            <w:tcW w:w="1110" w:type="dxa"/>
            <w:tcBorders>
              <w:tl2br w:val="nil"/>
              <w:tr2bl w:val="nil"/>
            </w:tcBorders>
            <w:shd w:val="clear" w:color="auto" w:fill="FFFFFF"/>
            <w:vAlign w:val="center"/>
          </w:tcPr>
          <w:p w14:paraId="4AC9D867">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ɤ&gt;30</w:t>
            </w:r>
          </w:p>
        </w:tc>
        <w:tc>
          <w:tcPr>
            <w:tcW w:w="1624" w:type="dxa"/>
            <w:tcBorders>
              <w:tl2br w:val="nil"/>
              <w:tr2bl w:val="nil"/>
            </w:tcBorders>
            <w:shd w:val="clear" w:color="auto" w:fill="FFFFFF"/>
            <w:vAlign w:val="center"/>
          </w:tcPr>
          <w:p w14:paraId="080F787F">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rPr>
              <w:t>1</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&gt;0.3；</w:t>
            </w:r>
            <w:r>
              <w:rPr>
                <w:rStyle w:val="63"/>
                <w:rFonts w:hint="default" w:ascii="Times New Roman" w:hAnsi="Times New Roman" w:eastAsia="宋体" w:cs="Times New Roman"/>
                <w:bCs/>
                <w:caps w:val="0"/>
                <w:smallCaps w:val="0"/>
                <w:color w:val="auto"/>
                <w:spacing w:val="0"/>
                <w:w w:val="100"/>
                <w:position w:val="0"/>
                <w:sz w:val="21"/>
                <w:szCs w:val="21"/>
                <w:u w:val="none" w:color="auto"/>
              </w:rPr>
              <w:t>或</w:t>
            </w:r>
          </w:p>
          <w:p w14:paraId="406DE290">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eastAsia="en-US"/>
              </w:rPr>
              <w:t>2</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&gt;1.5；</w:t>
            </w:r>
            <w:r>
              <w:rPr>
                <w:rStyle w:val="63"/>
                <w:rFonts w:hint="default" w:ascii="Times New Roman" w:hAnsi="Times New Roman" w:eastAsia="宋体" w:cs="Times New Roman"/>
                <w:bCs/>
                <w:caps w:val="0"/>
                <w:smallCaps w:val="0"/>
                <w:color w:val="auto"/>
                <w:spacing w:val="0"/>
                <w:w w:val="100"/>
                <w:position w:val="0"/>
                <w:sz w:val="21"/>
                <w:szCs w:val="21"/>
                <w:u w:val="none" w:color="auto"/>
              </w:rPr>
              <w:t>或</w:t>
            </w:r>
          </w:p>
          <w:p w14:paraId="6139E620">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R&gt;10</w:t>
            </w:r>
          </w:p>
        </w:tc>
        <w:tc>
          <w:tcPr>
            <w:tcW w:w="1555" w:type="dxa"/>
            <w:tcBorders>
              <w:tl2br w:val="nil"/>
              <w:tr2bl w:val="nil"/>
            </w:tcBorders>
            <w:shd w:val="clear" w:color="auto" w:fill="FFFFFF"/>
            <w:vAlign w:val="center"/>
          </w:tcPr>
          <w:p w14:paraId="3D540086">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rPr>
              <w:t>1</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&gt;0.3；</w:t>
            </w:r>
            <w:r>
              <w:rPr>
                <w:rStyle w:val="63"/>
                <w:rFonts w:hint="default" w:ascii="Times New Roman" w:hAnsi="Times New Roman" w:eastAsia="宋体" w:cs="Times New Roman"/>
                <w:bCs/>
                <w:caps w:val="0"/>
                <w:smallCaps w:val="0"/>
                <w:color w:val="auto"/>
                <w:spacing w:val="0"/>
                <w:w w:val="100"/>
                <w:position w:val="0"/>
                <w:sz w:val="21"/>
                <w:szCs w:val="21"/>
                <w:u w:val="none" w:color="auto"/>
              </w:rPr>
              <w:t>或</w:t>
            </w:r>
          </w:p>
          <w:p w14:paraId="624E99C3">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eastAsia="en-US"/>
              </w:rPr>
              <w:t>2</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&gt;1.5；</w:t>
            </w:r>
            <w:r>
              <w:rPr>
                <w:rStyle w:val="63"/>
                <w:rFonts w:hint="default" w:ascii="Times New Roman" w:hAnsi="Times New Roman" w:eastAsia="宋体" w:cs="Times New Roman"/>
                <w:bCs/>
                <w:caps w:val="0"/>
                <w:smallCaps w:val="0"/>
                <w:color w:val="auto"/>
                <w:spacing w:val="0"/>
                <w:w w:val="100"/>
                <w:position w:val="0"/>
                <w:sz w:val="21"/>
                <w:szCs w:val="21"/>
                <w:u w:val="none" w:color="auto"/>
              </w:rPr>
              <w:t>或</w:t>
            </w:r>
          </w:p>
          <w:p w14:paraId="35CB4F70">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R&gt;20</w:t>
            </w:r>
          </w:p>
        </w:tc>
        <w:tc>
          <w:tcPr>
            <w:tcW w:w="1407" w:type="dxa"/>
            <w:tcBorders>
              <w:tl2br w:val="nil"/>
              <w:tr2bl w:val="nil"/>
            </w:tcBorders>
            <w:shd w:val="clear" w:color="auto" w:fill="FFFFFF"/>
            <w:vAlign w:val="center"/>
          </w:tcPr>
          <w:p w14:paraId="30B6542F">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rPr>
              <w:t>1</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&gt;0.5；</w:t>
            </w:r>
            <w:r>
              <w:rPr>
                <w:rStyle w:val="63"/>
                <w:rFonts w:hint="default" w:ascii="Times New Roman" w:hAnsi="Times New Roman" w:eastAsia="宋体" w:cs="Times New Roman"/>
                <w:bCs/>
                <w:caps w:val="0"/>
                <w:smallCaps w:val="0"/>
                <w:color w:val="auto"/>
                <w:spacing w:val="0"/>
                <w:w w:val="100"/>
                <w:position w:val="0"/>
                <w:sz w:val="21"/>
                <w:szCs w:val="21"/>
                <w:u w:val="none" w:color="auto"/>
              </w:rPr>
              <w:t>或</w:t>
            </w:r>
          </w:p>
          <w:p w14:paraId="0F648214">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eastAsia="en-US"/>
              </w:rPr>
              <w:t>2</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&gt;3</w:t>
            </w:r>
          </w:p>
        </w:tc>
      </w:tr>
      <w:tr w14:paraId="1A7B5F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64" w:type="dxa"/>
            <w:tcBorders>
              <w:tl2br w:val="nil"/>
              <w:tr2bl w:val="nil"/>
            </w:tcBorders>
            <w:shd w:val="clear" w:color="auto" w:fill="FFFFFF"/>
            <w:vAlign w:val="center"/>
          </w:tcPr>
          <w:p w14:paraId="7798C603">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rPr>
              <w:t>二级</w:t>
            </w:r>
          </w:p>
        </w:tc>
        <w:tc>
          <w:tcPr>
            <w:tcW w:w="1384" w:type="dxa"/>
            <w:tcBorders>
              <w:tl2br w:val="nil"/>
              <w:tr2bl w:val="nil"/>
            </w:tcBorders>
            <w:shd w:val="clear" w:color="auto" w:fill="FFFFFF"/>
            <w:vAlign w:val="center"/>
          </w:tcPr>
          <w:p w14:paraId="33A9A367">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20&gt;a&gt;10；</w:t>
            </w:r>
            <w:r>
              <w:rPr>
                <w:rStyle w:val="63"/>
                <w:rFonts w:hint="default" w:ascii="Times New Roman" w:hAnsi="Times New Roman" w:eastAsia="宋体" w:cs="Times New Roman"/>
                <w:bCs/>
                <w:caps w:val="0"/>
                <w:smallCaps w:val="0"/>
                <w:color w:val="auto"/>
                <w:spacing w:val="0"/>
                <w:w w:val="100"/>
                <w:position w:val="0"/>
                <w:sz w:val="21"/>
                <w:szCs w:val="21"/>
                <w:u w:val="none" w:color="auto"/>
              </w:rPr>
              <w:t>或不稳定分层</w:t>
            </w:r>
          </w:p>
        </w:tc>
        <w:tc>
          <w:tcPr>
            <w:tcW w:w="1227" w:type="dxa"/>
            <w:tcBorders>
              <w:tl2br w:val="nil"/>
              <w:tr2bl w:val="nil"/>
            </w:tcBorders>
            <w:shd w:val="clear" w:color="auto" w:fill="FFFFFF"/>
            <w:vAlign w:val="center"/>
          </w:tcPr>
          <w:p w14:paraId="64659EF0">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rPr>
              <w:t>20&gt;</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β</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rPr>
              <w:t>&gt;</w:t>
            </w:r>
            <w:r>
              <w:rPr>
                <w:rStyle w:val="63"/>
                <w:rFonts w:hint="default" w:ascii="Times New Roman" w:hAnsi="Times New Roman" w:eastAsia="宋体" w:cs="Times New Roman"/>
                <w:bCs/>
                <w:caps w:val="0"/>
                <w:smallCaps w:val="0"/>
                <w:color w:val="auto"/>
                <w:spacing w:val="0"/>
                <w:w w:val="100"/>
                <w:position w:val="0"/>
                <w:sz w:val="21"/>
                <w:szCs w:val="21"/>
                <w:u w:val="none" w:color="auto"/>
              </w:rPr>
              <w:t>2；或季调节与不完全年调节</w:t>
            </w:r>
          </w:p>
        </w:tc>
        <w:tc>
          <w:tcPr>
            <w:tcW w:w="1110" w:type="dxa"/>
            <w:tcBorders>
              <w:tl2br w:val="nil"/>
              <w:tr2bl w:val="nil"/>
            </w:tcBorders>
            <w:shd w:val="clear" w:color="auto" w:fill="FFFFFF"/>
            <w:vAlign w:val="center"/>
          </w:tcPr>
          <w:p w14:paraId="551EFCF3">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30&gt;ɤ&gt;</w:t>
            </w:r>
            <w:r>
              <w:rPr>
                <w:rStyle w:val="63"/>
                <w:rFonts w:hint="default" w:ascii="Times New Roman" w:hAnsi="Times New Roman" w:eastAsia="宋体" w:cs="Times New Roman"/>
                <w:bCs/>
                <w:caps w:val="0"/>
                <w:smallCaps w:val="0"/>
                <w:color w:val="auto"/>
                <w:spacing w:val="0"/>
                <w:w w:val="100"/>
                <w:position w:val="0"/>
                <w:sz w:val="21"/>
                <w:szCs w:val="21"/>
                <w:u w:val="none" w:color="auto"/>
              </w:rPr>
              <w:t>10</w:t>
            </w:r>
          </w:p>
        </w:tc>
        <w:tc>
          <w:tcPr>
            <w:tcW w:w="1624" w:type="dxa"/>
            <w:tcBorders>
              <w:tl2br w:val="nil"/>
              <w:tr2bl w:val="nil"/>
            </w:tcBorders>
            <w:shd w:val="clear" w:color="auto" w:fill="FFFFFF"/>
            <w:vAlign w:val="center"/>
          </w:tcPr>
          <w:p w14:paraId="33566EB5">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0.3&gt;A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rPr>
              <w:t>1</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&gt;0.05；</w:t>
            </w:r>
            <w:r>
              <w:rPr>
                <w:rStyle w:val="63"/>
                <w:rFonts w:hint="default" w:ascii="Times New Roman" w:hAnsi="Times New Roman" w:eastAsia="宋体" w:cs="Times New Roman"/>
                <w:bCs/>
                <w:caps w:val="0"/>
                <w:smallCaps w:val="0"/>
                <w:color w:val="auto"/>
                <w:spacing w:val="0"/>
                <w:w w:val="100"/>
                <w:position w:val="0"/>
                <w:sz w:val="21"/>
                <w:szCs w:val="21"/>
                <w:u w:val="none" w:color="auto"/>
              </w:rPr>
              <w:t>或1.5&gt;</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eastAsia="en-US"/>
              </w:rPr>
              <w:t>2</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&gt;0.2；</w:t>
            </w:r>
            <w:r>
              <w:rPr>
                <w:rStyle w:val="63"/>
                <w:rFonts w:hint="default" w:ascii="Times New Roman" w:hAnsi="Times New Roman" w:eastAsia="宋体" w:cs="Times New Roman"/>
                <w:bCs/>
                <w:caps w:val="0"/>
                <w:smallCaps w:val="0"/>
                <w:color w:val="auto"/>
                <w:spacing w:val="0"/>
                <w:w w:val="100"/>
                <w:position w:val="0"/>
                <w:sz w:val="21"/>
                <w:szCs w:val="21"/>
                <w:u w:val="none" w:color="auto"/>
              </w:rPr>
              <w:t>或10</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&gt;R&gt;5</w:t>
            </w:r>
          </w:p>
        </w:tc>
        <w:tc>
          <w:tcPr>
            <w:tcW w:w="1555" w:type="dxa"/>
            <w:tcBorders>
              <w:tl2br w:val="nil"/>
              <w:tr2bl w:val="nil"/>
            </w:tcBorders>
            <w:shd w:val="clear" w:color="auto" w:fill="FFFFFF"/>
            <w:vAlign w:val="center"/>
          </w:tcPr>
          <w:p w14:paraId="48A14446">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0.3&gt;A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rPr>
              <w:t>1</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&gt;0.05；</w:t>
            </w:r>
            <w:r>
              <w:rPr>
                <w:rStyle w:val="63"/>
                <w:rFonts w:hint="default" w:ascii="Times New Roman" w:hAnsi="Times New Roman" w:eastAsia="宋体" w:cs="Times New Roman"/>
                <w:bCs/>
                <w:caps w:val="0"/>
                <w:smallCaps w:val="0"/>
                <w:color w:val="auto"/>
                <w:spacing w:val="0"/>
                <w:w w:val="100"/>
                <w:position w:val="0"/>
                <w:sz w:val="21"/>
                <w:szCs w:val="21"/>
                <w:u w:val="none" w:color="auto"/>
              </w:rPr>
              <w:t>或</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1.5&gt;A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eastAsia="en-US"/>
              </w:rPr>
              <w:t>2</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&gt;0.2；</w:t>
            </w:r>
          </w:p>
          <w:p w14:paraId="27470E41">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rPr>
              <w:t>或</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20&gt;R&gt;5</w:t>
            </w:r>
          </w:p>
        </w:tc>
        <w:tc>
          <w:tcPr>
            <w:tcW w:w="1407" w:type="dxa"/>
            <w:tcBorders>
              <w:tl2br w:val="nil"/>
              <w:tr2bl w:val="nil"/>
            </w:tcBorders>
            <w:shd w:val="clear" w:color="auto" w:fill="FFFFFF"/>
            <w:vAlign w:val="center"/>
          </w:tcPr>
          <w:p w14:paraId="43F04B3E">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0.5&gt;A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rPr>
              <w:t>1</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&gt;0.15；</w:t>
            </w:r>
            <w:r>
              <w:rPr>
                <w:rStyle w:val="63"/>
                <w:rFonts w:hint="default" w:ascii="Times New Roman" w:hAnsi="Times New Roman" w:eastAsia="宋体" w:cs="Times New Roman"/>
                <w:bCs/>
                <w:caps w:val="0"/>
                <w:smallCaps w:val="0"/>
                <w:color w:val="auto"/>
                <w:spacing w:val="0"/>
                <w:w w:val="100"/>
                <w:position w:val="0"/>
                <w:sz w:val="21"/>
                <w:szCs w:val="21"/>
                <w:u w:val="none" w:color="auto"/>
              </w:rPr>
              <w:t>或</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3&gt;A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eastAsia="en-US"/>
              </w:rPr>
              <w:t>2</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&gt;0.5</w:t>
            </w:r>
          </w:p>
        </w:tc>
      </w:tr>
      <w:tr w14:paraId="4C44F3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64" w:type="dxa"/>
            <w:tcBorders>
              <w:tl2br w:val="nil"/>
              <w:tr2bl w:val="nil"/>
            </w:tcBorders>
            <w:shd w:val="clear" w:color="auto" w:fill="FFFFFF"/>
            <w:vAlign w:val="center"/>
          </w:tcPr>
          <w:p w14:paraId="75140544">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rPr>
              <w:t>三级</w:t>
            </w:r>
          </w:p>
        </w:tc>
        <w:tc>
          <w:tcPr>
            <w:tcW w:w="1384" w:type="dxa"/>
            <w:tcBorders>
              <w:tl2br w:val="nil"/>
              <w:tr2bl w:val="nil"/>
            </w:tcBorders>
            <w:shd w:val="clear" w:color="auto" w:fill="FFFFFF"/>
            <w:vAlign w:val="center"/>
          </w:tcPr>
          <w:p w14:paraId="45D43709">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a&gt;20；</w:t>
            </w:r>
            <w:r>
              <w:rPr>
                <w:rStyle w:val="63"/>
                <w:rFonts w:hint="default" w:ascii="Times New Roman" w:hAnsi="Times New Roman" w:eastAsia="宋体" w:cs="Times New Roman"/>
                <w:bCs/>
                <w:caps w:val="0"/>
                <w:smallCaps w:val="0"/>
                <w:color w:val="auto"/>
                <w:spacing w:val="0"/>
                <w:w w:val="100"/>
                <w:position w:val="0"/>
                <w:sz w:val="21"/>
                <w:szCs w:val="21"/>
                <w:u w:val="none" w:color="auto"/>
              </w:rPr>
              <w:t>或混合型</w:t>
            </w:r>
          </w:p>
        </w:tc>
        <w:tc>
          <w:tcPr>
            <w:tcW w:w="1227" w:type="dxa"/>
            <w:tcBorders>
              <w:tl2br w:val="nil"/>
              <w:tr2bl w:val="nil"/>
            </w:tcBorders>
            <w:shd w:val="clear" w:color="auto" w:fill="FFFFFF"/>
            <w:vAlign w:val="center"/>
          </w:tcPr>
          <w:p w14:paraId="69E3F46B">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β&lt;2；</w:t>
            </w:r>
            <w:r>
              <w:rPr>
                <w:rStyle w:val="63"/>
                <w:rFonts w:hint="default" w:ascii="Times New Roman" w:hAnsi="Times New Roman" w:eastAsia="宋体" w:cs="Times New Roman"/>
                <w:bCs/>
                <w:caps w:val="0"/>
                <w:smallCaps w:val="0"/>
                <w:color w:val="auto"/>
                <w:spacing w:val="0"/>
                <w:w w:val="100"/>
                <w:position w:val="0"/>
                <w:sz w:val="21"/>
                <w:szCs w:val="21"/>
                <w:u w:val="none" w:color="auto"/>
              </w:rPr>
              <w:t>或无调节径流</w:t>
            </w:r>
          </w:p>
        </w:tc>
        <w:tc>
          <w:tcPr>
            <w:tcW w:w="1110" w:type="dxa"/>
            <w:tcBorders>
              <w:tl2br w:val="nil"/>
              <w:tr2bl w:val="nil"/>
            </w:tcBorders>
            <w:shd w:val="clear" w:color="auto" w:fill="FFFFFF"/>
            <w:vAlign w:val="center"/>
          </w:tcPr>
          <w:p w14:paraId="054A9AE4">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ɤ&lt;10</w:t>
            </w:r>
          </w:p>
        </w:tc>
        <w:tc>
          <w:tcPr>
            <w:tcW w:w="1624" w:type="dxa"/>
            <w:tcBorders>
              <w:tl2br w:val="nil"/>
              <w:tr2bl w:val="nil"/>
            </w:tcBorders>
            <w:shd w:val="clear" w:color="auto" w:fill="FFFFFF"/>
            <w:vAlign w:val="center"/>
          </w:tcPr>
          <w:p w14:paraId="27873BCE">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rPr>
              <w:t>1</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&lt;0.05；</w:t>
            </w:r>
            <w:r>
              <w:rPr>
                <w:rStyle w:val="63"/>
                <w:rFonts w:hint="default" w:ascii="Times New Roman" w:hAnsi="Times New Roman" w:eastAsia="宋体" w:cs="Times New Roman"/>
                <w:bCs/>
                <w:caps w:val="0"/>
                <w:smallCaps w:val="0"/>
                <w:color w:val="auto"/>
                <w:spacing w:val="0"/>
                <w:w w:val="100"/>
                <w:position w:val="0"/>
                <w:sz w:val="21"/>
                <w:szCs w:val="21"/>
                <w:u w:val="none" w:color="auto"/>
              </w:rPr>
              <w:t>或</w:t>
            </w:r>
          </w:p>
          <w:p w14:paraId="4A2DA698">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eastAsia="en-US"/>
              </w:rPr>
              <w:t>2</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&lt;0.2；</w:t>
            </w:r>
            <w:r>
              <w:rPr>
                <w:rStyle w:val="63"/>
                <w:rFonts w:hint="default" w:ascii="Times New Roman" w:hAnsi="Times New Roman" w:eastAsia="宋体" w:cs="Times New Roman"/>
                <w:bCs/>
                <w:caps w:val="0"/>
                <w:smallCaps w:val="0"/>
                <w:color w:val="auto"/>
                <w:spacing w:val="0"/>
                <w:w w:val="100"/>
                <w:position w:val="0"/>
                <w:sz w:val="21"/>
                <w:szCs w:val="21"/>
                <w:u w:val="none" w:color="auto"/>
              </w:rPr>
              <w:t>或</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RV5</w:t>
            </w:r>
          </w:p>
        </w:tc>
        <w:tc>
          <w:tcPr>
            <w:tcW w:w="1555" w:type="dxa"/>
            <w:tcBorders>
              <w:tl2br w:val="nil"/>
              <w:tr2bl w:val="nil"/>
            </w:tcBorders>
            <w:shd w:val="clear" w:color="auto" w:fill="FFFFFF"/>
            <w:vAlign w:val="center"/>
          </w:tcPr>
          <w:p w14:paraId="0BBCB172">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Ai&lt;0.05；</w:t>
            </w:r>
            <w:r>
              <w:rPr>
                <w:rStyle w:val="63"/>
                <w:rFonts w:hint="default" w:ascii="Times New Roman" w:hAnsi="Times New Roman" w:eastAsia="宋体" w:cs="Times New Roman"/>
                <w:bCs/>
                <w:caps w:val="0"/>
                <w:smallCaps w:val="0"/>
                <w:color w:val="auto"/>
                <w:spacing w:val="0"/>
                <w:w w:val="100"/>
                <w:position w:val="0"/>
                <w:sz w:val="21"/>
                <w:szCs w:val="21"/>
                <w:u w:val="none" w:color="auto"/>
              </w:rPr>
              <w:t>或</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eastAsia="en-US"/>
              </w:rPr>
              <w:t>2</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&lt;0.2；</w:t>
            </w:r>
            <w:r>
              <w:rPr>
                <w:rStyle w:val="63"/>
                <w:rFonts w:hint="default" w:ascii="Times New Roman" w:hAnsi="Times New Roman" w:eastAsia="宋体" w:cs="Times New Roman"/>
                <w:bCs/>
                <w:caps w:val="0"/>
                <w:smallCaps w:val="0"/>
                <w:color w:val="auto"/>
                <w:spacing w:val="0"/>
                <w:w w:val="100"/>
                <w:position w:val="0"/>
                <w:sz w:val="21"/>
                <w:szCs w:val="21"/>
                <w:u w:val="none" w:color="auto"/>
              </w:rPr>
              <w:t>或</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R&lt;5</w:t>
            </w:r>
          </w:p>
        </w:tc>
        <w:tc>
          <w:tcPr>
            <w:tcW w:w="1407" w:type="dxa"/>
            <w:tcBorders>
              <w:tl2br w:val="nil"/>
              <w:tr2bl w:val="nil"/>
            </w:tcBorders>
            <w:shd w:val="clear" w:color="auto" w:fill="FFFFFF"/>
            <w:vAlign w:val="center"/>
          </w:tcPr>
          <w:p w14:paraId="368C6DA4">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20"/>
              <w:jc w:val="center"/>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rPr>
              <w:t>1</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&lt;0.15；</w:t>
            </w:r>
            <w:r>
              <w:rPr>
                <w:rStyle w:val="63"/>
                <w:rFonts w:hint="default" w:ascii="Times New Roman" w:hAnsi="Times New Roman" w:eastAsia="宋体" w:cs="Times New Roman"/>
                <w:bCs/>
                <w:caps w:val="0"/>
                <w:smallCaps w:val="0"/>
                <w:color w:val="auto"/>
                <w:spacing w:val="0"/>
                <w:w w:val="100"/>
                <w:position w:val="0"/>
                <w:sz w:val="21"/>
                <w:szCs w:val="21"/>
                <w:u w:val="none" w:color="auto"/>
              </w:rPr>
              <w:t>或</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A</w:t>
            </w:r>
            <w:r>
              <w:rPr>
                <w:rStyle w:val="63"/>
                <w:rFonts w:hint="default" w:ascii="Times New Roman" w:hAnsi="Times New Roman" w:eastAsia="宋体" w:cs="Times New Roman"/>
                <w:bCs/>
                <w:caps w:val="0"/>
                <w:smallCaps w:val="0"/>
                <w:color w:val="auto"/>
                <w:spacing w:val="0"/>
                <w:w w:val="100"/>
                <w:position w:val="0"/>
                <w:sz w:val="21"/>
                <w:szCs w:val="21"/>
                <w:u w:val="none" w:color="auto"/>
                <w:vertAlign w:val="subscript"/>
                <w:lang w:val="en-US" w:eastAsia="en-US"/>
              </w:rPr>
              <w:t>2</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eastAsia="en-US"/>
              </w:rPr>
              <w:t>&lt;0.5</w:t>
            </w:r>
          </w:p>
        </w:tc>
      </w:tr>
      <w:tr w14:paraId="796481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071" w:type="dxa"/>
            <w:gridSpan w:val="7"/>
            <w:tcBorders>
              <w:tl2br w:val="nil"/>
              <w:tr2bl w:val="nil"/>
            </w:tcBorders>
            <w:shd w:val="clear" w:color="auto" w:fill="FFFFFF"/>
            <w:vAlign w:val="center"/>
          </w:tcPr>
          <w:p w14:paraId="6DFF5FB4">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420" w:firstLineChars="200"/>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rPr>
              <w:t>注1：影响范围涉及饮用水水源保护区、重点保护与珍稀水生生物的栖息地、重要水生生物的自然产卵场、自然保护区等保护目标，评价等级应不低于二级。</w:t>
            </w:r>
          </w:p>
          <w:p w14:paraId="3A43B827">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420" w:firstLineChars="200"/>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rPr>
              <w:t>注2：跨流域调水、引水式电站、可能受到河流感潮河段影响，评价等级不低于二级。</w:t>
            </w:r>
          </w:p>
          <w:p w14:paraId="53A5E1FB">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420" w:firstLineChars="200"/>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rPr>
              <w:t>注3：造成入海河口（湾口）宽度束窄（束窄尺度达到原宽度的5%以上），评价等级应不低于二级。</w:t>
            </w:r>
          </w:p>
          <w:p w14:paraId="136C148C">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420" w:firstLineChars="200"/>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rPr>
              <w:t>注4：对不透水的单方向建筑尺度较长的水工建筑物（如防波堤、导流堤等），其与潮流或水流主流向切线垂直方向投影长度大于2</w:t>
            </w:r>
            <w:r>
              <w:rPr>
                <w:rStyle w:val="63"/>
                <w:rFonts w:hint="default" w:ascii="Times New Roman" w:hAnsi="Times New Roman" w:eastAsia="宋体" w:cs="Times New Roman"/>
                <w:bCs/>
                <w:caps w:val="0"/>
                <w:smallCaps w:val="0"/>
                <w:color w:val="auto"/>
                <w:spacing w:val="0"/>
                <w:w w:val="100"/>
                <w:position w:val="0"/>
                <w:sz w:val="21"/>
                <w:szCs w:val="21"/>
                <w:u w:val="none" w:color="auto"/>
                <w:lang w:val="en-US"/>
              </w:rPr>
              <w:t>km</w:t>
            </w:r>
            <w:r>
              <w:rPr>
                <w:rStyle w:val="63"/>
                <w:rFonts w:hint="default" w:ascii="Times New Roman" w:hAnsi="Times New Roman" w:eastAsia="宋体" w:cs="Times New Roman"/>
                <w:bCs/>
                <w:caps w:val="0"/>
                <w:smallCaps w:val="0"/>
                <w:color w:val="auto"/>
                <w:spacing w:val="0"/>
                <w:w w:val="100"/>
                <w:position w:val="0"/>
                <w:sz w:val="21"/>
                <w:szCs w:val="21"/>
                <w:u w:val="none" w:color="auto"/>
              </w:rPr>
              <w:t>时，评价等级应不低于二级。</w:t>
            </w:r>
          </w:p>
          <w:p w14:paraId="0A18B896">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420" w:firstLineChars="200"/>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rPr>
              <w:t>注5：允许在一类海域建设的项目，评价等级为一级。</w:t>
            </w:r>
          </w:p>
          <w:p w14:paraId="22081445">
            <w:pPr>
              <w:pStyle w:val="62"/>
              <w:keepNext w:val="0"/>
              <w:keepLines w:val="0"/>
              <w:pageBreakBefore w:val="0"/>
              <w:widowControl w:val="0"/>
              <w:kinsoku w:val="0"/>
              <w:wordWrap w:val="0"/>
              <w:overflowPunct/>
              <w:topLinePunct/>
              <w:autoSpaceDE/>
              <w:autoSpaceDN/>
              <w:bidi w:val="0"/>
              <w:adjustRightInd w:val="0"/>
              <w:snapToGrid w:val="0"/>
              <w:spacing w:line="340" w:lineRule="exact"/>
              <w:ind w:left="0" w:firstLine="420" w:firstLineChars="200"/>
              <w:textAlignment w:val="auto"/>
              <w:rPr>
                <w:rFonts w:hint="default" w:ascii="Times New Roman" w:hAnsi="Times New Roman" w:eastAsia="宋体" w:cs="Times New Roman"/>
                <w:bCs/>
                <w:caps w:val="0"/>
                <w:smallCaps w:val="0"/>
                <w:color w:val="auto"/>
                <w:spacing w:val="0"/>
                <w:w w:val="100"/>
                <w:position w:val="0"/>
                <w:sz w:val="21"/>
                <w:szCs w:val="21"/>
                <w:u w:val="none" w:color="auto"/>
              </w:rPr>
            </w:pPr>
            <w:r>
              <w:rPr>
                <w:rStyle w:val="63"/>
                <w:rFonts w:hint="default" w:ascii="Times New Roman" w:hAnsi="Times New Roman" w:eastAsia="宋体" w:cs="Times New Roman"/>
                <w:bCs/>
                <w:caps w:val="0"/>
                <w:smallCaps w:val="0"/>
                <w:color w:val="auto"/>
                <w:spacing w:val="0"/>
                <w:w w:val="100"/>
                <w:position w:val="0"/>
                <w:sz w:val="21"/>
                <w:szCs w:val="21"/>
                <w:u w:val="none" w:color="auto"/>
              </w:rPr>
              <w:t>注6：同时存在多个水文要素影响的建设项目，分别判定各水文要素影响评价等级，并取其中最高等级作为水文要素影响型建设项目评价等级。</w:t>
            </w:r>
          </w:p>
        </w:tc>
      </w:tr>
    </w:tbl>
    <w:p w14:paraId="62DEAA2B">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本项目为</w:t>
      </w:r>
      <w:r>
        <w:rPr>
          <w:rFonts w:hint="default" w:ascii="Times New Roman" w:hAnsi="Times New Roman" w:eastAsia="宋体" w:cs="Times New Roman"/>
          <w:caps w:val="0"/>
          <w:smallCaps w:val="0"/>
          <w:color w:val="auto"/>
          <w:spacing w:val="0"/>
          <w:w w:val="100"/>
          <w:kern w:val="0"/>
          <w:position w:val="0"/>
          <w:sz w:val="24"/>
          <w:szCs w:val="24"/>
          <w:u w:val="none" w:color="auto"/>
        </w:rPr>
        <w:t>水库除险加固</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工程</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不涉及水域施工，</w:t>
      </w:r>
      <w:r>
        <w:rPr>
          <w:rFonts w:hint="default" w:ascii="Times New Roman" w:hAnsi="Times New Roman" w:eastAsia="宋体" w:cs="Times New Roman"/>
          <w:caps w:val="0"/>
          <w:smallCaps w:val="0"/>
          <w:color w:val="auto"/>
          <w:spacing w:val="0"/>
          <w:w w:val="100"/>
          <w:kern w:val="0"/>
          <w:position w:val="0"/>
          <w:sz w:val="24"/>
          <w:szCs w:val="24"/>
          <w:u w:val="none" w:color="auto"/>
        </w:rPr>
        <w:t>不改变原坝址，水库除险加固后正常蓄水位、死水位</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等均</w:t>
      </w:r>
      <w:r>
        <w:rPr>
          <w:rFonts w:hint="default" w:ascii="Times New Roman" w:hAnsi="Times New Roman" w:eastAsia="宋体" w:cs="Times New Roman"/>
          <w:caps w:val="0"/>
          <w:smallCaps w:val="0"/>
          <w:color w:val="auto"/>
          <w:spacing w:val="0"/>
          <w:w w:val="100"/>
          <w:kern w:val="0"/>
          <w:position w:val="0"/>
          <w:sz w:val="24"/>
          <w:szCs w:val="24"/>
          <w:u w:val="none" w:color="auto"/>
        </w:rPr>
        <w:t>不变，相应库容不变，水温和径流均与现状基本相同。</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同时</w:t>
      </w:r>
      <w:r>
        <w:rPr>
          <w:rFonts w:hint="default" w:ascii="Times New Roman" w:hAnsi="Times New Roman" w:eastAsia="宋体" w:cs="Times New Roman"/>
          <w:color w:val="auto"/>
          <w:spacing w:val="0"/>
          <w:w w:val="100"/>
          <w:position w:val="0"/>
          <w:sz w:val="24"/>
          <w:szCs w:val="24"/>
          <w:u w:val="none" w:color="auto"/>
        </w:rPr>
        <w:t>根据</w:t>
      </w:r>
      <w:r>
        <w:rPr>
          <w:rFonts w:hint="default" w:ascii="Times New Roman" w:hAnsi="Times New Roman" w:eastAsia="宋体" w:cs="Times New Roman"/>
          <w:color w:val="auto"/>
          <w:spacing w:val="0"/>
          <w:w w:val="100"/>
          <w:position w:val="0"/>
          <w:sz w:val="24"/>
          <w:szCs w:val="24"/>
          <w:u w:val="none" w:color="auto"/>
          <w:lang w:eastAsia="zh-CN"/>
        </w:rPr>
        <w:t>评价等级判定依据</w:t>
      </w:r>
      <w:r>
        <w:rPr>
          <w:rFonts w:hint="default" w:ascii="Times New Roman" w:hAnsi="Times New Roman" w:eastAsia="宋体" w:cs="Times New Roman"/>
          <w:color w:val="auto"/>
          <w:spacing w:val="0"/>
          <w:w w:val="100"/>
          <w:position w:val="0"/>
          <w:sz w:val="24"/>
          <w:szCs w:val="24"/>
          <w:u w:val="none" w:color="auto"/>
        </w:rPr>
        <w:t>注</w:t>
      </w:r>
      <w:r>
        <w:rPr>
          <w:rFonts w:hint="default" w:ascii="Times New Roman" w:hAnsi="Times New Roman" w:eastAsia="Times New Roman" w:cs="Times New Roman"/>
          <w:color w:val="auto"/>
          <w:spacing w:val="0"/>
          <w:w w:val="100"/>
          <w:position w:val="0"/>
          <w:sz w:val="24"/>
          <w:szCs w:val="24"/>
          <w:u w:val="none" w:color="auto"/>
        </w:rPr>
        <w:t>1</w:t>
      </w:r>
      <w:r>
        <w:rPr>
          <w:rFonts w:hint="default" w:ascii="Times New Roman" w:hAnsi="Times New Roman" w:eastAsia="宋体" w:cs="Times New Roman"/>
          <w:color w:val="auto"/>
          <w:spacing w:val="0"/>
          <w:w w:val="100"/>
          <w:position w:val="0"/>
          <w:sz w:val="24"/>
          <w:szCs w:val="24"/>
          <w:u w:val="none" w:color="auto"/>
        </w:rPr>
        <w:t>：影响范围涉及饮用水水源保护区、重点保护与珍稀水生生物的栖息地、重要水生生物的自然产卵场、自然保护区等保护目标，评价等级应不低于二级。本工程</w:t>
      </w:r>
      <w:r>
        <w:rPr>
          <w:rFonts w:hint="default" w:ascii="Times New Roman" w:hAnsi="Times New Roman" w:eastAsia="宋体" w:cs="Times New Roman"/>
          <w:color w:val="auto"/>
          <w:spacing w:val="0"/>
          <w:w w:val="100"/>
          <w:position w:val="0"/>
          <w:sz w:val="24"/>
          <w:szCs w:val="24"/>
          <w:u w:val="none" w:color="auto"/>
          <w:lang w:eastAsia="zh-CN"/>
        </w:rPr>
        <w:t>涉及东山水库</w:t>
      </w:r>
      <w:r>
        <w:rPr>
          <w:rFonts w:hint="default" w:ascii="Times New Roman" w:hAnsi="Times New Roman" w:eastAsia="宋体" w:cs="Times New Roman"/>
          <w:color w:val="auto"/>
          <w:spacing w:val="0"/>
          <w:w w:val="100"/>
          <w:position w:val="0"/>
          <w:sz w:val="24"/>
          <w:szCs w:val="24"/>
          <w:u w:val="none" w:color="auto"/>
        </w:rPr>
        <w:t>饮用水水源保护区，</w:t>
      </w:r>
      <w:r>
        <w:rPr>
          <w:rFonts w:hint="default" w:ascii="Times New Roman" w:hAnsi="Times New Roman" w:eastAsia="宋体" w:cs="Times New Roman"/>
          <w:color w:val="auto"/>
          <w:spacing w:val="0"/>
          <w:w w:val="100"/>
          <w:position w:val="0"/>
          <w:sz w:val="24"/>
          <w:szCs w:val="24"/>
          <w:u w:val="none" w:color="auto"/>
          <w:lang w:eastAsia="zh-CN"/>
        </w:rPr>
        <w:t>综合确定本项目地表水</w:t>
      </w:r>
      <w:r>
        <w:rPr>
          <w:rFonts w:hint="default" w:ascii="Times New Roman" w:hAnsi="Times New Roman" w:eastAsia="宋体" w:cs="Times New Roman"/>
          <w:color w:val="auto"/>
          <w:spacing w:val="0"/>
          <w:w w:val="100"/>
          <w:position w:val="0"/>
          <w:sz w:val="24"/>
          <w:szCs w:val="24"/>
          <w:u w:val="none" w:color="auto"/>
        </w:rPr>
        <w:t xml:space="preserve">评价等级为二级。 </w:t>
      </w:r>
    </w:p>
    <w:p w14:paraId="63124F71">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（3）地下水环境</w:t>
      </w:r>
    </w:p>
    <w:p w14:paraId="3E39DCAF">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1）项目类别确定</w:t>
      </w:r>
    </w:p>
    <w:p w14:paraId="2C864ABB">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项目主体工程为水库除险加固工程，根据《环境影响评价技术导则  地下水环境》（HJ610-2016）附录A地下水环境影响评价行业分类表中的分类，本项目水库总库容为1</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054.6</w:t>
      </w:r>
      <w:r>
        <w:rPr>
          <w:rFonts w:hint="default" w:ascii="Times New Roman" w:hAnsi="Times New Roman" w:eastAsia="宋体" w:cs="Times New Roman"/>
          <w:caps w:val="0"/>
          <w:smallCaps w:val="0"/>
          <w:color w:val="auto"/>
          <w:spacing w:val="0"/>
          <w:w w:val="100"/>
          <w:kern w:val="0"/>
          <w:position w:val="0"/>
          <w:sz w:val="24"/>
          <w:szCs w:val="24"/>
          <w:u w:val="none" w:color="auto"/>
        </w:rPr>
        <w:t>万m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rPr>
        <w:t>，在1000万m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rPr>
        <w:t>以上，属于III类项目。</w:t>
      </w:r>
    </w:p>
    <w:p w14:paraId="1F025640">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2）地下水敏感程度</w:t>
      </w:r>
    </w:p>
    <w:p w14:paraId="37438291">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建设项目场地的地下水敏感程度可分为敏感、较敏感、不敏感三级，分级原则见表1.6-2。</w:t>
      </w:r>
    </w:p>
    <w:p w14:paraId="4D73D092">
      <w:pPr>
        <w:pageBreakBefore w:val="0"/>
        <w:kinsoku w:val="0"/>
        <w:wordWrap w:val="0"/>
        <w:overflowPunct/>
        <w:topLinePunct/>
        <w:autoSpaceDE/>
        <w:autoSpaceDN/>
        <w:bidi w:val="0"/>
        <w:adjustRightInd w:val="0"/>
        <w:spacing w:line="500" w:lineRule="exact"/>
        <w:jc w:val="center"/>
        <w:rPr>
          <w:rFonts w:hint="default" w:ascii="Times New Roman" w:hAnsi="Times New Roman" w:eastAsia="宋体" w:cs="Times New Roman"/>
          <w:b/>
          <w:caps w:val="0"/>
          <w:smallCaps w:val="0"/>
          <w:color w:val="auto"/>
          <w:spacing w:val="0"/>
          <w:w w:val="100"/>
          <w:kern w:val="0"/>
          <w:position w:val="0"/>
          <w:sz w:val="24"/>
          <w:szCs w:val="24"/>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表1.6-2  地下水环境敏感程度分级表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3" w:type="dxa"/>
          <w:bottom w:w="0" w:type="dxa"/>
          <w:right w:w="23" w:type="dxa"/>
        </w:tblCellMar>
      </w:tblPr>
      <w:tblGrid>
        <w:gridCol w:w="1230"/>
        <w:gridCol w:w="7116"/>
      </w:tblGrid>
      <w:tr w14:paraId="3FCA88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1334" w:type="dxa"/>
            <w:tcBorders>
              <w:tl2br w:val="nil"/>
              <w:tr2bl w:val="nil"/>
            </w:tcBorders>
            <w:vAlign w:val="center"/>
          </w:tcPr>
          <w:p w14:paraId="25CE4649">
            <w:pPr>
              <w:pageBreakBefore w:val="0"/>
              <w:kinsoku w:val="0"/>
              <w:wordWrap w:val="0"/>
              <w:overflowPunct/>
              <w:topLinePunct/>
              <w:autoSpaceDE/>
              <w:autoSpaceDN/>
              <w:bidi w:val="0"/>
              <w:adjustRightInd w:val="0"/>
              <w:snapToGrid w:val="0"/>
              <w:spacing w:line="400" w:lineRule="exact"/>
              <w:jc w:val="center"/>
              <w:rPr>
                <w:rFonts w:hint="default" w:ascii="Times New Roman" w:hAnsi="Times New Roman" w:eastAsia="宋体" w:cs="Times New Roman"/>
                <w:b/>
                <w:bCs/>
                <w:caps w:val="0"/>
                <w:smallCaps w:val="0"/>
                <w:color w:val="auto"/>
                <w:spacing w:val="0"/>
                <w:w w:val="100"/>
                <w:position w:val="0"/>
                <w:szCs w:val="21"/>
                <w:u w:val="none" w:color="auto"/>
              </w:rPr>
            </w:pPr>
            <w:r>
              <w:rPr>
                <w:rFonts w:hint="default" w:ascii="Times New Roman" w:hAnsi="Times New Roman" w:eastAsia="宋体" w:cs="Times New Roman"/>
                <w:b/>
                <w:bCs/>
                <w:caps w:val="0"/>
                <w:smallCaps w:val="0"/>
                <w:color w:val="auto"/>
                <w:spacing w:val="0"/>
                <w:w w:val="100"/>
                <w:position w:val="0"/>
                <w:szCs w:val="21"/>
                <w:u w:val="none" w:color="auto"/>
              </w:rPr>
              <w:t>敏感程度</w:t>
            </w:r>
          </w:p>
        </w:tc>
        <w:tc>
          <w:tcPr>
            <w:tcW w:w="7738" w:type="dxa"/>
            <w:tcBorders>
              <w:tl2br w:val="nil"/>
              <w:tr2bl w:val="nil"/>
            </w:tcBorders>
            <w:vAlign w:val="center"/>
          </w:tcPr>
          <w:p w14:paraId="4B9B83A0">
            <w:pPr>
              <w:pageBreakBefore w:val="0"/>
              <w:kinsoku w:val="0"/>
              <w:wordWrap w:val="0"/>
              <w:overflowPunct/>
              <w:topLinePunct/>
              <w:autoSpaceDE/>
              <w:autoSpaceDN/>
              <w:bidi w:val="0"/>
              <w:adjustRightInd w:val="0"/>
              <w:snapToGrid w:val="0"/>
              <w:spacing w:line="400" w:lineRule="exact"/>
              <w:jc w:val="center"/>
              <w:rPr>
                <w:rFonts w:hint="default" w:ascii="Times New Roman" w:hAnsi="Times New Roman" w:eastAsia="宋体" w:cs="Times New Roman"/>
                <w:b/>
                <w:bCs/>
                <w:caps w:val="0"/>
                <w:smallCaps w:val="0"/>
                <w:color w:val="auto"/>
                <w:spacing w:val="0"/>
                <w:w w:val="100"/>
                <w:position w:val="0"/>
                <w:szCs w:val="21"/>
                <w:u w:val="none" w:color="auto"/>
              </w:rPr>
            </w:pPr>
            <w:r>
              <w:rPr>
                <w:rFonts w:hint="default" w:ascii="Times New Roman" w:hAnsi="Times New Roman" w:eastAsia="宋体" w:cs="Times New Roman"/>
                <w:b/>
                <w:bCs/>
                <w:caps w:val="0"/>
                <w:smallCaps w:val="0"/>
                <w:color w:val="auto"/>
                <w:spacing w:val="0"/>
                <w:w w:val="100"/>
                <w:position w:val="0"/>
                <w:szCs w:val="21"/>
                <w:u w:val="none" w:color="auto"/>
              </w:rPr>
              <w:t>地下水环境敏感程度分级表</w:t>
            </w:r>
          </w:p>
        </w:tc>
      </w:tr>
      <w:tr w14:paraId="3A33A5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1334" w:type="dxa"/>
            <w:tcBorders>
              <w:tl2br w:val="nil"/>
              <w:tr2bl w:val="nil"/>
            </w:tcBorders>
            <w:vAlign w:val="center"/>
          </w:tcPr>
          <w:p w14:paraId="72B1AF33">
            <w:pPr>
              <w:pageBreakBefore w:val="0"/>
              <w:kinsoku w:val="0"/>
              <w:wordWrap w:val="0"/>
              <w:overflowPunct/>
              <w:topLinePunct/>
              <w:autoSpaceDE/>
              <w:autoSpaceDN/>
              <w:bidi w:val="0"/>
              <w:adjustRightInd w:val="0"/>
              <w:snapToGrid w:val="0"/>
              <w:spacing w:line="400" w:lineRule="exact"/>
              <w:jc w:val="center"/>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敏感</w:t>
            </w:r>
          </w:p>
        </w:tc>
        <w:tc>
          <w:tcPr>
            <w:tcW w:w="7738" w:type="dxa"/>
            <w:tcBorders>
              <w:tl2br w:val="nil"/>
              <w:tr2bl w:val="nil"/>
            </w:tcBorders>
            <w:vAlign w:val="center"/>
          </w:tcPr>
          <w:p w14:paraId="7DDDACE0">
            <w:pPr>
              <w:pageBreakBefore w:val="0"/>
              <w:kinsoku w:val="0"/>
              <w:wordWrap w:val="0"/>
              <w:overflowPunct/>
              <w:topLinePunct/>
              <w:autoSpaceDE/>
              <w:autoSpaceDN/>
              <w:bidi w:val="0"/>
              <w:adjustRightInd w:val="0"/>
              <w:snapToGrid w:val="0"/>
              <w:spacing w:line="400" w:lineRule="exact"/>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14:paraId="5F2CA5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1334" w:type="dxa"/>
            <w:tcBorders>
              <w:tl2br w:val="nil"/>
              <w:tr2bl w:val="nil"/>
            </w:tcBorders>
            <w:vAlign w:val="center"/>
          </w:tcPr>
          <w:p w14:paraId="2100B85A">
            <w:pPr>
              <w:pageBreakBefore w:val="0"/>
              <w:kinsoku w:val="0"/>
              <w:wordWrap w:val="0"/>
              <w:overflowPunct/>
              <w:topLinePunct/>
              <w:autoSpaceDE/>
              <w:autoSpaceDN/>
              <w:bidi w:val="0"/>
              <w:adjustRightInd w:val="0"/>
              <w:snapToGrid w:val="0"/>
              <w:spacing w:line="400" w:lineRule="exact"/>
              <w:jc w:val="center"/>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较敏感</w:t>
            </w:r>
          </w:p>
        </w:tc>
        <w:tc>
          <w:tcPr>
            <w:tcW w:w="7738" w:type="dxa"/>
            <w:tcBorders>
              <w:tl2br w:val="nil"/>
              <w:tr2bl w:val="nil"/>
            </w:tcBorders>
            <w:vAlign w:val="center"/>
          </w:tcPr>
          <w:p w14:paraId="4D05EFEF">
            <w:pPr>
              <w:pageBreakBefore w:val="0"/>
              <w:kinsoku w:val="0"/>
              <w:wordWrap w:val="0"/>
              <w:overflowPunct/>
              <w:topLinePunct/>
              <w:autoSpaceDE/>
              <w:autoSpaceDN/>
              <w:bidi w:val="0"/>
              <w:adjustRightInd w:val="0"/>
              <w:snapToGrid w:val="0"/>
              <w:spacing w:line="400" w:lineRule="exact"/>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p>
        </w:tc>
      </w:tr>
      <w:tr w14:paraId="4AD922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1334" w:type="dxa"/>
            <w:tcBorders>
              <w:tl2br w:val="nil"/>
              <w:tr2bl w:val="nil"/>
            </w:tcBorders>
            <w:vAlign w:val="center"/>
          </w:tcPr>
          <w:p w14:paraId="160BF03C">
            <w:pPr>
              <w:pageBreakBefore w:val="0"/>
              <w:kinsoku w:val="0"/>
              <w:wordWrap w:val="0"/>
              <w:overflowPunct/>
              <w:topLinePunct/>
              <w:autoSpaceDE/>
              <w:autoSpaceDN/>
              <w:bidi w:val="0"/>
              <w:adjustRightInd w:val="0"/>
              <w:snapToGrid w:val="0"/>
              <w:spacing w:line="400" w:lineRule="exact"/>
              <w:jc w:val="center"/>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不敏感</w:t>
            </w:r>
          </w:p>
        </w:tc>
        <w:tc>
          <w:tcPr>
            <w:tcW w:w="7738" w:type="dxa"/>
            <w:tcBorders>
              <w:tl2br w:val="nil"/>
              <w:tr2bl w:val="nil"/>
            </w:tcBorders>
            <w:vAlign w:val="center"/>
          </w:tcPr>
          <w:p w14:paraId="448518E5">
            <w:pPr>
              <w:pageBreakBefore w:val="0"/>
              <w:kinsoku w:val="0"/>
              <w:wordWrap w:val="0"/>
              <w:overflowPunct/>
              <w:topLinePunct/>
              <w:autoSpaceDE/>
              <w:autoSpaceDN/>
              <w:bidi w:val="0"/>
              <w:adjustRightInd w:val="0"/>
              <w:snapToGrid w:val="0"/>
              <w:spacing w:line="400" w:lineRule="exact"/>
              <w:jc w:val="center"/>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上述地区以外的其他地区</w:t>
            </w:r>
          </w:p>
        </w:tc>
      </w:tr>
      <w:tr w14:paraId="40D9D5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9072" w:type="dxa"/>
            <w:gridSpan w:val="2"/>
            <w:tcBorders>
              <w:tl2br w:val="nil"/>
              <w:tr2bl w:val="nil"/>
            </w:tcBorders>
            <w:vAlign w:val="center"/>
          </w:tcPr>
          <w:p w14:paraId="5AAC8D85">
            <w:pPr>
              <w:pageBreakBefore w:val="0"/>
              <w:kinsoku w:val="0"/>
              <w:wordWrap w:val="0"/>
              <w:overflowPunct/>
              <w:topLinePunct/>
              <w:autoSpaceDE/>
              <w:autoSpaceDN/>
              <w:bidi w:val="0"/>
              <w:adjustRightInd w:val="0"/>
              <w:snapToGrid w:val="0"/>
              <w:spacing w:line="400" w:lineRule="exact"/>
              <w:jc w:val="left"/>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注：集中式饮用水水源指进入输水管网送到用户的且具有一定供水规模(供水人口一般不小于1000人)的现用、备用和规划的地下水饮用水水源。</w:t>
            </w:r>
          </w:p>
        </w:tc>
      </w:tr>
    </w:tbl>
    <w:p w14:paraId="6DA646BF">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东山水库为饮用水水源保护区，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周边居民饮用水来源为自来水</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周边无集中式地下水饮用水源和分散式地下式饮用水水源地</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地下水</w:t>
      </w:r>
      <w:r>
        <w:rPr>
          <w:rFonts w:hint="default" w:ascii="Times New Roman" w:hAnsi="Times New Roman" w:eastAsia="宋体" w:cs="Times New Roman"/>
          <w:caps w:val="0"/>
          <w:smallCaps w:val="0"/>
          <w:color w:val="auto"/>
          <w:spacing w:val="0"/>
          <w:w w:val="100"/>
          <w:kern w:val="0"/>
          <w:position w:val="0"/>
          <w:sz w:val="24"/>
          <w:szCs w:val="24"/>
          <w:u w:val="none" w:color="auto"/>
        </w:rPr>
        <w:t>环境敏感程度确定为“</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不</w:t>
      </w:r>
      <w:r>
        <w:rPr>
          <w:rFonts w:hint="default" w:ascii="Times New Roman" w:hAnsi="Times New Roman" w:eastAsia="宋体" w:cs="Times New Roman"/>
          <w:caps w:val="0"/>
          <w:smallCaps w:val="0"/>
          <w:color w:val="auto"/>
          <w:spacing w:val="0"/>
          <w:w w:val="100"/>
          <w:kern w:val="0"/>
          <w:position w:val="0"/>
          <w:sz w:val="24"/>
          <w:szCs w:val="24"/>
          <w:u w:val="none" w:color="auto"/>
        </w:rPr>
        <w:t>敏感”。</w:t>
      </w:r>
    </w:p>
    <w:p w14:paraId="68B36F7E">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3）评价工作等级</w:t>
      </w:r>
    </w:p>
    <w:p w14:paraId="162399FD">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根据《环境影响评价技术导则 地下水环境》(HJ610-2016)，</w:t>
      </w:r>
      <w:r>
        <w:rPr>
          <w:rFonts w:hint="default" w:ascii="Times New Roman" w:hAnsi="Times New Roman" w:eastAsia="宋体" w:cs="Times New Roman"/>
          <w:caps w:val="0"/>
          <w:smallCaps w:val="0"/>
          <w:color w:val="auto"/>
          <w:spacing w:val="0"/>
          <w:w w:val="100"/>
          <w:kern w:val="0"/>
          <w:position w:val="0"/>
          <w:sz w:val="24"/>
          <w:szCs w:val="24"/>
          <w:u w:val="none" w:color="auto"/>
        </w:rPr>
        <w:t>建设项目地下水环境影响评价工作等级划分见表1.6-3。</w:t>
      </w:r>
    </w:p>
    <w:p w14:paraId="5D8B9FD8">
      <w:pPr>
        <w:pageBreakBefore w:val="0"/>
        <w:kinsoku w:val="0"/>
        <w:wordWrap w:val="0"/>
        <w:overflowPunct/>
        <w:topLinePunct/>
        <w:autoSpaceDE/>
        <w:autoSpaceDN/>
        <w:bidi w:val="0"/>
        <w:jc w:val="center"/>
        <w:rPr>
          <w:rFonts w:hint="default" w:ascii="Times New Roman" w:hAnsi="Times New Roman" w:eastAsia="宋体" w:cs="Times New Roman"/>
          <w:b/>
          <w:caps w:val="0"/>
          <w:smallCaps w:val="0"/>
          <w:color w:val="auto"/>
          <w:spacing w:val="0"/>
          <w:w w:val="100"/>
          <w:kern w:val="0"/>
          <w:position w:val="0"/>
          <w:sz w:val="24"/>
          <w:szCs w:val="24"/>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 xml:space="preserve">表1.6-3  </w:t>
      </w:r>
      <w:r>
        <w:rPr>
          <w:rFonts w:hint="default" w:ascii="Times New Roman" w:hAnsi="Times New Roman" w:eastAsia="宋体" w:cs="Times New Roman"/>
          <w:b/>
          <w:caps w:val="0"/>
          <w:smallCaps w:val="0"/>
          <w:color w:val="auto"/>
          <w:spacing w:val="0"/>
          <w:w w:val="100"/>
          <w:kern w:val="0"/>
          <w:position w:val="0"/>
          <w:sz w:val="24"/>
          <w:szCs w:val="24"/>
          <w:u w:val="none" w:color="auto"/>
          <w:lang w:eastAsia="zh-CN"/>
        </w:rPr>
        <w:t>地下水</w:t>
      </w:r>
      <w:r>
        <w:rPr>
          <w:rFonts w:hint="default" w:ascii="Times New Roman" w:hAnsi="Times New Roman" w:eastAsia="宋体" w:cs="Times New Roman"/>
          <w:b/>
          <w:caps w:val="0"/>
          <w:smallCaps w:val="0"/>
          <w:color w:val="auto"/>
          <w:spacing w:val="0"/>
          <w:w w:val="100"/>
          <w:kern w:val="0"/>
          <w:position w:val="0"/>
          <w:sz w:val="24"/>
          <w:szCs w:val="24"/>
          <w:u w:val="none" w:color="auto"/>
        </w:rPr>
        <w:t>评价工作等级分级表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91"/>
        <w:gridCol w:w="2002"/>
        <w:gridCol w:w="1785"/>
        <w:gridCol w:w="1938"/>
      </w:tblGrid>
      <w:tr w14:paraId="27795D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978" w:type="dxa"/>
            <w:tcBorders>
              <w:bottom w:val="single" w:color="auto" w:sz="4" w:space="0"/>
              <w:right w:val="single" w:color="auto" w:sz="4" w:space="0"/>
              <w:tl2br w:val="single" w:color="auto" w:sz="4" w:space="0"/>
            </w:tcBorders>
            <w:vAlign w:val="top"/>
          </w:tcPr>
          <w:p w14:paraId="100B078B">
            <w:pPr>
              <w:pageBreakBefore w:val="0"/>
              <w:kinsoku w:val="0"/>
              <w:wordWrap w:val="0"/>
              <w:overflowPunct/>
              <w:topLinePunct/>
              <w:autoSpaceDE/>
              <w:autoSpaceDN/>
              <w:bidi w:val="0"/>
              <w:snapToGrid w:val="0"/>
              <w:spacing w:line="320" w:lineRule="exact"/>
              <w:jc w:val="center"/>
              <w:rPr>
                <w:rFonts w:hint="default" w:ascii="Times New Roman" w:hAnsi="Times New Roman" w:eastAsia="宋体" w:cs="Times New Roman"/>
                <w:b/>
                <w:bCs/>
                <w:caps w:val="0"/>
                <w:smallCaps w:val="0"/>
                <w:color w:val="auto"/>
                <w:spacing w:val="0"/>
                <w:w w:val="100"/>
                <w:kern w:val="0"/>
                <w:position w:val="0"/>
                <w:szCs w:val="21"/>
                <w:u w:val="none" w:color="auto"/>
              </w:rPr>
            </w:pPr>
            <w:r>
              <w:rPr>
                <w:rFonts w:hint="default" w:ascii="Times New Roman" w:hAnsi="Times New Roman" w:eastAsia="宋体" w:cs="Times New Roman"/>
                <w:b/>
                <w:bCs/>
                <w:caps w:val="0"/>
                <w:smallCaps w:val="0"/>
                <w:color w:val="auto"/>
                <w:spacing w:val="0"/>
                <w:w w:val="100"/>
                <w:kern w:val="0"/>
                <w:position w:val="0"/>
                <w:szCs w:val="21"/>
                <w:u w:val="none" w:color="auto"/>
              </w:rPr>
              <w:t xml:space="preserve">            项目类别</w:t>
            </w:r>
          </w:p>
          <w:p w14:paraId="24C9E2BF">
            <w:pPr>
              <w:pageBreakBefore w:val="0"/>
              <w:kinsoku w:val="0"/>
              <w:wordWrap w:val="0"/>
              <w:overflowPunct/>
              <w:topLinePunct/>
              <w:autoSpaceDE/>
              <w:autoSpaceDN/>
              <w:bidi w:val="0"/>
              <w:snapToGrid w:val="0"/>
              <w:spacing w:line="320" w:lineRule="exact"/>
              <w:rPr>
                <w:rFonts w:hint="default" w:ascii="Times New Roman" w:hAnsi="Times New Roman" w:eastAsia="宋体" w:cs="Times New Roman"/>
                <w:b/>
                <w:bCs/>
                <w:caps w:val="0"/>
                <w:smallCaps w:val="0"/>
                <w:color w:val="auto"/>
                <w:spacing w:val="0"/>
                <w:w w:val="100"/>
                <w:kern w:val="0"/>
                <w:position w:val="0"/>
                <w:szCs w:val="21"/>
                <w:u w:val="none" w:color="auto"/>
              </w:rPr>
            </w:pPr>
            <w:r>
              <w:rPr>
                <w:rFonts w:hint="default" w:ascii="Times New Roman" w:hAnsi="Times New Roman" w:eastAsia="宋体" w:cs="Times New Roman"/>
                <w:b/>
                <w:bCs/>
                <w:caps w:val="0"/>
                <w:smallCaps w:val="0"/>
                <w:color w:val="auto"/>
                <w:spacing w:val="0"/>
                <w:w w:val="100"/>
                <w:kern w:val="0"/>
                <w:position w:val="0"/>
                <w:szCs w:val="21"/>
                <w:u w:val="none" w:color="auto"/>
              </w:rPr>
              <w:t>环境敏感程度</w:t>
            </w:r>
          </w:p>
        </w:tc>
        <w:tc>
          <w:tcPr>
            <w:tcW w:w="2132" w:type="dxa"/>
            <w:tcBorders>
              <w:left w:val="single" w:color="auto" w:sz="4" w:space="0"/>
              <w:tl2br w:val="nil"/>
              <w:tr2bl w:val="nil"/>
            </w:tcBorders>
            <w:vAlign w:val="center"/>
          </w:tcPr>
          <w:p w14:paraId="0A23EBE7">
            <w:pPr>
              <w:pageBreakBefore w:val="0"/>
              <w:widowControl/>
              <w:kinsoku w:val="0"/>
              <w:wordWrap w:val="0"/>
              <w:overflowPunct/>
              <w:topLinePunct/>
              <w:autoSpaceDE/>
              <w:autoSpaceDN/>
              <w:bidi w:val="0"/>
              <w:snapToGrid w:val="0"/>
              <w:spacing w:line="320" w:lineRule="exact"/>
              <w:jc w:val="center"/>
              <w:rPr>
                <w:rFonts w:hint="default" w:ascii="Times New Roman" w:hAnsi="Times New Roman" w:eastAsia="宋体" w:cs="Times New Roman"/>
                <w:b/>
                <w:bCs/>
                <w:caps w:val="0"/>
                <w:smallCaps w:val="0"/>
                <w:color w:val="auto"/>
                <w:spacing w:val="0"/>
                <w:w w:val="100"/>
                <w:kern w:val="0"/>
                <w:position w:val="0"/>
                <w:szCs w:val="21"/>
                <w:u w:val="none" w:color="auto"/>
              </w:rPr>
            </w:pPr>
            <w:r>
              <w:rPr>
                <w:rFonts w:hint="default" w:ascii="Times New Roman" w:hAnsi="Times New Roman" w:eastAsia="宋体" w:cs="Times New Roman"/>
                <w:b/>
                <w:bCs/>
                <w:caps w:val="0"/>
                <w:smallCaps w:val="0"/>
                <w:color w:val="auto"/>
                <w:spacing w:val="0"/>
                <w:w w:val="100"/>
                <w:kern w:val="0"/>
                <w:position w:val="0"/>
                <w:szCs w:val="21"/>
                <w:u w:val="none" w:color="auto"/>
              </w:rPr>
              <w:t>Ⅰ类项目</w:t>
            </w:r>
          </w:p>
        </w:tc>
        <w:tc>
          <w:tcPr>
            <w:tcW w:w="1899" w:type="dxa"/>
            <w:tcBorders>
              <w:tl2br w:val="nil"/>
              <w:tr2bl w:val="nil"/>
            </w:tcBorders>
            <w:vAlign w:val="center"/>
          </w:tcPr>
          <w:p w14:paraId="4EBFD30B">
            <w:pPr>
              <w:pageBreakBefore w:val="0"/>
              <w:kinsoku w:val="0"/>
              <w:wordWrap w:val="0"/>
              <w:overflowPunct/>
              <w:topLinePunct/>
              <w:autoSpaceDE/>
              <w:autoSpaceDN/>
              <w:bidi w:val="0"/>
              <w:snapToGrid w:val="0"/>
              <w:spacing w:line="320" w:lineRule="exact"/>
              <w:jc w:val="center"/>
              <w:rPr>
                <w:rFonts w:hint="default" w:ascii="Times New Roman" w:hAnsi="Times New Roman" w:eastAsia="宋体" w:cs="Times New Roman"/>
                <w:b/>
                <w:bCs/>
                <w:caps w:val="0"/>
                <w:smallCaps w:val="0"/>
                <w:color w:val="auto"/>
                <w:spacing w:val="0"/>
                <w:w w:val="100"/>
                <w:kern w:val="0"/>
                <w:position w:val="0"/>
                <w:szCs w:val="21"/>
                <w:u w:val="none" w:color="auto"/>
              </w:rPr>
            </w:pPr>
            <w:r>
              <w:rPr>
                <w:rFonts w:hint="default" w:ascii="Times New Roman" w:hAnsi="Times New Roman" w:eastAsia="宋体" w:cs="Times New Roman"/>
                <w:b/>
                <w:bCs/>
                <w:caps w:val="0"/>
                <w:smallCaps w:val="0"/>
                <w:color w:val="auto"/>
                <w:spacing w:val="0"/>
                <w:w w:val="100"/>
                <w:kern w:val="0"/>
                <w:position w:val="0"/>
                <w:szCs w:val="21"/>
                <w:u w:val="none" w:color="auto"/>
              </w:rPr>
              <w:t>Ⅱ类项目</w:t>
            </w:r>
          </w:p>
        </w:tc>
        <w:tc>
          <w:tcPr>
            <w:tcW w:w="2063" w:type="dxa"/>
            <w:tcBorders>
              <w:tl2br w:val="nil"/>
              <w:tr2bl w:val="nil"/>
            </w:tcBorders>
            <w:vAlign w:val="center"/>
          </w:tcPr>
          <w:p w14:paraId="42C37F7C">
            <w:pPr>
              <w:pageBreakBefore w:val="0"/>
              <w:kinsoku w:val="0"/>
              <w:wordWrap w:val="0"/>
              <w:overflowPunct/>
              <w:topLinePunct/>
              <w:autoSpaceDE/>
              <w:autoSpaceDN/>
              <w:bidi w:val="0"/>
              <w:snapToGrid w:val="0"/>
              <w:spacing w:line="320" w:lineRule="exact"/>
              <w:jc w:val="center"/>
              <w:rPr>
                <w:rFonts w:hint="default" w:ascii="Times New Roman" w:hAnsi="Times New Roman" w:eastAsia="宋体" w:cs="Times New Roman"/>
                <w:b/>
                <w:bCs/>
                <w:caps w:val="0"/>
                <w:smallCaps w:val="0"/>
                <w:color w:val="auto"/>
                <w:spacing w:val="0"/>
                <w:w w:val="100"/>
                <w:kern w:val="0"/>
                <w:position w:val="0"/>
                <w:szCs w:val="21"/>
                <w:u w:val="none" w:color="auto"/>
              </w:rPr>
            </w:pPr>
            <w:r>
              <w:rPr>
                <w:rFonts w:hint="default" w:ascii="Times New Roman" w:hAnsi="Times New Roman" w:eastAsia="宋体" w:cs="Times New Roman"/>
                <w:b/>
                <w:bCs/>
                <w:caps w:val="0"/>
                <w:smallCaps w:val="0"/>
                <w:color w:val="auto"/>
                <w:spacing w:val="0"/>
                <w:w w:val="100"/>
                <w:kern w:val="0"/>
                <w:position w:val="0"/>
                <w:szCs w:val="21"/>
                <w:u w:val="none" w:color="auto"/>
              </w:rPr>
              <w:t>Ⅲ类项目</w:t>
            </w:r>
          </w:p>
        </w:tc>
      </w:tr>
      <w:tr w14:paraId="0BA5B3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978" w:type="dxa"/>
            <w:tcBorders>
              <w:top w:val="single" w:color="auto" w:sz="4" w:space="0"/>
              <w:tl2br w:val="nil"/>
              <w:tr2bl w:val="nil"/>
            </w:tcBorders>
            <w:vAlign w:val="center"/>
          </w:tcPr>
          <w:p w14:paraId="0AEAF02D">
            <w:pPr>
              <w:keepNext w:val="0"/>
              <w:keepLines w:val="0"/>
              <w:pageBreakBefore w:val="0"/>
              <w:widowControl/>
              <w:kinsoku w:val="0"/>
              <w:wordWrap w:val="0"/>
              <w:overflowPunct/>
              <w:topLinePunct/>
              <w:autoSpaceDE/>
              <w:autoSpaceDN/>
              <w:bidi w:val="0"/>
              <w:adjustRightInd/>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rPr>
            </w:pPr>
            <w:r>
              <w:rPr>
                <w:rFonts w:hint="default" w:ascii="Times New Roman" w:hAnsi="Times New Roman" w:eastAsia="宋体" w:cs="Times New Roman"/>
                <w:caps w:val="0"/>
                <w:smallCaps w:val="0"/>
                <w:color w:val="auto"/>
                <w:spacing w:val="0"/>
                <w:w w:val="100"/>
                <w:kern w:val="0"/>
                <w:position w:val="0"/>
                <w:szCs w:val="21"/>
                <w:u w:val="none" w:color="auto"/>
              </w:rPr>
              <w:t>敏感</w:t>
            </w:r>
          </w:p>
        </w:tc>
        <w:tc>
          <w:tcPr>
            <w:tcW w:w="2132" w:type="dxa"/>
            <w:tcBorders>
              <w:tl2br w:val="nil"/>
              <w:tr2bl w:val="nil"/>
            </w:tcBorders>
            <w:vAlign w:val="center"/>
          </w:tcPr>
          <w:p w14:paraId="42EE39D7">
            <w:pPr>
              <w:keepNext w:val="0"/>
              <w:keepLines w:val="0"/>
              <w:pageBreakBefore w:val="0"/>
              <w:widowControl/>
              <w:kinsoku w:val="0"/>
              <w:wordWrap w:val="0"/>
              <w:overflowPunct/>
              <w:topLinePunct/>
              <w:autoSpaceDE/>
              <w:autoSpaceDN/>
              <w:bidi w:val="0"/>
              <w:adjustRightInd/>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rPr>
            </w:pPr>
            <w:r>
              <w:rPr>
                <w:rFonts w:hint="default" w:ascii="Times New Roman" w:hAnsi="Times New Roman" w:eastAsia="宋体" w:cs="Times New Roman"/>
                <w:caps w:val="0"/>
                <w:smallCaps w:val="0"/>
                <w:color w:val="auto"/>
                <w:spacing w:val="0"/>
                <w:w w:val="100"/>
                <w:kern w:val="0"/>
                <w:position w:val="0"/>
                <w:szCs w:val="21"/>
                <w:u w:val="none" w:color="auto"/>
              </w:rPr>
              <w:t>一</w:t>
            </w:r>
          </w:p>
        </w:tc>
        <w:tc>
          <w:tcPr>
            <w:tcW w:w="1899" w:type="dxa"/>
            <w:tcBorders>
              <w:tl2br w:val="nil"/>
              <w:tr2bl w:val="nil"/>
            </w:tcBorders>
            <w:vAlign w:val="center"/>
          </w:tcPr>
          <w:p w14:paraId="788421DA">
            <w:pPr>
              <w:keepNext w:val="0"/>
              <w:keepLines w:val="0"/>
              <w:pageBreakBefore w:val="0"/>
              <w:widowControl/>
              <w:kinsoku w:val="0"/>
              <w:wordWrap w:val="0"/>
              <w:overflowPunct/>
              <w:topLinePunct/>
              <w:autoSpaceDE/>
              <w:autoSpaceDN/>
              <w:bidi w:val="0"/>
              <w:adjustRightInd/>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rPr>
            </w:pPr>
            <w:r>
              <w:rPr>
                <w:rFonts w:hint="default" w:ascii="Times New Roman" w:hAnsi="Times New Roman" w:eastAsia="宋体" w:cs="Times New Roman"/>
                <w:caps w:val="0"/>
                <w:smallCaps w:val="0"/>
                <w:color w:val="auto"/>
                <w:spacing w:val="0"/>
                <w:w w:val="100"/>
                <w:kern w:val="0"/>
                <w:position w:val="0"/>
                <w:szCs w:val="21"/>
                <w:u w:val="none" w:color="auto"/>
              </w:rPr>
              <w:t>一</w:t>
            </w:r>
          </w:p>
        </w:tc>
        <w:tc>
          <w:tcPr>
            <w:tcW w:w="2063" w:type="dxa"/>
            <w:tcBorders>
              <w:tl2br w:val="nil"/>
              <w:tr2bl w:val="nil"/>
            </w:tcBorders>
            <w:vAlign w:val="center"/>
          </w:tcPr>
          <w:p w14:paraId="75C46FB8">
            <w:pPr>
              <w:keepNext w:val="0"/>
              <w:keepLines w:val="0"/>
              <w:pageBreakBefore w:val="0"/>
              <w:widowControl/>
              <w:kinsoku w:val="0"/>
              <w:wordWrap w:val="0"/>
              <w:overflowPunct/>
              <w:topLinePunct/>
              <w:autoSpaceDE/>
              <w:autoSpaceDN/>
              <w:bidi w:val="0"/>
              <w:adjustRightInd/>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rPr>
            </w:pPr>
            <w:r>
              <w:rPr>
                <w:rFonts w:hint="default" w:ascii="Times New Roman" w:hAnsi="Times New Roman" w:eastAsia="宋体" w:cs="Times New Roman"/>
                <w:caps w:val="0"/>
                <w:smallCaps w:val="0"/>
                <w:color w:val="auto"/>
                <w:spacing w:val="0"/>
                <w:w w:val="100"/>
                <w:kern w:val="0"/>
                <w:position w:val="0"/>
                <w:szCs w:val="21"/>
                <w:u w:val="none" w:color="auto"/>
              </w:rPr>
              <w:t>二</w:t>
            </w:r>
          </w:p>
        </w:tc>
      </w:tr>
      <w:tr w14:paraId="594922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978" w:type="dxa"/>
            <w:tcBorders>
              <w:tl2br w:val="nil"/>
              <w:tr2bl w:val="nil"/>
            </w:tcBorders>
            <w:vAlign w:val="center"/>
          </w:tcPr>
          <w:p w14:paraId="0681BE2A">
            <w:pPr>
              <w:keepNext w:val="0"/>
              <w:keepLines w:val="0"/>
              <w:pageBreakBefore w:val="0"/>
              <w:widowControl/>
              <w:kinsoku w:val="0"/>
              <w:wordWrap w:val="0"/>
              <w:overflowPunct/>
              <w:topLinePunct/>
              <w:autoSpaceDE/>
              <w:autoSpaceDN/>
              <w:bidi w:val="0"/>
              <w:adjustRightInd/>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rPr>
            </w:pPr>
            <w:r>
              <w:rPr>
                <w:rFonts w:hint="default" w:ascii="Times New Roman" w:hAnsi="Times New Roman" w:eastAsia="宋体" w:cs="Times New Roman"/>
                <w:caps w:val="0"/>
                <w:smallCaps w:val="0"/>
                <w:color w:val="auto"/>
                <w:spacing w:val="0"/>
                <w:w w:val="100"/>
                <w:kern w:val="0"/>
                <w:position w:val="0"/>
                <w:szCs w:val="21"/>
                <w:u w:val="none" w:color="auto"/>
              </w:rPr>
              <w:t>较敏感</w:t>
            </w:r>
          </w:p>
        </w:tc>
        <w:tc>
          <w:tcPr>
            <w:tcW w:w="2132" w:type="dxa"/>
            <w:tcBorders>
              <w:tl2br w:val="nil"/>
              <w:tr2bl w:val="nil"/>
            </w:tcBorders>
            <w:vAlign w:val="center"/>
          </w:tcPr>
          <w:p w14:paraId="6274F059">
            <w:pPr>
              <w:keepNext w:val="0"/>
              <w:keepLines w:val="0"/>
              <w:pageBreakBefore w:val="0"/>
              <w:widowControl/>
              <w:kinsoku w:val="0"/>
              <w:wordWrap w:val="0"/>
              <w:overflowPunct/>
              <w:topLinePunct/>
              <w:autoSpaceDE/>
              <w:autoSpaceDN/>
              <w:bidi w:val="0"/>
              <w:adjustRightInd/>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rPr>
            </w:pPr>
            <w:r>
              <w:rPr>
                <w:rFonts w:hint="default" w:ascii="Times New Roman" w:hAnsi="Times New Roman" w:eastAsia="宋体" w:cs="Times New Roman"/>
                <w:caps w:val="0"/>
                <w:smallCaps w:val="0"/>
                <w:color w:val="auto"/>
                <w:spacing w:val="0"/>
                <w:w w:val="100"/>
                <w:kern w:val="0"/>
                <w:position w:val="0"/>
                <w:szCs w:val="21"/>
                <w:u w:val="none" w:color="auto"/>
              </w:rPr>
              <w:t>一</w:t>
            </w:r>
          </w:p>
        </w:tc>
        <w:tc>
          <w:tcPr>
            <w:tcW w:w="1899" w:type="dxa"/>
            <w:tcBorders>
              <w:tl2br w:val="nil"/>
              <w:tr2bl w:val="nil"/>
            </w:tcBorders>
            <w:vAlign w:val="center"/>
          </w:tcPr>
          <w:p w14:paraId="79B94826">
            <w:pPr>
              <w:keepNext w:val="0"/>
              <w:keepLines w:val="0"/>
              <w:pageBreakBefore w:val="0"/>
              <w:widowControl/>
              <w:kinsoku w:val="0"/>
              <w:wordWrap w:val="0"/>
              <w:overflowPunct/>
              <w:topLinePunct/>
              <w:autoSpaceDE/>
              <w:autoSpaceDN/>
              <w:bidi w:val="0"/>
              <w:adjustRightInd/>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rPr>
            </w:pPr>
            <w:r>
              <w:rPr>
                <w:rFonts w:hint="default" w:ascii="Times New Roman" w:hAnsi="Times New Roman" w:eastAsia="宋体" w:cs="Times New Roman"/>
                <w:caps w:val="0"/>
                <w:smallCaps w:val="0"/>
                <w:color w:val="auto"/>
                <w:spacing w:val="0"/>
                <w:w w:val="100"/>
                <w:kern w:val="0"/>
                <w:position w:val="0"/>
                <w:szCs w:val="21"/>
                <w:u w:val="none" w:color="auto"/>
              </w:rPr>
              <w:t>二</w:t>
            </w:r>
          </w:p>
        </w:tc>
        <w:tc>
          <w:tcPr>
            <w:tcW w:w="2063" w:type="dxa"/>
            <w:tcBorders>
              <w:tl2br w:val="nil"/>
              <w:tr2bl w:val="nil"/>
            </w:tcBorders>
            <w:vAlign w:val="center"/>
          </w:tcPr>
          <w:p w14:paraId="58EEDB76">
            <w:pPr>
              <w:keepNext w:val="0"/>
              <w:keepLines w:val="0"/>
              <w:pageBreakBefore w:val="0"/>
              <w:widowControl/>
              <w:kinsoku w:val="0"/>
              <w:wordWrap w:val="0"/>
              <w:overflowPunct/>
              <w:topLinePunct/>
              <w:autoSpaceDE/>
              <w:autoSpaceDN/>
              <w:bidi w:val="0"/>
              <w:adjustRightInd/>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三</w:t>
            </w:r>
          </w:p>
        </w:tc>
      </w:tr>
      <w:tr w14:paraId="251F9E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978" w:type="dxa"/>
            <w:tcBorders>
              <w:tl2br w:val="nil"/>
              <w:tr2bl w:val="nil"/>
            </w:tcBorders>
            <w:vAlign w:val="center"/>
          </w:tcPr>
          <w:p w14:paraId="2E548D29">
            <w:pPr>
              <w:keepNext w:val="0"/>
              <w:keepLines w:val="0"/>
              <w:pageBreakBefore w:val="0"/>
              <w:widowControl/>
              <w:kinsoku w:val="0"/>
              <w:wordWrap w:val="0"/>
              <w:overflowPunct/>
              <w:topLinePunct/>
              <w:autoSpaceDE/>
              <w:autoSpaceDN/>
              <w:bidi w:val="0"/>
              <w:adjustRightInd/>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rPr>
            </w:pPr>
            <w:r>
              <w:rPr>
                <w:rFonts w:hint="default" w:ascii="Times New Roman" w:hAnsi="Times New Roman" w:eastAsia="宋体" w:cs="Times New Roman"/>
                <w:caps w:val="0"/>
                <w:smallCaps w:val="0"/>
                <w:color w:val="auto"/>
                <w:spacing w:val="0"/>
                <w:w w:val="100"/>
                <w:kern w:val="0"/>
                <w:position w:val="0"/>
                <w:szCs w:val="21"/>
                <w:u w:val="none" w:color="auto"/>
              </w:rPr>
              <w:t>不敏感</w:t>
            </w:r>
          </w:p>
        </w:tc>
        <w:tc>
          <w:tcPr>
            <w:tcW w:w="2132" w:type="dxa"/>
            <w:tcBorders>
              <w:tl2br w:val="nil"/>
              <w:tr2bl w:val="nil"/>
            </w:tcBorders>
            <w:vAlign w:val="center"/>
          </w:tcPr>
          <w:p w14:paraId="64D32C3C">
            <w:pPr>
              <w:keepNext w:val="0"/>
              <w:keepLines w:val="0"/>
              <w:pageBreakBefore w:val="0"/>
              <w:widowControl/>
              <w:kinsoku w:val="0"/>
              <w:wordWrap w:val="0"/>
              <w:overflowPunct/>
              <w:topLinePunct/>
              <w:autoSpaceDE/>
              <w:autoSpaceDN/>
              <w:bidi w:val="0"/>
              <w:adjustRightInd/>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rPr>
            </w:pPr>
            <w:r>
              <w:rPr>
                <w:rFonts w:hint="default" w:ascii="Times New Roman" w:hAnsi="Times New Roman" w:eastAsia="宋体" w:cs="Times New Roman"/>
                <w:caps w:val="0"/>
                <w:smallCaps w:val="0"/>
                <w:color w:val="auto"/>
                <w:spacing w:val="0"/>
                <w:w w:val="100"/>
                <w:kern w:val="0"/>
                <w:position w:val="0"/>
                <w:szCs w:val="21"/>
                <w:u w:val="none" w:color="auto"/>
              </w:rPr>
              <w:t>二</w:t>
            </w:r>
          </w:p>
        </w:tc>
        <w:tc>
          <w:tcPr>
            <w:tcW w:w="1899" w:type="dxa"/>
            <w:tcBorders>
              <w:tl2br w:val="nil"/>
              <w:tr2bl w:val="nil"/>
            </w:tcBorders>
            <w:vAlign w:val="center"/>
          </w:tcPr>
          <w:p w14:paraId="2C70F4EF">
            <w:pPr>
              <w:keepNext w:val="0"/>
              <w:keepLines w:val="0"/>
              <w:pageBreakBefore w:val="0"/>
              <w:widowControl/>
              <w:kinsoku w:val="0"/>
              <w:wordWrap w:val="0"/>
              <w:overflowPunct/>
              <w:topLinePunct/>
              <w:autoSpaceDE/>
              <w:autoSpaceDN/>
              <w:bidi w:val="0"/>
              <w:adjustRightInd/>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rPr>
            </w:pPr>
            <w:r>
              <w:rPr>
                <w:rFonts w:hint="default" w:ascii="Times New Roman" w:hAnsi="Times New Roman" w:eastAsia="宋体" w:cs="Times New Roman"/>
                <w:caps w:val="0"/>
                <w:smallCaps w:val="0"/>
                <w:color w:val="auto"/>
                <w:spacing w:val="0"/>
                <w:w w:val="100"/>
                <w:kern w:val="0"/>
                <w:position w:val="0"/>
                <w:szCs w:val="21"/>
                <w:u w:val="none" w:color="auto"/>
              </w:rPr>
              <w:t>三</w:t>
            </w:r>
          </w:p>
        </w:tc>
        <w:tc>
          <w:tcPr>
            <w:tcW w:w="2063" w:type="dxa"/>
            <w:tcBorders>
              <w:tl2br w:val="nil"/>
              <w:tr2bl w:val="nil"/>
            </w:tcBorders>
            <w:vAlign w:val="center"/>
          </w:tcPr>
          <w:p w14:paraId="082146DF">
            <w:pPr>
              <w:keepNext w:val="0"/>
              <w:keepLines w:val="0"/>
              <w:pageBreakBefore w:val="0"/>
              <w:widowControl/>
              <w:kinsoku w:val="0"/>
              <w:wordWrap w:val="0"/>
              <w:overflowPunct/>
              <w:topLinePunct/>
              <w:autoSpaceDE/>
              <w:autoSpaceDN/>
              <w:bidi w:val="0"/>
              <w:adjustRightInd/>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三</w:t>
            </w:r>
          </w:p>
        </w:tc>
      </w:tr>
    </w:tbl>
    <w:p w14:paraId="45C0682C">
      <w:pPr>
        <w:pStyle w:val="105"/>
        <w:rPr>
          <w:rFonts w:hint="default" w:ascii="Times New Roman" w:hAnsi="Times New Roman" w:cs="Times New Roman"/>
          <w:color w:val="auto"/>
          <w:u w:val="none" w:color="auto"/>
        </w:rPr>
      </w:pPr>
      <w:r>
        <w:rPr>
          <w:rFonts w:hint="default" w:ascii="Times New Roman" w:hAnsi="Times New Roman" w:cs="Times New Roman"/>
          <w:color w:val="auto"/>
          <w:u w:val="none" w:color="auto"/>
          <w:lang w:eastAsia="zh-CN"/>
        </w:rPr>
        <w:t>综上，本</w:t>
      </w:r>
      <w:r>
        <w:rPr>
          <w:rFonts w:hint="default" w:ascii="Times New Roman" w:hAnsi="Times New Roman" w:cs="Times New Roman"/>
          <w:color w:val="auto"/>
          <w:u w:val="none" w:color="auto"/>
        </w:rPr>
        <w:t>项目地下水环境影响评价项目类别为Ⅲ类，环境敏感程度为</w:t>
      </w:r>
      <w:r>
        <w:rPr>
          <w:rFonts w:hint="default" w:ascii="Times New Roman" w:hAnsi="Times New Roman" w:cs="Times New Roman"/>
          <w:color w:val="auto"/>
          <w:u w:val="none" w:color="auto"/>
          <w:lang w:eastAsia="zh-CN"/>
        </w:rPr>
        <w:t>不</w:t>
      </w:r>
      <w:r>
        <w:rPr>
          <w:rFonts w:hint="default" w:ascii="Times New Roman" w:hAnsi="Times New Roman" w:cs="Times New Roman"/>
          <w:color w:val="auto"/>
          <w:u w:val="none" w:color="auto"/>
        </w:rPr>
        <w:t>敏感</w:t>
      </w:r>
      <w:r>
        <w:rPr>
          <w:rFonts w:hint="default" w:ascii="Times New Roman" w:hAnsi="Times New Roman" w:cs="Times New Roman"/>
          <w:color w:val="auto"/>
          <w:u w:val="none" w:color="auto"/>
          <w:lang w:eastAsia="zh-CN"/>
        </w:rPr>
        <w:t>，本</w:t>
      </w:r>
      <w:r>
        <w:rPr>
          <w:rFonts w:hint="default" w:ascii="Times New Roman" w:hAnsi="Times New Roman" w:cs="Times New Roman"/>
          <w:color w:val="auto"/>
          <w:u w:val="none" w:color="auto"/>
        </w:rPr>
        <w:t>项目地下水评价等级为三级。</w:t>
      </w:r>
    </w:p>
    <w:p w14:paraId="45F906AC">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（4）声环境</w:t>
      </w:r>
    </w:p>
    <w:p w14:paraId="49E99FEA">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根据《环境影响评价技术导则 声环境》（HJ2.4-20</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21</w:t>
      </w:r>
      <w:r>
        <w:rPr>
          <w:rFonts w:hint="default" w:ascii="Times New Roman" w:hAnsi="Times New Roman" w:eastAsia="宋体" w:cs="Times New Roman"/>
          <w:caps w:val="0"/>
          <w:smallCaps w:val="0"/>
          <w:color w:val="auto"/>
          <w:spacing w:val="0"/>
          <w:w w:val="100"/>
          <w:kern w:val="0"/>
          <w:position w:val="0"/>
          <w:sz w:val="24"/>
          <w:szCs w:val="24"/>
          <w:u w:val="none" w:color="auto"/>
        </w:rPr>
        <w:t>），声环境影响评价工作等级划分依据见表1.6-4。</w:t>
      </w:r>
    </w:p>
    <w:p w14:paraId="6FDE9143">
      <w:pPr>
        <w:keepNext w:val="0"/>
        <w:keepLines w:val="0"/>
        <w:pageBreakBefore w:val="0"/>
        <w:widowControl w:val="0"/>
        <w:kinsoku w:val="0"/>
        <w:wordWrap w:val="0"/>
        <w:overflowPunct/>
        <w:topLinePunct/>
        <w:autoSpaceDE/>
        <w:autoSpaceDN/>
        <w:bidi w:val="0"/>
        <w:adjustRightInd w:val="0"/>
        <w:snapToGrid/>
        <w:spacing w:line="360" w:lineRule="auto"/>
        <w:jc w:val="center"/>
        <w:textAlignment w:val="auto"/>
        <w:rPr>
          <w:rFonts w:hint="default" w:ascii="Times New Roman" w:hAnsi="Times New Roman" w:eastAsia="宋体" w:cs="Times New Roman"/>
          <w:b/>
          <w:caps w:val="0"/>
          <w:smallCaps w:val="0"/>
          <w:color w:val="auto"/>
          <w:spacing w:val="0"/>
          <w:w w:val="100"/>
          <w:kern w:val="0"/>
          <w:position w:val="0"/>
          <w:sz w:val="24"/>
          <w:szCs w:val="24"/>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表1.6-4  声环境评价工作等级划分</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573"/>
        <w:gridCol w:w="1920"/>
        <w:gridCol w:w="2052"/>
        <w:gridCol w:w="1971"/>
      </w:tblGrid>
      <w:tr w14:paraId="06A2F6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73" w:type="dxa"/>
            <w:tcBorders>
              <w:tl2br w:val="nil"/>
              <w:tr2bl w:val="nil"/>
            </w:tcBorders>
            <w:vAlign w:val="center"/>
          </w:tcPr>
          <w:p w14:paraId="42911EB8">
            <w:pPr>
              <w:pStyle w:val="17"/>
              <w:keepNext w:val="0"/>
              <w:keepLines w:val="0"/>
              <w:pageBreakBefore w:val="0"/>
              <w:widowControl w:val="0"/>
              <w:kinsoku w:val="0"/>
              <w:wordWrap w:val="0"/>
              <w:overflowPunct/>
              <w:topLinePunct/>
              <w:autoSpaceDE/>
              <w:autoSpaceDN/>
              <w:bidi w:val="0"/>
              <w:adjustRightInd w:val="0"/>
              <w:snapToGrid w:val="0"/>
              <w:spacing w:before="0" w:after="0" w:line="340" w:lineRule="exact"/>
              <w:jc w:val="center"/>
              <w:textAlignment w:val="auto"/>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类别</w:t>
            </w:r>
          </w:p>
        </w:tc>
        <w:tc>
          <w:tcPr>
            <w:tcW w:w="1920" w:type="dxa"/>
            <w:tcBorders>
              <w:tl2br w:val="nil"/>
              <w:tr2bl w:val="nil"/>
            </w:tcBorders>
            <w:vAlign w:val="center"/>
          </w:tcPr>
          <w:p w14:paraId="45A915FE">
            <w:pPr>
              <w:pStyle w:val="17"/>
              <w:keepNext w:val="0"/>
              <w:keepLines w:val="0"/>
              <w:pageBreakBefore w:val="0"/>
              <w:widowControl w:val="0"/>
              <w:kinsoku w:val="0"/>
              <w:wordWrap w:val="0"/>
              <w:overflowPunct/>
              <w:topLinePunct/>
              <w:autoSpaceDE/>
              <w:autoSpaceDN/>
              <w:bidi w:val="0"/>
              <w:adjustRightInd w:val="0"/>
              <w:snapToGrid w:val="0"/>
              <w:spacing w:before="0" w:after="0" w:line="340" w:lineRule="exact"/>
              <w:jc w:val="center"/>
              <w:textAlignment w:val="auto"/>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一级</w:t>
            </w:r>
          </w:p>
        </w:tc>
        <w:tc>
          <w:tcPr>
            <w:tcW w:w="2052" w:type="dxa"/>
            <w:tcBorders>
              <w:tl2br w:val="nil"/>
              <w:tr2bl w:val="nil"/>
            </w:tcBorders>
            <w:vAlign w:val="center"/>
          </w:tcPr>
          <w:p w14:paraId="1BD39489">
            <w:pPr>
              <w:pStyle w:val="17"/>
              <w:keepNext w:val="0"/>
              <w:keepLines w:val="0"/>
              <w:pageBreakBefore w:val="0"/>
              <w:widowControl w:val="0"/>
              <w:kinsoku w:val="0"/>
              <w:wordWrap w:val="0"/>
              <w:overflowPunct/>
              <w:topLinePunct/>
              <w:autoSpaceDE/>
              <w:autoSpaceDN/>
              <w:bidi w:val="0"/>
              <w:adjustRightInd w:val="0"/>
              <w:snapToGrid w:val="0"/>
              <w:spacing w:before="0" w:after="0" w:line="340" w:lineRule="exact"/>
              <w:jc w:val="center"/>
              <w:textAlignment w:val="auto"/>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二级</w:t>
            </w:r>
          </w:p>
        </w:tc>
        <w:tc>
          <w:tcPr>
            <w:tcW w:w="1971" w:type="dxa"/>
            <w:tcBorders>
              <w:tl2br w:val="nil"/>
              <w:tr2bl w:val="nil"/>
            </w:tcBorders>
            <w:vAlign w:val="center"/>
          </w:tcPr>
          <w:p w14:paraId="029BADC4">
            <w:pPr>
              <w:pStyle w:val="17"/>
              <w:keepNext w:val="0"/>
              <w:keepLines w:val="0"/>
              <w:pageBreakBefore w:val="0"/>
              <w:widowControl w:val="0"/>
              <w:kinsoku w:val="0"/>
              <w:wordWrap w:val="0"/>
              <w:overflowPunct/>
              <w:topLinePunct/>
              <w:autoSpaceDE/>
              <w:autoSpaceDN/>
              <w:bidi w:val="0"/>
              <w:adjustRightInd w:val="0"/>
              <w:snapToGrid w:val="0"/>
              <w:spacing w:before="0" w:after="0" w:line="340" w:lineRule="exact"/>
              <w:jc w:val="center"/>
              <w:textAlignment w:val="auto"/>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三级</w:t>
            </w:r>
          </w:p>
        </w:tc>
      </w:tr>
      <w:tr w14:paraId="3EC94E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73" w:type="dxa"/>
            <w:tcBorders>
              <w:tl2br w:val="nil"/>
              <w:tr2bl w:val="nil"/>
            </w:tcBorders>
            <w:vAlign w:val="center"/>
          </w:tcPr>
          <w:p w14:paraId="6242418C">
            <w:pPr>
              <w:pStyle w:val="17"/>
              <w:pageBreakBefore w:val="0"/>
              <w:kinsoku w:val="0"/>
              <w:wordWrap w:val="0"/>
              <w:overflowPunct/>
              <w:topLinePunct/>
              <w:autoSpaceDE/>
              <w:autoSpaceDN/>
              <w:bidi w:val="0"/>
              <w:spacing w:before="0" w:after="0"/>
              <w:jc w:val="center"/>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建设项目所在区域的声环境功能区类别</w:t>
            </w:r>
          </w:p>
        </w:tc>
        <w:tc>
          <w:tcPr>
            <w:tcW w:w="1920" w:type="dxa"/>
            <w:tcBorders>
              <w:tl2br w:val="nil"/>
              <w:tr2bl w:val="nil"/>
            </w:tcBorders>
            <w:vAlign w:val="center"/>
          </w:tcPr>
          <w:p w14:paraId="79A88EC3">
            <w:pPr>
              <w:pStyle w:val="17"/>
              <w:pageBreakBefore w:val="0"/>
              <w:kinsoku w:val="0"/>
              <w:wordWrap w:val="0"/>
              <w:overflowPunct/>
              <w:topLinePunct/>
              <w:autoSpaceDE/>
              <w:autoSpaceDN/>
              <w:bidi w:val="0"/>
              <w:spacing w:before="0" w:after="0"/>
              <w:jc w:val="center"/>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GB3096规定的0类区域</w:t>
            </w:r>
          </w:p>
        </w:tc>
        <w:tc>
          <w:tcPr>
            <w:tcW w:w="2052" w:type="dxa"/>
            <w:tcBorders>
              <w:tl2br w:val="nil"/>
              <w:tr2bl w:val="nil"/>
            </w:tcBorders>
            <w:vAlign w:val="center"/>
          </w:tcPr>
          <w:p w14:paraId="61346286">
            <w:pPr>
              <w:pStyle w:val="17"/>
              <w:pageBreakBefore w:val="0"/>
              <w:kinsoku w:val="0"/>
              <w:wordWrap w:val="0"/>
              <w:overflowPunct/>
              <w:topLinePunct/>
              <w:autoSpaceDE/>
              <w:autoSpaceDN/>
              <w:bidi w:val="0"/>
              <w:spacing w:before="0" w:after="0"/>
              <w:jc w:val="center"/>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GB3096规定的1类、2类地区</w:t>
            </w:r>
          </w:p>
        </w:tc>
        <w:tc>
          <w:tcPr>
            <w:tcW w:w="1971" w:type="dxa"/>
            <w:tcBorders>
              <w:tl2br w:val="nil"/>
              <w:tr2bl w:val="nil"/>
            </w:tcBorders>
            <w:vAlign w:val="center"/>
          </w:tcPr>
          <w:p w14:paraId="3CC92193">
            <w:pPr>
              <w:pStyle w:val="17"/>
              <w:pageBreakBefore w:val="0"/>
              <w:kinsoku w:val="0"/>
              <w:wordWrap w:val="0"/>
              <w:overflowPunct/>
              <w:topLinePunct/>
              <w:autoSpaceDE/>
              <w:autoSpaceDN/>
              <w:bidi w:val="0"/>
              <w:spacing w:before="0" w:after="0"/>
              <w:jc w:val="center"/>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GB3096规定的3类、4类地区</w:t>
            </w:r>
          </w:p>
        </w:tc>
      </w:tr>
      <w:tr w14:paraId="7F9559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73" w:type="dxa"/>
            <w:tcBorders>
              <w:tl2br w:val="nil"/>
              <w:tr2bl w:val="nil"/>
            </w:tcBorders>
            <w:vAlign w:val="center"/>
          </w:tcPr>
          <w:p w14:paraId="6C46F267">
            <w:pPr>
              <w:pStyle w:val="17"/>
              <w:pageBreakBefore w:val="0"/>
              <w:kinsoku w:val="0"/>
              <w:wordWrap w:val="0"/>
              <w:overflowPunct/>
              <w:topLinePunct/>
              <w:autoSpaceDE/>
              <w:autoSpaceDN/>
              <w:bidi w:val="0"/>
              <w:spacing w:before="0" w:after="0"/>
              <w:jc w:val="center"/>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建设项目建设前后所在区域的声环境质量变化程度</w:t>
            </w:r>
          </w:p>
        </w:tc>
        <w:tc>
          <w:tcPr>
            <w:tcW w:w="1920" w:type="dxa"/>
            <w:tcBorders>
              <w:tl2br w:val="nil"/>
              <w:tr2bl w:val="nil"/>
            </w:tcBorders>
            <w:vAlign w:val="center"/>
          </w:tcPr>
          <w:p w14:paraId="499E292E">
            <w:pPr>
              <w:pStyle w:val="17"/>
              <w:pageBreakBefore w:val="0"/>
              <w:kinsoku w:val="0"/>
              <w:wordWrap w:val="0"/>
              <w:overflowPunct/>
              <w:topLinePunct/>
              <w:autoSpaceDE/>
              <w:autoSpaceDN/>
              <w:bidi w:val="0"/>
              <w:spacing w:before="0" w:after="0"/>
              <w:jc w:val="both"/>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lang w:eastAsia="zh-CN"/>
              </w:rPr>
              <w:t>或</w:t>
            </w:r>
            <w:r>
              <w:rPr>
                <w:rFonts w:hint="default" w:ascii="Times New Roman" w:hAnsi="Times New Roman" w:eastAsia="宋体" w:cs="Times New Roman"/>
                <w:caps w:val="0"/>
                <w:smallCaps w:val="0"/>
                <w:color w:val="auto"/>
                <w:spacing w:val="0"/>
                <w:w w:val="100"/>
                <w:position w:val="0"/>
                <w:sz w:val="21"/>
                <w:szCs w:val="21"/>
                <w:u w:val="none" w:color="auto"/>
              </w:rPr>
              <w:t>敏感目标噪声级增量＞5dB（A）</w:t>
            </w:r>
          </w:p>
        </w:tc>
        <w:tc>
          <w:tcPr>
            <w:tcW w:w="2052" w:type="dxa"/>
            <w:tcBorders>
              <w:tl2br w:val="nil"/>
              <w:tr2bl w:val="nil"/>
            </w:tcBorders>
            <w:vAlign w:val="center"/>
          </w:tcPr>
          <w:p w14:paraId="6B9DFA1A">
            <w:pPr>
              <w:pStyle w:val="17"/>
              <w:pageBreakBefore w:val="0"/>
              <w:kinsoku w:val="0"/>
              <w:wordWrap w:val="0"/>
              <w:overflowPunct/>
              <w:topLinePunct/>
              <w:autoSpaceDE/>
              <w:autoSpaceDN/>
              <w:bidi w:val="0"/>
              <w:spacing w:before="0" w:after="0"/>
              <w:jc w:val="center"/>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lang w:eastAsia="zh-CN"/>
              </w:rPr>
              <w:t>或</w:t>
            </w:r>
            <w:r>
              <w:rPr>
                <w:rFonts w:hint="default" w:ascii="Times New Roman" w:hAnsi="Times New Roman" w:eastAsia="宋体" w:cs="Times New Roman"/>
                <w:caps w:val="0"/>
                <w:smallCaps w:val="0"/>
                <w:color w:val="auto"/>
                <w:spacing w:val="0"/>
                <w:w w:val="100"/>
                <w:position w:val="0"/>
                <w:sz w:val="21"/>
                <w:szCs w:val="21"/>
                <w:u w:val="none" w:color="auto"/>
              </w:rPr>
              <w:t>敏感目标噪声级增量达3～5dB（A）</w:t>
            </w:r>
          </w:p>
        </w:tc>
        <w:tc>
          <w:tcPr>
            <w:tcW w:w="1971" w:type="dxa"/>
            <w:tcBorders>
              <w:tl2br w:val="nil"/>
              <w:tr2bl w:val="nil"/>
            </w:tcBorders>
            <w:vAlign w:val="center"/>
          </w:tcPr>
          <w:p w14:paraId="6694392F">
            <w:pPr>
              <w:pStyle w:val="17"/>
              <w:pageBreakBefore w:val="0"/>
              <w:kinsoku w:val="0"/>
              <w:wordWrap w:val="0"/>
              <w:overflowPunct/>
              <w:topLinePunct/>
              <w:autoSpaceDE/>
              <w:autoSpaceDN/>
              <w:bidi w:val="0"/>
              <w:spacing w:before="0" w:after="0"/>
              <w:jc w:val="center"/>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lang w:eastAsia="zh-CN"/>
              </w:rPr>
              <w:t>或</w:t>
            </w:r>
            <w:r>
              <w:rPr>
                <w:rFonts w:hint="default" w:ascii="Times New Roman" w:hAnsi="Times New Roman" w:eastAsia="宋体" w:cs="Times New Roman"/>
                <w:caps w:val="0"/>
                <w:smallCaps w:val="0"/>
                <w:color w:val="auto"/>
                <w:spacing w:val="0"/>
                <w:w w:val="100"/>
                <w:position w:val="0"/>
                <w:sz w:val="21"/>
                <w:szCs w:val="21"/>
                <w:u w:val="none" w:color="auto"/>
              </w:rPr>
              <w:t>敏感目标噪声级增量＜3dB（A）</w:t>
            </w:r>
          </w:p>
        </w:tc>
      </w:tr>
      <w:tr w14:paraId="6E6D1C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73" w:type="dxa"/>
            <w:tcBorders>
              <w:tl2br w:val="nil"/>
              <w:tr2bl w:val="nil"/>
            </w:tcBorders>
            <w:vAlign w:val="center"/>
          </w:tcPr>
          <w:p w14:paraId="6A96D31B">
            <w:pPr>
              <w:pStyle w:val="17"/>
              <w:keepNext w:val="0"/>
              <w:keepLines w:val="0"/>
              <w:pageBreakBefore w:val="0"/>
              <w:widowControl w:val="0"/>
              <w:kinsoku w:val="0"/>
              <w:wordWrap w:val="0"/>
              <w:overflowPunct/>
              <w:topLinePunct/>
              <w:autoSpaceDE/>
              <w:autoSpaceDN/>
              <w:bidi w:val="0"/>
              <w:adjustRightInd w:val="0"/>
              <w:snapToGrid w:val="0"/>
              <w:spacing w:before="0" w:after="0" w:line="340" w:lineRule="exact"/>
              <w:jc w:val="center"/>
              <w:textAlignment w:val="auto"/>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受影响人口数量</w:t>
            </w:r>
          </w:p>
        </w:tc>
        <w:tc>
          <w:tcPr>
            <w:tcW w:w="1920" w:type="dxa"/>
            <w:tcBorders>
              <w:tl2br w:val="nil"/>
              <w:tr2bl w:val="nil"/>
            </w:tcBorders>
            <w:vAlign w:val="center"/>
          </w:tcPr>
          <w:p w14:paraId="61A96287">
            <w:pPr>
              <w:pStyle w:val="17"/>
              <w:keepNext w:val="0"/>
              <w:keepLines w:val="0"/>
              <w:pageBreakBefore w:val="0"/>
              <w:widowControl w:val="0"/>
              <w:kinsoku w:val="0"/>
              <w:wordWrap w:val="0"/>
              <w:overflowPunct/>
              <w:topLinePunct/>
              <w:autoSpaceDE/>
              <w:autoSpaceDN/>
              <w:bidi w:val="0"/>
              <w:adjustRightInd w:val="0"/>
              <w:snapToGrid w:val="0"/>
              <w:spacing w:before="0" w:after="0"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lang w:eastAsia="zh-CN"/>
              </w:rPr>
              <w:t>或</w:t>
            </w:r>
            <w:r>
              <w:rPr>
                <w:rFonts w:hint="default" w:ascii="Times New Roman" w:hAnsi="Times New Roman" w:eastAsia="宋体" w:cs="Times New Roman"/>
                <w:caps w:val="0"/>
                <w:smallCaps w:val="0"/>
                <w:color w:val="auto"/>
                <w:spacing w:val="0"/>
                <w:w w:val="100"/>
                <w:position w:val="0"/>
                <w:sz w:val="21"/>
                <w:szCs w:val="21"/>
                <w:u w:val="none" w:color="auto"/>
              </w:rPr>
              <w:t>显著增多</w:t>
            </w:r>
          </w:p>
        </w:tc>
        <w:tc>
          <w:tcPr>
            <w:tcW w:w="2052" w:type="dxa"/>
            <w:tcBorders>
              <w:tl2br w:val="nil"/>
              <w:tr2bl w:val="nil"/>
            </w:tcBorders>
            <w:vAlign w:val="center"/>
          </w:tcPr>
          <w:p w14:paraId="14C52E72">
            <w:pPr>
              <w:pStyle w:val="17"/>
              <w:keepNext w:val="0"/>
              <w:keepLines w:val="0"/>
              <w:pageBreakBefore w:val="0"/>
              <w:widowControl w:val="0"/>
              <w:kinsoku w:val="0"/>
              <w:wordWrap w:val="0"/>
              <w:overflowPunct/>
              <w:topLinePunct/>
              <w:autoSpaceDE/>
              <w:autoSpaceDN/>
              <w:bidi w:val="0"/>
              <w:adjustRightInd w:val="0"/>
              <w:snapToGrid w:val="0"/>
              <w:spacing w:before="0" w:after="0"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lang w:eastAsia="zh-CN"/>
              </w:rPr>
              <w:t>或</w:t>
            </w:r>
            <w:r>
              <w:rPr>
                <w:rFonts w:hint="default" w:ascii="Times New Roman" w:hAnsi="Times New Roman" w:eastAsia="宋体" w:cs="Times New Roman"/>
                <w:caps w:val="0"/>
                <w:smallCaps w:val="0"/>
                <w:color w:val="auto"/>
                <w:spacing w:val="0"/>
                <w:w w:val="100"/>
                <w:position w:val="0"/>
                <w:sz w:val="21"/>
                <w:szCs w:val="21"/>
                <w:u w:val="none" w:color="auto"/>
              </w:rPr>
              <w:t>增加较多</w:t>
            </w:r>
          </w:p>
        </w:tc>
        <w:tc>
          <w:tcPr>
            <w:tcW w:w="1971" w:type="dxa"/>
            <w:tcBorders>
              <w:tl2br w:val="nil"/>
              <w:tr2bl w:val="nil"/>
            </w:tcBorders>
            <w:vAlign w:val="center"/>
          </w:tcPr>
          <w:p w14:paraId="59AE4E08">
            <w:pPr>
              <w:pStyle w:val="17"/>
              <w:keepNext w:val="0"/>
              <w:keepLines w:val="0"/>
              <w:pageBreakBefore w:val="0"/>
              <w:widowControl w:val="0"/>
              <w:kinsoku w:val="0"/>
              <w:wordWrap w:val="0"/>
              <w:overflowPunct/>
              <w:topLinePunct/>
              <w:autoSpaceDE/>
              <w:autoSpaceDN/>
              <w:bidi w:val="0"/>
              <w:adjustRightInd w:val="0"/>
              <w:snapToGrid w:val="0"/>
              <w:spacing w:before="0" w:after="0"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lang w:eastAsia="zh-CN"/>
              </w:rPr>
              <w:t>或</w:t>
            </w:r>
            <w:r>
              <w:rPr>
                <w:rFonts w:hint="default" w:ascii="Times New Roman" w:hAnsi="Times New Roman" w:eastAsia="宋体" w:cs="Times New Roman"/>
                <w:caps w:val="0"/>
                <w:smallCaps w:val="0"/>
                <w:color w:val="auto"/>
                <w:spacing w:val="0"/>
                <w:w w:val="100"/>
                <w:position w:val="0"/>
                <w:sz w:val="21"/>
                <w:szCs w:val="21"/>
                <w:u w:val="none" w:color="auto"/>
              </w:rPr>
              <w:t>变化不大</w:t>
            </w:r>
          </w:p>
        </w:tc>
      </w:tr>
    </w:tbl>
    <w:p w14:paraId="2FC4D6EC">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项目所处区域为1类区，项目建设前后噪声级增高量在3dB（A）以下，且受影响人口</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基本</w:t>
      </w:r>
      <w:r>
        <w:rPr>
          <w:rFonts w:hint="default" w:ascii="Times New Roman" w:hAnsi="Times New Roman" w:eastAsia="宋体" w:cs="Times New Roman"/>
          <w:caps w:val="0"/>
          <w:smallCaps w:val="0"/>
          <w:color w:val="auto"/>
          <w:spacing w:val="0"/>
          <w:w w:val="100"/>
          <w:kern w:val="0"/>
          <w:position w:val="0"/>
          <w:sz w:val="24"/>
          <w:szCs w:val="24"/>
          <w:u w:val="none" w:color="auto"/>
        </w:rPr>
        <w:t>无变化。根据《环境影响评价技术导则  声环境》（HJ2.4-20</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21</w:t>
      </w:r>
      <w:r>
        <w:rPr>
          <w:rFonts w:hint="default" w:ascii="Times New Roman" w:hAnsi="Times New Roman" w:eastAsia="宋体" w:cs="Times New Roman"/>
          <w:caps w:val="0"/>
          <w:smallCaps w:val="0"/>
          <w:color w:val="auto"/>
          <w:spacing w:val="0"/>
          <w:w w:val="100"/>
          <w:kern w:val="0"/>
          <w:position w:val="0"/>
          <w:sz w:val="24"/>
          <w:szCs w:val="24"/>
          <w:u w:val="none" w:color="auto"/>
        </w:rPr>
        <w:t>）中相关规定，本次声环境影响评价确定为二级。</w:t>
      </w:r>
    </w:p>
    <w:p w14:paraId="48B72408">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（5）土壤环境</w:t>
      </w:r>
    </w:p>
    <w:p w14:paraId="03132E96">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项目为</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除险加固工程</w:t>
      </w:r>
      <w:r>
        <w:rPr>
          <w:rFonts w:hint="default" w:ascii="Times New Roman" w:hAnsi="Times New Roman" w:eastAsia="宋体" w:cs="Times New Roman"/>
          <w:caps w:val="0"/>
          <w:smallCaps w:val="0"/>
          <w:color w:val="auto"/>
          <w:spacing w:val="0"/>
          <w:w w:val="100"/>
          <w:kern w:val="0"/>
          <w:position w:val="0"/>
          <w:sz w:val="24"/>
          <w:szCs w:val="24"/>
          <w:u w:val="none" w:color="auto"/>
        </w:rPr>
        <w:t>，属于生态影响型。根据《环境影响评价技术导则 土壤环境（试行）》（HJ964-2018），建设项目土壤环境影响评价工作等级根据土壤环境影响评价项目类别与敏感程度进行划分。</w:t>
      </w:r>
      <w:r>
        <w:rPr>
          <w:rFonts w:hint="default" w:ascii="Times New Roman" w:hAnsi="Times New Roman" w:eastAsia="宋体" w:cs="Times New Roman"/>
          <w:color w:val="auto"/>
          <w:spacing w:val="0"/>
          <w:w w:val="100"/>
          <w:position w:val="0"/>
          <w:sz w:val="24"/>
          <w:szCs w:val="24"/>
          <w:u w:val="none" w:color="auto"/>
        </w:rPr>
        <w:t>生态影响型评价工作等级划分见下表</w:t>
      </w:r>
      <w:r>
        <w:rPr>
          <w:rFonts w:hint="default" w:ascii="Times New Roman" w:hAnsi="Times New Roman" w:eastAsia="宋体" w:cs="Times New Roman"/>
          <w:color w:val="auto"/>
          <w:spacing w:val="0"/>
          <w:w w:val="100"/>
          <w:position w:val="0"/>
          <w:sz w:val="24"/>
          <w:szCs w:val="24"/>
          <w:u w:val="none" w:color="auto"/>
          <w:lang w:eastAsia="zh-CN"/>
        </w:rPr>
        <w:t>：</w:t>
      </w:r>
    </w:p>
    <w:p w14:paraId="7B582047">
      <w:pPr>
        <w:spacing w:line="214" w:lineRule="auto"/>
        <w:ind w:left="2932" w:leftChars="0" w:hanging="2932" w:hangingChars="1217"/>
        <w:jc w:val="center"/>
        <w:rPr>
          <w:rFonts w:hint="default" w:ascii="Times New Roman" w:hAnsi="Times New Roman" w:eastAsia="宋体" w:cs="Times New Roman"/>
          <w:b/>
          <w:bCs/>
          <w:color w:val="auto"/>
          <w:spacing w:val="0"/>
          <w:w w:val="100"/>
          <w:position w:val="0"/>
          <w:sz w:val="24"/>
          <w:szCs w:val="24"/>
          <w:u w:val="none" w:color="auto"/>
        </w:rPr>
      </w:pPr>
      <w:r>
        <w:rPr>
          <w:rFonts w:hint="default" w:ascii="Times New Roman" w:hAnsi="Times New Roman" w:eastAsia="宋体" w:cs="Times New Roman"/>
          <w:b/>
          <w:bCs/>
          <w:color w:val="auto"/>
          <w:spacing w:val="0"/>
          <w:w w:val="100"/>
          <w:position w:val="0"/>
          <w:sz w:val="24"/>
          <w:szCs w:val="24"/>
          <w:u w:val="none" w:color="auto"/>
        </w:rPr>
        <w:t>表</w:t>
      </w:r>
      <w:r>
        <w:rPr>
          <w:rFonts w:hint="default" w:ascii="Times New Roman" w:hAnsi="Times New Roman" w:eastAsia="Times New Roman" w:cs="Times New Roman"/>
          <w:b/>
          <w:bCs/>
          <w:color w:val="auto"/>
          <w:spacing w:val="0"/>
          <w:w w:val="100"/>
          <w:position w:val="0"/>
          <w:sz w:val="24"/>
          <w:szCs w:val="24"/>
          <w:u w:val="none" w:color="auto"/>
        </w:rPr>
        <w:t xml:space="preserve">1.6-5   </w:t>
      </w:r>
      <w:r>
        <w:rPr>
          <w:rFonts w:hint="default" w:ascii="Times New Roman" w:hAnsi="Times New Roman" w:eastAsia="宋体" w:cs="Times New Roman"/>
          <w:b/>
          <w:bCs/>
          <w:color w:val="auto"/>
          <w:spacing w:val="0"/>
          <w:w w:val="100"/>
          <w:position w:val="0"/>
          <w:sz w:val="24"/>
          <w:szCs w:val="24"/>
          <w:u w:val="none" w:color="auto"/>
        </w:rPr>
        <w:t>生态影响型敏感程度分级表</w:t>
      </w:r>
    </w:p>
    <w:tbl>
      <w:tblPr>
        <w:tblStyle w:val="9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125"/>
        <w:gridCol w:w="4307"/>
        <w:gridCol w:w="1395"/>
        <w:gridCol w:w="1503"/>
      </w:tblGrid>
      <w:tr w14:paraId="4B9644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3" w:type="dxa"/>
            <w:vMerge w:val="restart"/>
            <w:tcBorders>
              <w:tl2br w:val="nil"/>
              <w:tr2bl w:val="nil"/>
            </w:tcBorders>
            <w:noWrap w:val="0"/>
            <w:vAlign w:val="center"/>
          </w:tcPr>
          <w:p w14:paraId="72E0A607">
            <w:pPr>
              <w:keepNext w:val="0"/>
              <w:keepLines w:val="0"/>
              <w:pageBreakBefore w:val="0"/>
              <w:widowControl w:val="0"/>
              <w:kinsoku/>
              <w:wordWrap/>
              <w:overflowPunct/>
              <w:topLinePunct w:val="0"/>
              <w:autoSpaceDE/>
              <w:autoSpaceDN/>
              <w:bidi w:val="0"/>
              <w:adjustRightInd/>
              <w:snapToGrid/>
              <w:spacing w:line="248" w:lineRule="auto"/>
              <w:ind w:left="0" w:right="0"/>
              <w:jc w:val="center"/>
              <w:textAlignment w:val="auto"/>
              <w:rPr>
                <w:rFonts w:hint="default" w:ascii="Times New Roman" w:hAnsi="Times New Roman" w:cs="Times New Roman"/>
                <w:b/>
                <w:bCs/>
                <w:color w:val="auto"/>
                <w:spacing w:val="0"/>
                <w:w w:val="100"/>
                <w:position w:val="0"/>
                <w:sz w:val="21"/>
                <w:szCs w:val="21"/>
                <w:u w:val="none" w:color="auto"/>
              </w:rPr>
            </w:pPr>
          </w:p>
          <w:p w14:paraId="736444F4">
            <w:pPr>
              <w:keepNext w:val="0"/>
              <w:keepLines w:val="0"/>
              <w:pageBreakBefore w:val="0"/>
              <w:widowControl w:val="0"/>
              <w:kinsoku/>
              <w:wordWrap/>
              <w:overflowPunct/>
              <w:topLinePunct w:val="0"/>
              <w:autoSpaceDE/>
              <w:autoSpaceDN/>
              <w:bidi w:val="0"/>
              <w:adjustRightInd/>
              <w:snapToGrid/>
              <w:spacing w:line="220" w:lineRule="auto"/>
              <w:ind w:left="0" w:righ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敏感程度</w:t>
            </w:r>
          </w:p>
        </w:tc>
        <w:tc>
          <w:tcPr>
            <w:tcW w:w="8037" w:type="dxa"/>
            <w:gridSpan w:val="3"/>
            <w:tcBorders>
              <w:tl2br w:val="nil"/>
              <w:tr2bl w:val="nil"/>
            </w:tcBorders>
            <w:noWrap w:val="0"/>
            <w:vAlign w:val="center"/>
          </w:tcPr>
          <w:p w14:paraId="59F19A5E">
            <w:pPr>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判别依据</w:t>
            </w:r>
          </w:p>
        </w:tc>
      </w:tr>
      <w:tr w14:paraId="64FBCD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3" w:type="dxa"/>
            <w:vMerge w:val="continue"/>
            <w:tcBorders>
              <w:tl2br w:val="nil"/>
              <w:tr2bl w:val="nil"/>
            </w:tcBorders>
            <w:noWrap w:val="0"/>
            <w:vAlign w:val="center"/>
          </w:tcPr>
          <w:p w14:paraId="20E71C02">
            <w:pPr>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cs="Times New Roman"/>
                <w:b/>
                <w:bCs/>
                <w:color w:val="auto"/>
                <w:spacing w:val="0"/>
                <w:w w:val="100"/>
                <w:position w:val="0"/>
                <w:sz w:val="21"/>
                <w:szCs w:val="21"/>
                <w:u w:val="none" w:color="auto"/>
              </w:rPr>
            </w:pPr>
          </w:p>
        </w:tc>
        <w:tc>
          <w:tcPr>
            <w:tcW w:w="4807" w:type="dxa"/>
            <w:tcBorders>
              <w:tl2br w:val="nil"/>
              <w:tr2bl w:val="nil"/>
            </w:tcBorders>
            <w:noWrap w:val="0"/>
            <w:vAlign w:val="center"/>
          </w:tcPr>
          <w:p w14:paraId="5E3A5C3B">
            <w:pPr>
              <w:keepNext w:val="0"/>
              <w:keepLines w:val="0"/>
              <w:pageBreakBefore w:val="0"/>
              <w:widowControl w:val="0"/>
              <w:kinsoku/>
              <w:wordWrap/>
              <w:overflowPunct/>
              <w:topLinePunct w:val="0"/>
              <w:autoSpaceDE/>
              <w:autoSpaceDN/>
              <w:bidi w:val="0"/>
              <w:adjustRightInd/>
              <w:snapToGrid/>
              <w:spacing w:line="221"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盐化</w:t>
            </w:r>
          </w:p>
        </w:tc>
        <w:tc>
          <w:tcPr>
            <w:tcW w:w="1555" w:type="dxa"/>
            <w:tcBorders>
              <w:tl2br w:val="nil"/>
              <w:tr2bl w:val="nil"/>
            </w:tcBorders>
            <w:noWrap w:val="0"/>
            <w:vAlign w:val="center"/>
          </w:tcPr>
          <w:p w14:paraId="2B543935">
            <w:pPr>
              <w:keepNext w:val="0"/>
              <w:keepLines w:val="0"/>
              <w:pageBreakBefore w:val="0"/>
              <w:widowControl w:val="0"/>
              <w:kinsoku/>
              <w:wordWrap/>
              <w:overflowPunct/>
              <w:topLinePunct w:val="0"/>
              <w:autoSpaceDE/>
              <w:autoSpaceDN/>
              <w:bidi w:val="0"/>
              <w:adjustRightInd/>
              <w:snapToGrid/>
              <w:spacing w:line="221"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酸化</w:t>
            </w:r>
          </w:p>
        </w:tc>
        <w:tc>
          <w:tcPr>
            <w:tcW w:w="1675" w:type="dxa"/>
            <w:tcBorders>
              <w:tl2br w:val="nil"/>
              <w:tr2bl w:val="nil"/>
            </w:tcBorders>
            <w:noWrap w:val="0"/>
            <w:vAlign w:val="center"/>
          </w:tcPr>
          <w:p w14:paraId="31481AEF">
            <w:pPr>
              <w:keepNext w:val="0"/>
              <w:keepLines w:val="0"/>
              <w:pageBreakBefore w:val="0"/>
              <w:widowControl w:val="0"/>
              <w:kinsoku/>
              <w:wordWrap/>
              <w:overflowPunct/>
              <w:topLinePunct w:val="0"/>
              <w:autoSpaceDE/>
              <w:autoSpaceDN/>
              <w:bidi w:val="0"/>
              <w:adjustRightInd/>
              <w:snapToGrid/>
              <w:spacing w:line="221"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碱化</w:t>
            </w:r>
          </w:p>
        </w:tc>
      </w:tr>
      <w:tr w14:paraId="126EDB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3" w:type="dxa"/>
            <w:tcBorders>
              <w:tl2br w:val="nil"/>
              <w:tr2bl w:val="nil"/>
            </w:tcBorders>
            <w:noWrap w:val="0"/>
            <w:vAlign w:val="center"/>
          </w:tcPr>
          <w:p w14:paraId="218A50BB">
            <w:pPr>
              <w:keepNext w:val="0"/>
              <w:keepLines w:val="0"/>
              <w:pageBreakBefore w:val="0"/>
              <w:widowControl w:val="0"/>
              <w:kinsoku/>
              <w:wordWrap/>
              <w:overflowPunct/>
              <w:topLinePunct w:val="0"/>
              <w:autoSpaceDE/>
              <w:autoSpaceDN/>
              <w:bidi w:val="0"/>
              <w:adjustRightInd/>
              <w:snapToGrid/>
              <w:spacing w:line="220" w:lineRule="auto"/>
              <w:ind w:left="0" w:righ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敏感</w:t>
            </w:r>
          </w:p>
        </w:tc>
        <w:tc>
          <w:tcPr>
            <w:tcW w:w="4807" w:type="dxa"/>
            <w:tcBorders>
              <w:tl2br w:val="nil"/>
              <w:tr2bl w:val="nil"/>
            </w:tcBorders>
            <w:noWrap w:val="0"/>
            <w:vAlign w:val="center"/>
          </w:tcPr>
          <w:p w14:paraId="63DAD51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建设项目所在地干燥度</w:t>
            </w:r>
            <w:r>
              <w:rPr>
                <w:rFonts w:hint="default" w:ascii="Times New Roman" w:hAnsi="Times New Roman" w:eastAsia="Times New Roman" w:cs="Times New Roman"/>
                <w:color w:val="auto"/>
                <w:spacing w:val="0"/>
                <w:w w:val="100"/>
                <w:position w:val="0"/>
                <w:sz w:val="21"/>
                <w:szCs w:val="21"/>
                <w:u w:val="none" w:color="auto"/>
                <w:vertAlign w:val="superscript"/>
              </w:rPr>
              <w:t>a</w:t>
            </w:r>
            <w:r>
              <w:rPr>
                <w:rFonts w:hint="default" w:ascii="Times New Roman" w:hAnsi="Times New Roman" w:eastAsia="Times New Roman" w:cs="Times New Roman"/>
                <w:color w:val="auto"/>
                <w:spacing w:val="0"/>
                <w:w w:val="100"/>
                <w:position w:val="0"/>
                <w:sz w:val="21"/>
                <w:szCs w:val="21"/>
                <w:u w:val="none" w:color="auto"/>
              </w:rPr>
              <w:t>&gt;2.5</w:t>
            </w:r>
            <w:r>
              <w:rPr>
                <w:rFonts w:hint="default" w:ascii="Times New Roman" w:hAnsi="Times New Roman" w:eastAsia="宋体" w:cs="Times New Roman"/>
                <w:color w:val="auto"/>
                <w:spacing w:val="0"/>
                <w:w w:val="100"/>
                <w:position w:val="0"/>
                <w:sz w:val="21"/>
                <w:szCs w:val="21"/>
                <w:u w:val="none" w:color="auto"/>
              </w:rPr>
              <w:t>且常年地下水位平均埋深</w:t>
            </w:r>
            <w:r>
              <w:rPr>
                <w:rFonts w:hint="default" w:ascii="Times New Roman" w:hAnsi="Times New Roman" w:eastAsia="Times New Roman" w:cs="Times New Roman"/>
                <w:color w:val="auto"/>
                <w:spacing w:val="0"/>
                <w:w w:val="100"/>
                <w:position w:val="0"/>
                <w:sz w:val="21"/>
                <w:szCs w:val="21"/>
                <w:u w:val="none" w:color="auto"/>
              </w:rPr>
              <w:t>&lt;1.5m</w:t>
            </w:r>
            <w:r>
              <w:rPr>
                <w:rFonts w:hint="default" w:ascii="Times New Roman" w:hAnsi="Times New Roman" w:eastAsia="宋体" w:cs="Times New Roman"/>
                <w:color w:val="auto"/>
                <w:spacing w:val="0"/>
                <w:w w:val="100"/>
                <w:position w:val="0"/>
                <w:sz w:val="21"/>
                <w:szCs w:val="21"/>
                <w:u w:val="none" w:color="auto"/>
              </w:rPr>
              <w:t>的地势平坦区域；或土壤含盐量</w:t>
            </w:r>
            <w:r>
              <w:rPr>
                <w:rFonts w:hint="default" w:ascii="Times New Roman" w:hAnsi="Times New Roman" w:eastAsia="Times New Roman" w:cs="Times New Roman"/>
                <w:color w:val="auto"/>
                <w:spacing w:val="0"/>
                <w:w w:val="100"/>
                <w:position w:val="0"/>
                <w:sz w:val="21"/>
                <w:szCs w:val="21"/>
                <w:u w:val="none" w:color="auto"/>
              </w:rPr>
              <w:t>&gt;4g/kg</w:t>
            </w:r>
            <w:r>
              <w:rPr>
                <w:rFonts w:hint="default" w:ascii="Times New Roman" w:hAnsi="Times New Roman" w:eastAsia="宋体" w:cs="Times New Roman"/>
                <w:color w:val="auto"/>
                <w:spacing w:val="0"/>
                <w:w w:val="100"/>
                <w:position w:val="0"/>
                <w:sz w:val="21"/>
                <w:szCs w:val="21"/>
                <w:u w:val="none" w:color="auto"/>
              </w:rPr>
              <w:t>的区域</w:t>
            </w:r>
          </w:p>
        </w:tc>
        <w:tc>
          <w:tcPr>
            <w:tcW w:w="1555" w:type="dxa"/>
            <w:tcBorders>
              <w:tl2br w:val="nil"/>
              <w:tr2bl w:val="nil"/>
            </w:tcBorders>
            <w:noWrap w:val="0"/>
            <w:vAlign w:val="center"/>
          </w:tcPr>
          <w:p w14:paraId="6F1BBA9E">
            <w:pPr>
              <w:keepNext w:val="0"/>
              <w:keepLines w:val="0"/>
              <w:pageBreakBefore w:val="0"/>
              <w:widowControl w:val="0"/>
              <w:kinsoku/>
              <w:wordWrap/>
              <w:overflowPunct/>
              <w:topLinePunct w:val="0"/>
              <w:autoSpaceDE/>
              <w:autoSpaceDN/>
              <w:bidi w:val="0"/>
              <w:adjustRightInd/>
              <w:snapToGrid/>
              <w:spacing w:line="283" w:lineRule="exact"/>
              <w:ind w:left="0" w:righ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pH≤4.5</w:t>
            </w:r>
          </w:p>
        </w:tc>
        <w:tc>
          <w:tcPr>
            <w:tcW w:w="1675" w:type="dxa"/>
            <w:tcBorders>
              <w:tl2br w:val="nil"/>
              <w:tr2bl w:val="nil"/>
            </w:tcBorders>
            <w:noWrap w:val="0"/>
            <w:vAlign w:val="center"/>
          </w:tcPr>
          <w:p w14:paraId="586C24E7">
            <w:pPr>
              <w:keepNext w:val="0"/>
              <w:keepLines w:val="0"/>
              <w:pageBreakBefore w:val="0"/>
              <w:widowControl w:val="0"/>
              <w:kinsoku/>
              <w:wordWrap/>
              <w:overflowPunct/>
              <w:topLinePunct w:val="0"/>
              <w:autoSpaceDE/>
              <w:autoSpaceDN/>
              <w:bidi w:val="0"/>
              <w:adjustRightInd/>
              <w:snapToGrid/>
              <w:spacing w:line="188" w:lineRule="auto"/>
              <w:ind w:left="0" w:righ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pH≥9.0</w:t>
            </w:r>
          </w:p>
        </w:tc>
      </w:tr>
      <w:tr w14:paraId="5A9A2A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3" w:type="dxa"/>
            <w:tcBorders>
              <w:tl2br w:val="nil"/>
              <w:tr2bl w:val="nil"/>
            </w:tcBorders>
            <w:noWrap w:val="0"/>
            <w:vAlign w:val="center"/>
          </w:tcPr>
          <w:p w14:paraId="774503A8">
            <w:pPr>
              <w:keepNext w:val="0"/>
              <w:keepLines w:val="0"/>
              <w:pageBreakBefore w:val="0"/>
              <w:widowControl w:val="0"/>
              <w:kinsoku/>
              <w:wordWrap/>
              <w:overflowPunct/>
              <w:topLinePunct w:val="0"/>
              <w:autoSpaceDE/>
              <w:autoSpaceDN/>
              <w:bidi w:val="0"/>
              <w:adjustRightInd/>
              <w:snapToGrid/>
              <w:spacing w:line="251" w:lineRule="auto"/>
              <w:ind w:left="0" w:right="0"/>
              <w:jc w:val="center"/>
              <w:textAlignment w:val="auto"/>
              <w:rPr>
                <w:rFonts w:hint="default" w:ascii="Times New Roman" w:hAnsi="Times New Roman" w:cs="Times New Roman"/>
                <w:b/>
                <w:bCs/>
                <w:color w:val="auto"/>
                <w:spacing w:val="0"/>
                <w:w w:val="100"/>
                <w:position w:val="0"/>
                <w:sz w:val="21"/>
                <w:szCs w:val="21"/>
                <w:u w:val="none" w:color="auto"/>
              </w:rPr>
            </w:pPr>
          </w:p>
          <w:p w14:paraId="564ACFA2">
            <w:pPr>
              <w:keepNext w:val="0"/>
              <w:keepLines w:val="0"/>
              <w:pageBreakBefore w:val="0"/>
              <w:widowControl w:val="0"/>
              <w:kinsoku/>
              <w:wordWrap/>
              <w:overflowPunct/>
              <w:topLinePunct w:val="0"/>
              <w:autoSpaceDE/>
              <w:autoSpaceDN/>
              <w:bidi w:val="0"/>
              <w:adjustRightInd/>
              <w:snapToGrid/>
              <w:spacing w:line="252" w:lineRule="auto"/>
              <w:ind w:left="0" w:right="0"/>
              <w:jc w:val="center"/>
              <w:textAlignment w:val="auto"/>
              <w:rPr>
                <w:rFonts w:hint="default" w:ascii="Times New Roman" w:hAnsi="Times New Roman" w:cs="Times New Roman"/>
                <w:b/>
                <w:bCs/>
                <w:color w:val="auto"/>
                <w:spacing w:val="0"/>
                <w:w w:val="100"/>
                <w:position w:val="0"/>
                <w:sz w:val="21"/>
                <w:szCs w:val="21"/>
                <w:u w:val="none" w:color="auto"/>
              </w:rPr>
            </w:pPr>
          </w:p>
          <w:p w14:paraId="7CEC0B36">
            <w:pPr>
              <w:keepNext w:val="0"/>
              <w:keepLines w:val="0"/>
              <w:pageBreakBefore w:val="0"/>
              <w:widowControl w:val="0"/>
              <w:kinsoku/>
              <w:wordWrap/>
              <w:overflowPunct/>
              <w:topLinePunct w:val="0"/>
              <w:autoSpaceDE/>
              <w:autoSpaceDN/>
              <w:bidi w:val="0"/>
              <w:adjustRightInd/>
              <w:snapToGrid/>
              <w:spacing w:line="220" w:lineRule="auto"/>
              <w:ind w:left="0" w:righ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较敏感</w:t>
            </w:r>
          </w:p>
        </w:tc>
        <w:tc>
          <w:tcPr>
            <w:tcW w:w="4807" w:type="dxa"/>
            <w:tcBorders>
              <w:tl2br w:val="nil"/>
              <w:tr2bl w:val="nil"/>
            </w:tcBorders>
            <w:noWrap w:val="0"/>
            <w:vAlign w:val="center"/>
          </w:tcPr>
          <w:p w14:paraId="4041A758">
            <w:pPr>
              <w:keepNext w:val="0"/>
              <w:keepLines w:val="0"/>
              <w:pageBreakBefore w:val="0"/>
              <w:widowControl w:val="0"/>
              <w:kinsoku/>
              <w:wordWrap/>
              <w:overflowPunct/>
              <w:topLinePunct w:val="0"/>
              <w:autoSpaceDE/>
              <w:autoSpaceDN/>
              <w:bidi w:val="0"/>
              <w:adjustRightInd/>
              <w:snapToGrid/>
              <w:spacing w:line="246" w:lineRule="auto"/>
              <w:ind w:left="0" w:right="0" w:firstLine="2"/>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建设项目所在地干燥度</w:t>
            </w:r>
            <w:r>
              <w:rPr>
                <w:rFonts w:hint="default" w:ascii="Times New Roman" w:hAnsi="Times New Roman" w:eastAsia="Times New Roman" w:cs="Times New Roman"/>
                <w:color w:val="auto"/>
                <w:spacing w:val="0"/>
                <w:w w:val="100"/>
                <w:position w:val="0"/>
                <w:sz w:val="21"/>
                <w:szCs w:val="21"/>
                <w:u w:val="none" w:color="auto"/>
              </w:rPr>
              <w:t>&gt;2.5</w:t>
            </w:r>
            <w:r>
              <w:rPr>
                <w:rFonts w:hint="default" w:ascii="Times New Roman" w:hAnsi="Times New Roman" w:eastAsia="宋体" w:cs="Times New Roman"/>
                <w:color w:val="auto"/>
                <w:spacing w:val="0"/>
                <w:w w:val="100"/>
                <w:position w:val="0"/>
                <w:sz w:val="21"/>
                <w:szCs w:val="21"/>
                <w:u w:val="none" w:color="auto"/>
              </w:rPr>
              <w:t>且常年地下水位平均埋深≥</w:t>
            </w:r>
            <w:r>
              <w:rPr>
                <w:rFonts w:hint="default" w:ascii="Times New Roman" w:hAnsi="Times New Roman" w:eastAsia="Times New Roman" w:cs="Times New Roman"/>
                <w:color w:val="auto"/>
                <w:spacing w:val="0"/>
                <w:w w:val="100"/>
                <w:position w:val="0"/>
                <w:sz w:val="21"/>
                <w:szCs w:val="21"/>
                <w:u w:val="none" w:color="auto"/>
              </w:rPr>
              <w:t>1.5m</w:t>
            </w:r>
            <w:r>
              <w:rPr>
                <w:rFonts w:hint="default" w:ascii="Times New Roman" w:hAnsi="Times New Roman" w:eastAsia="宋体" w:cs="Times New Roman"/>
                <w:color w:val="auto"/>
                <w:spacing w:val="0"/>
                <w:w w:val="100"/>
                <w:position w:val="0"/>
                <w:sz w:val="21"/>
                <w:szCs w:val="21"/>
                <w:u w:val="none" w:color="auto"/>
              </w:rPr>
              <w:t>的，或</w:t>
            </w:r>
            <w:r>
              <w:rPr>
                <w:rFonts w:hint="default" w:ascii="Times New Roman" w:hAnsi="Times New Roman" w:eastAsia="Times New Roman" w:cs="Times New Roman"/>
                <w:color w:val="auto"/>
                <w:spacing w:val="0"/>
                <w:w w:val="100"/>
                <w:position w:val="0"/>
                <w:sz w:val="21"/>
                <w:szCs w:val="21"/>
                <w:u w:val="none" w:color="auto"/>
              </w:rPr>
              <w:t>1.8&lt;</w:t>
            </w:r>
            <w:r>
              <w:rPr>
                <w:rFonts w:hint="default" w:ascii="Times New Roman" w:hAnsi="Times New Roman" w:eastAsia="宋体" w:cs="Times New Roman"/>
                <w:color w:val="auto"/>
                <w:spacing w:val="0"/>
                <w:w w:val="100"/>
                <w:position w:val="0"/>
                <w:sz w:val="21"/>
                <w:szCs w:val="21"/>
                <w:u w:val="none" w:color="auto"/>
              </w:rPr>
              <w:t>干燥度≤</w:t>
            </w:r>
            <w:r>
              <w:rPr>
                <w:rFonts w:hint="default" w:ascii="Times New Roman" w:hAnsi="Times New Roman" w:eastAsia="Times New Roman" w:cs="Times New Roman"/>
                <w:color w:val="auto"/>
                <w:spacing w:val="0"/>
                <w:w w:val="100"/>
                <w:position w:val="0"/>
                <w:sz w:val="21"/>
                <w:szCs w:val="21"/>
                <w:u w:val="none" w:color="auto"/>
              </w:rPr>
              <w:t>2.5</w:t>
            </w:r>
            <w:r>
              <w:rPr>
                <w:rFonts w:hint="default" w:ascii="Times New Roman" w:hAnsi="Times New Roman" w:eastAsia="宋体" w:cs="Times New Roman"/>
                <w:color w:val="auto"/>
                <w:spacing w:val="0"/>
                <w:w w:val="100"/>
                <w:position w:val="0"/>
                <w:sz w:val="21"/>
                <w:szCs w:val="21"/>
                <w:u w:val="none" w:color="auto"/>
              </w:rPr>
              <w:t>且常年地下水位平均埋深</w:t>
            </w:r>
            <w:r>
              <w:rPr>
                <w:rFonts w:hint="default" w:ascii="Times New Roman" w:hAnsi="Times New Roman" w:eastAsia="Times New Roman" w:cs="Times New Roman"/>
                <w:color w:val="auto"/>
                <w:spacing w:val="0"/>
                <w:w w:val="100"/>
                <w:position w:val="0"/>
                <w:sz w:val="21"/>
                <w:szCs w:val="21"/>
                <w:u w:val="none" w:color="auto"/>
              </w:rPr>
              <w:t>&lt;1.8m</w:t>
            </w:r>
            <w:r>
              <w:rPr>
                <w:rFonts w:hint="default" w:ascii="Times New Roman" w:hAnsi="Times New Roman" w:eastAsia="宋体" w:cs="Times New Roman"/>
                <w:color w:val="auto"/>
                <w:spacing w:val="0"/>
                <w:w w:val="100"/>
                <w:position w:val="0"/>
                <w:sz w:val="21"/>
                <w:szCs w:val="21"/>
                <w:u w:val="none" w:color="auto"/>
              </w:rPr>
              <w:t>的地势平坦区域；建设项目所在地干燥度</w:t>
            </w:r>
            <w:r>
              <w:rPr>
                <w:rFonts w:hint="default" w:ascii="Times New Roman" w:hAnsi="Times New Roman" w:eastAsia="Times New Roman" w:cs="Times New Roman"/>
                <w:color w:val="auto"/>
                <w:spacing w:val="0"/>
                <w:w w:val="100"/>
                <w:position w:val="0"/>
                <w:sz w:val="21"/>
                <w:szCs w:val="21"/>
                <w:u w:val="none" w:color="auto"/>
              </w:rPr>
              <w:t>&gt;2.5</w:t>
            </w:r>
            <w:r>
              <w:rPr>
                <w:rFonts w:hint="default" w:ascii="Times New Roman" w:hAnsi="Times New Roman" w:eastAsia="宋体" w:cs="Times New Roman"/>
                <w:color w:val="auto"/>
                <w:spacing w:val="0"/>
                <w:w w:val="100"/>
                <w:position w:val="0"/>
                <w:sz w:val="21"/>
                <w:szCs w:val="21"/>
                <w:u w:val="none" w:color="auto"/>
              </w:rPr>
              <w:t>或常年地下水位平均埋深</w:t>
            </w:r>
            <w:r>
              <w:rPr>
                <w:rFonts w:hint="default" w:ascii="Times New Roman" w:hAnsi="Times New Roman" w:eastAsia="Times New Roman" w:cs="Times New Roman"/>
                <w:color w:val="auto"/>
                <w:spacing w:val="0"/>
                <w:w w:val="100"/>
                <w:position w:val="0"/>
                <w:sz w:val="21"/>
                <w:szCs w:val="21"/>
                <w:u w:val="none" w:color="auto"/>
              </w:rPr>
              <w:t>&lt;1.5m</w:t>
            </w:r>
            <w:r>
              <w:rPr>
                <w:rFonts w:hint="default" w:ascii="Times New Roman" w:hAnsi="Times New Roman" w:eastAsia="宋体" w:cs="Times New Roman"/>
                <w:color w:val="auto"/>
                <w:spacing w:val="0"/>
                <w:w w:val="100"/>
                <w:position w:val="0"/>
                <w:sz w:val="21"/>
                <w:szCs w:val="21"/>
                <w:u w:val="none" w:color="auto"/>
              </w:rPr>
              <w:t>的平原区</w:t>
            </w:r>
            <w:r>
              <w:rPr>
                <w:rFonts w:hint="default" w:ascii="Times New Roman" w:hAnsi="Times New Roman" w:eastAsia="宋体" w:cs="Times New Roman"/>
                <w:color w:val="auto"/>
                <w:spacing w:val="0"/>
                <w:w w:val="100"/>
                <w:position w:val="0"/>
                <w:sz w:val="21"/>
                <w:szCs w:val="21"/>
                <w:u w:val="none" w:color="auto"/>
                <w:lang w:eastAsia="zh-CN"/>
              </w:rPr>
              <w:t>；或</w:t>
            </w:r>
            <w:r>
              <w:rPr>
                <w:rFonts w:hint="default" w:ascii="Times New Roman" w:hAnsi="Times New Roman" w:eastAsia="Times New Roman" w:cs="Times New Roman"/>
                <w:color w:val="auto"/>
                <w:spacing w:val="0"/>
                <w:w w:val="100"/>
                <w:position w:val="0"/>
                <w:sz w:val="21"/>
                <w:szCs w:val="21"/>
                <w:u w:val="none" w:color="auto"/>
              </w:rPr>
              <w:t>2g/kg&lt;</w:t>
            </w:r>
            <w:r>
              <w:rPr>
                <w:rFonts w:hint="default" w:ascii="Times New Roman" w:hAnsi="Times New Roman" w:eastAsia="宋体" w:cs="Times New Roman"/>
                <w:color w:val="auto"/>
                <w:spacing w:val="0"/>
                <w:w w:val="100"/>
                <w:position w:val="0"/>
                <w:sz w:val="21"/>
                <w:szCs w:val="21"/>
                <w:u w:val="none" w:color="auto"/>
              </w:rPr>
              <w:t>土壤含盐量≤</w:t>
            </w:r>
            <w:r>
              <w:rPr>
                <w:rFonts w:hint="default" w:ascii="Times New Roman" w:hAnsi="Times New Roman" w:eastAsia="Times New Roman" w:cs="Times New Roman"/>
                <w:color w:val="auto"/>
                <w:spacing w:val="0"/>
                <w:w w:val="100"/>
                <w:position w:val="0"/>
                <w:sz w:val="21"/>
                <w:szCs w:val="21"/>
                <w:u w:val="none" w:color="auto"/>
              </w:rPr>
              <w:t>4g/kg</w:t>
            </w:r>
            <w:r>
              <w:rPr>
                <w:rFonts w:hint="default" w:ascii="Times New Roman" w:hAnsi="Times New Roman" w:eastAsia="宋体" w:cs="Times New Roman"/>
                <w:color w:val="auto"/>
                <w:spacing w:val="0"/>
                <w:w w:val="100"/>
                <w:position w:val="0"/>
                <w:sz w:val="21"/>
                <w:szCs w:val="21"/>
                <w:u w:val="none" w:color="auto"/>
              </w:rPr>
              <w:t>的区域</w:t>
            </w:r>
          </w:p>
        </w:tc>
        <w:tc>
          <w:tcPr>
            <w:tcW w:w="1555" w:type="dxa"/>
            <w:tcBorders>
              <w:tl2br w:val="nil"/>
              <w:tr2bl w:val="nil"/>
            </w:tcBorders>
            <w:noWrap w:val="0"/>
            <w:vAlign w:val="center"/>
          </w:tcPr>
          <w:p w14:paraId="594FEC14">
            <w:pPr>
              <w:keepNext w:val="0"/>
              <w:keepLines w:val="0"/>
              <w:pageBreakBefore w:val="0"/>
              <w:widowControl w:val="0"/>
              <w:kinsoku/>
              <w:wordWrap/>
              <w:overflowPunct/>
              <w:topLinePunct w:val="0"/>
              <w:autoSpaceDE/>
              <w:autoSpaceDN/>
              <w:bidi w:val="0"/>
              <w:adjustRightInd/>
              <w:snapToGrid/>
              <w:spacing w:line="474" w:lineRule="auto"/>
              <w:ind w:left="0" w:right="0"/>
              <w:jc w:val="center"/>
              <w:textAlignment w:val="auto"/>
              <w:rPr>
                <w:rFonts w:hint="default" w:ascii="Times New Roman" w:hAnsi="Times New Roman" w:cs="Times New Roman"/>
                <w:color w:val="auto"/>
                <w:spacing w:val="0"/>
                <w:w w:val="100"/>
                <w:position w:val="0"/>
                <w:sz w:val="21"/>
                <w:szCs w:val="21"/>
                <w:u w:val="none" w:color="auto"/>
              </w:rPr>
            </w:pPr>
          </w:p>
          <w:p w14:paraId="7D3680D9">
            <w:pPr>
              <w:keepNext w:val="0"/>
              <w:keepLines w:val="0"/>
              <w:pageBreakBefore w:val="0"/>
              <w:widowControl w:val="0"/>
              <w:kinsoku/>
              <w:wordWrap/>
              <w:overflowPunct/>
              <w:topLinePunct w:val="0"/>
              <w:autoSpaceDE/>
              <w:autoSpaceDN/>
              <w:bidi w:val="0"/>
              <w:adjustRightInd/>
              <w:snapToGrid/>
              <w:spacing w:line="283" w:lineRule="exact"/>
              <w:ind w:left="0" w:righ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4.5&lt;pH≤5.5</w:t>
            </w:r>
          </w:p>
        </w:tc>
        <w:tc>
          <w:tcPr>
            <w:tcW w:w="1675" w:type="dxa"/>
            <w:tcBorders>
              <w:tl2br w:val="nil"/>
              <w:tr2bl w:val="nil"/>
            </w:tcBorders>
            <w:noWrap w:val="0"/>
            <w:vAlign w:val="center"/>
          </w:tcPr>
          <w:p w14:paraId="34D1A284">
            <w:pPr>
              <w:keepNext w:val="0"/>
              <w:keepLines w:val="0"/>
              <w:pageBreakBefore w:val="0"/>
              <w:widowControl w:val="0"/>
              <w:kinsoku/>
              <w:wordWrap/>
              <w:overflowPunct/>
              <w:topLinePunct w:val="0"/>
              <w:autoSpaceDE/>
              <w:autoSpaceDN/>
              <w:bidi w:val="0"/>
              <w:adjustRightInd/>
              <w:snapToGrid/>
              <w:spacing w:line="474" w:lineRule="auto"/>
              <w:ind w:left="0" w:right="0"/>
              <w:jc w:val="center"/>
              <w:textAlignment w:val="auto"/>
              <w:rPr>
                <w:rFonts w:hint="default" w:ascii="Times New Roman" w:hAnsi="Times New Roman" w:cs="Times New Roman"/>
                <w:color w:val="auto"/>
                <w:spacing w:val="0"/>
                <w:w w:val="100"/>
                <w:position w:val="0"/>
                <w:sz w:val="21"/>
                <w:szCs w:val="21"/>
                <w:u w:val="none" w:color="auto"/>
              </w:rPr>
            </w:pPr>
          </w:p>
          <w:p w14:paraId="51905DF9">
            <w:pPr>
              <w:keepNext w:val="0"/>
              <w:keepLines w:val="0"/>
              <w:pageBreakBefore w:val="0"/>
              <w:widowControl w:val="0"/>
              <w:kinsoku/>
              <w:wordWrap/>
              <w:overflowPunct/>
              <w:topLinePunct w:val="0"/>
              <w:autoSpaceDE/>
              <w:autoSpaceDN/>
              <w:bidi w:val="0"/>
              <w:adjustRightInd/>
              <w:snapToGrid/>
              <w:spacing w:line="283" w:lineRule="exact"/>
              <w:ind w:left="0" w:righ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8.5≤pH&lt;9.0</w:t>
            </w:r>
          </w:p>
        </w:tc>
      </w:tr>
      <w:tr w14:paraId="38B19AD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3" w:type="dxa"/>
            <w:tcBorders>
              <w:tl2br w:val="nil"/>
              <w:tr2bl w:val="nil"/>
            </w:tcBorders>
            <w:noWrap w:val="0"/>
            <w:vAlign w:val="center"/>
          </w:tcPr>
          <w:p w14:paraId="20175EDF">
            <w:pPr>
              <w:keepNext w:val="0"/>
              <w:keepLines w:val="0"/>
              <w:pageBreakBefore w:val="0"/>
              <w:widowControl w:val="0"/>
              <w:kinsoku/>
              <w:wordWrap/>
              <w:overflowPunct/>
              <w:topLinePunct w:val="0"/>
              <w:autoSpaceDE/>
              <w:autoSpaceDN/>
              <w:bidi w:val="0"/>
              <w:adjustRightInd/>
              <w:snapToGrid/>
              <w:spacing w:line="220" w:lineRule="auto"/>
              <w:ind w:left="0" w:righ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不敏感</w:t>
            </w:r>
          </w:p>
        </w:tc>
        <w:tc>
          <w:tcPr>
            <w:tcW w:w="4807" w:type="dxa"/>
            <w:tcBorders>
              <w:tl2br w:val="nil"/>
              <w:tr2bl w:val="nil"/>
            </w:tcBorders>
            <w:noWrap w:val="0"/>
            <w:vAlign w:val="center"/>
          </w:tcPr>
          <w:p w14:paraId="7FA776AA">
            <w:pPr>
              <w:keepNext w:val="0"/>
              <w:keepLines w:val="0"/>
              <w:pageBreakBefore w:val="0"/>
              <w:widowControl w:val="0"/>
              <w:kinsoku/>
              <w:wordWrap/>
              <w:overflowPunct/>
              <w:topLinePunct w:val="0"/>
              <w:autoSpaceDE/>
              <w:autoSpaceDN/>
              <w:bidi w:val="0"/>
              <w:adjustRightInd/>
              <w:snapToGrid/>
              <w:spacing w:line="22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其他</w:t>
            </w:r>
          </w:p>
        </w:tc>
        <w:tc>
          <w:tcPr>
            <w:tcW w:w="3230" w:type="dxa"/>
            <w:gridSpan w:val="2"/>
            <w:tcBorders>
              <w:tl2br w:val="nil"/>
              <w:tr2bl w:val="nil"/>
            </w:tcBorders>
            <w:noWrap w:val="0"/>
            <w:vAlign w:val="center"/>
          </w:tcPr>
          <w:p w14:paraId="3FECB920">
            <w:pPr>
              <w:keepNext w:val="0"/>
              <w:keepLines w:val="0"/>
              <w:pageBreakBefore w:val="0"/>
              <w:widowControl w:val="0"/>
              <w:kinsoku/>
              <w:wordWrap/>
              <w:overflowPunct/>
              <w:topLinePunct w:val="0"/>
              <w:autoSpaceDE/>
              <w:autoSpaceDN/>
              <w:bidi w:val="0"/>
              <w:adjustRightInd/>
              <w:snapToGrid/>
              <w:spacing w:line="230" w:lineRule="auto"/>
              <w:ind w:left="0" w:righ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5.5&lt;pH&lt;8.5</w:t>
            </w:r>
          </w:p>
        </w:tc>
      </w:tr>
      <w:tr w14:paraId="7C231FC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290" w:type="dxa"/>
            <w:gridSpan w:val="4"/>
            <w:tcBorders>
              <w:tl2br w:val="nil"/>
              <w:tr2bl w:val="nil"/>
            </w:tcBorders>
            <w:noWrap w:val="0"/>
            <w:vAlign w:val="center"/>
          </w:tcPr>
          <w:p w14:paraId="3F154523">
            <w:pPr>
              <w:keepNext w:val="0"/>
              <w:keepLines w:val="0"/>
              <w:pageBreakBefore w:val="0"/>
              <w:widowControl w:val="0"/>
              <w:kinsoku/>
              <w:wordWrap/>
              <w:overflowPunct/>
              <w:topLinePunct w:val="0"/>
              <w:autoSpaceDE/>
              <w:autoSpaceDN/>
              <w:bidi w:val="0"/>
              <w:adjustRightInd/>
              <w:snapToGrid/>
              <w:spacing w:line="219" w:lineRule="auto"/>
              <w:ind w:left="0" w:right="0"/>
              <w:jc w:val="both"/>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13"/>
                <w:szCs w:val="13"/>
                <w:u w:val="none" w:color="auto"/>
              </w:rPr>
              <w:t>a</w:t>
            </w:r>
            <w:r>
              <w:rPr>
                <w:rFonts w:hint="default" w:ascii="Times New Roman" w:hAnsi="Times New Roman" w:eastAsia="宋体" w:cs="Times New Roman"/>
                <w:color w:val="auto"/>
                <w:spacing w:val="0"/>
                <w:w w:val="100"/>
                <w:position w:val="0"/>
                <w:sz w:val="21"/>
                <w:szCs w:val="21"/>
                <w:u w:val="none" w:color="auto"/>
              </w:rPr>
              <w:t>是指采用</w:t>
            </w:r>
            <w:r>
              <w:rPr>
                <w:rFonts w:hint="default" w:ascii="Times New Roman" w:hAnsi="Times New Roman" w:eastAsia="Times New Roman" w:cs="Times New Roman"/>
                <w:color w:val="auto"/>
                <w:spacing w:val="0"/>
                <w:w w:val="100"/>
                <w:position w:val="0"/>
                <w:sz w:val="21"/>
                <w:szCs w:val="21"/>
                <w:u w:val="none" w:color="auto"/>
              </w:rPr>
              <w:t>E601</w:t>
            </w:r>
            <w:r>
              <w:rPr>
                <w:rFonts w:hint="default" w:ascii="Times New Roman" w:hAnsi="Times New Roman" w:eastAsia="宋体" w:cs="Times New Roman"/>
                <w:color w:val="auto"/>
                <w:spacing w:val="0"/>
                <w:w w:val="100"/>
                <w:position w:val="0"/>
                <w:sz w:val="21"/>
                <w:szCs w:val="21"/>
                <w:u w:val="none" w:color="auto"/>
              </w:rPr>
              <w:t>观测的多年平均水面蒸发量与降水量的比值，即蒸降比值。</w:t>
            </w:r>
          </w:p>
        </w:tc>
      </w:tr>
    </w:tbl>
    <w:p w14:paraId="5BE40BA4">
      <w:pPr>
        <w:pageBreakBefore w:val="0"/>
        <w:kinsoku w:val="0"/>
        <w:wordWrap w:val="0"/>
        <w:overflowPunct/>
        <w:topLinePunct/>
        <w:autoSpaceDE/>
        <w:autoSpaceDN/>
        <w:bidi w:val="0"/>
        <w:adjustRightInd w:val="0"/>
        <w:spacing w:line="500" w:lineRule="exact"/>
        <w:jc w:val="center"/>
        <w:rPr>
          <w:rFonts w:hint="default" w:ascii="Times New Roman" w:hAnsi="Times New Roman" w:eastAsia="宋体" w:cs="Times New Roman"/>
          <w:b/>
          <w:caps w:val="0"/>
          <w:smallCaps w:val="0"/>
          <w:color w:val="auto"/>
          <w:spacing w:val="0"/>
          <w:w w:val="100"/>
          <w:kern w:val="0"/>
          <w:position w:val="0"/>
          <w:sz w:val="24"/>
          <w:szCs w:val="24"/>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表1.6-</w:t>
      </w: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6</w:t>
      </w:r>
      <w:r>
        <w:rPr>
          <w:rFonts w:hint="default" w:ascii="Times New Roman" w:hAnsi="Times New Roman" w:eastAsia="宋体" w:cs="Times New Roman"/>
          <w:b/>
          <w:caps w:val="0"/>
          <w:smallCaps w:val="0"/>
          <w:color w:val="auto"/>
          <w:spacing w:val="0"/>
          <w:w w:val="100"/>
          <w:kern w:val="0"/>
          <w:position w:val="0"/>
          <w:sz w:val="24"/>
          <w:szCs w:val="24"/>
          <w:u w:val="none" w:color="auto"/>
        </w:rPr>
        <w:t xml:space="preserve">  生态影响型评价工作等级划分表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738"/>
        <w:gridCol w:w="1230"/>
        <w:gridCol w:w="1872"/>
        <w:gridCol w:w="1676"/>
      </w:tblGrid>
      <w:tr w14:paraId="7EBF05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4" w:type="dxa"/>
            <w:tcBorders>
              <w:tl2br w:val="nil"/>
              <w:tr2bl w:val="nil"/>
            </w:tcBorders>
          </w:tcPr>
          <w:p w14:paraId="283C64D1">
            <w:pPr>
              <w:pageBreakBefore w:val="0"/>
              <w:kinsoku w:val="0"/>
              <w:wordWrap w:val="0"/>
              <w:overflowPunct/>
              <w:topLinePunct/>
              <w:autoSpaceDE/>
              <w:autoSpaceDN/>
              <w:bidi w:val="0"/>
              <w:adjustRightInd w:val="0"/>
              <w:snapToGrid w:val="0"/>
              <w:jc w:val="center"/>
              <w:rPr>
                <w:rFonts w:hint="default" w:ascii="Times New Roman" w:hAnsi="Times New Roman" w:eastAsia="宋体" w:cs="Times New Roman"/>
                <w:b/>
                <w:bCs/>
                <w:caps w:val="0"/>
                <w:smallCaps w:val="0"/>
                <w:color w:val="auto"/>
                <w:spacing w:val="0"/>
                <w:w w:val="100"/>
                <w:kern w:val="0"/>
                <w:position w:val="0"/>
                <w:szCs w:val="21"/>
                <w:u w:val="none" w:color="auto"/>
              </w:rPr>
            </w:pPr>
            <w:r>
              <w:rPr>
                <w:rFonts w:hint="default" w:ascii="Times New Roman" w:hAnsi="Times New Roman" w:cs="Times New Roman"/>
                <w:b/>
                <w:bCs/>
                <w:caps w:val="0"/>
                <w:smallCaps w:val="0"/>
                <w:color w:val="auto"/>
                <w:spacing w:val="0"/>
                <w:w w:val="100"/>
                <w:position w:val="0"/>
                <w:sz w:val="21"/>
                <w:u w:val="none" w:color="auto"/>
              </w:rPr>
              <mc:AlternateContent>
                <mc:Choice Requires="wps">
                  <w:drawing>
                    <wp:anchor distT="0" distB="0" distL="114300" distR="114300" simplePos="0" relativeHeight="251661312" behindDoc="0" locked="0" layoutInCell="1" allowOverlap="1">
                      <wp:simplePos x="0" y="0"/>
                      <wp:positionH relativeFrom="column">
                        <wp:posOffset>969645</wp:posOffset>
                      </wp:positionH>
                      <wp:positionV relativeFrom="paragraph">
                        <wp:posOffset>-4445</wp:posOffset>
                      </wp:positionV>
                      <wp:extent cx="1339850" cy="824230"/>
                      <wp:effectExtent l="2540" t="3810" r="13970" b="10160"/>
                      <wp:wrapNone/>
                      <wp:docPr id="9" name="直接连接符 9"/>
                      <wp:cNvGraphicFramePr/>
                      <a:graphic xmlns:a="http://schemas.openxmlformats.org/drawingml/2006/main">
                        <a:graphicData uri="http://schemas.microsoft.com/office/word/2010/wordprocessingShape">
                          <wps:wsp>
                            <wps:cNvCnPr/>
                            <wps:spPr>
                              <a:xfrm>
                                <a:off x="1870075" y="6964045"/>
                                <a:ext cx="1339850" cy="8242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76.35pt;margin-top:-0.35pt;height:64.9pt;width:105.5pt;z-index:251661312;mso-width-relative:page;mso-height-relative:page;" filled="f" stroked="t" coordsize="21600,21600" o:gfxdata="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3CD4w1gAAAAkBAAAPAAAAAAAAAAEAIAAAACIAAABkcnMvZG93bnJldi54bWxQSwECFAAU&#10;AAAACACHTuJAWBxPMfMBAADCAwAADgAAAAAAAAABACAAAAAlAQAAZHJzL2Uyb0RvYy54bWxQSwUG&#10;AAAAAAYABgBZAQAAigUAAAAA&#10;">
                      <v:fill on="f" focussize="0,0"/>
                      <v:stroke weight="0.5pt" color="#000000 [3213]" miterlimit="8" joinstyle="miter"/>
                      <v:imagedata o:title=""/>
                      <o:lock v:ext="edit" aspectratio="f"/>
                    </v:line>
                  </w:pict>
                </mc:Fallback>
              </mc:AlternateContent>
            </w:r>
          </w:p>
          <w:p w14:paraId="6786BAFE">
            <w:pPr>
              <w:pageBreakBefore w:val="0"/>
              <w:kinsoku w:val="0"/>
              <w:wordWrap w:val="0"/>
              <w:overflowPunct/>
              <w:topLinePunct/>
              <w:autoSpaceDE/>
              <w:autoSpaceDN/>
              <w:bidi w:val="0"/>
              <w:adjustRightInd w:val="0"/>
              <w:snapToGrid w:val="0"/>
              <w:jc w:val="center"/>
              <w:rPr>
                <w:rFonts w:hint="default" w:ascii="Times New Roman" w:hAnsi="Times New Roman" w:eastAsia="宋体" w:cs="Times New Roman"/>
                <w:b/>
                <w:bCs/>
                <w:caps w:val="0"/>
                <w:smallCaps w:val="0"/>
                <w:color w:val="auto"/>
                <w:spacing w:val="0"/>
                <w:w w:val="100"/>
                <w:kern w:val="0"/>
                <w:position w:val="0"/>
                <w:szCs w:val="21"/>
                <w:u w:val="none" w:color="auto"/>
              </w:rPr>
            </w:pPr>
            <w:r>
              <w:rPr>
                <w:rFonts w:hint="default" w:ascii="Times New Roman" w:hAnsi="Times New Roman" w:eastAsia="宋体" w:cs="Times New Roman"/>
                <w:b/>
                <w:bCs/>
                <w:caps w:val="0"/>
                <w:smallCaps w:val="0"/>
                <w:color w:val="auto"/>
                <w:spacing w:val="0"/>
                <w:w w:val="100"/>
                <w:kern w:val="0"/>
                <w:position w:val="0"/>
                <w:szCs w:val="21"/>
                <w:u w:val="none" w:color="auto"/>
                <w:lang w:val="en-US" w:eastAsia="zh-CN"/>
              </w:rPr>
              <w:t xml:space="preserve">                    </w:t>
            </w:r>
            <w:r>
              <w:rPr>
                <w:rFonts w:hint="default" w:ascii="Times New Roman" w:hAnsi="Times New Roman" w:eastAsia="宋体" w:cs="Times New Roman"/>
                <w:b/>
                <w:bCs/>
                <w:caps w:val="0"/>
                <w:smallCaps w:val="0"/>
                <w:color w:val="auto"/>
                <w:spacing w:val="0"/>
                <w:w w:val="100"/>
                <w:kern w:val="0"/>
                <w:position w:val="0"/>
                <w:szCs w:val="21"/>
                <w:u w:val="none" w:color="auto"/>
              </w:rPr>
              <w:t>项目类别</w:t>
            </w:r>
          </w:p>
          <w:p w14:paraId="5AD153EC">
            <w:pPr>
              <w:pageBreakBefore w:val="0"/>
              <w:kinsoku w:val="0"/>
              <w:wordWrap w:val="0"/>
              <w:overflowPunct/>
              <w:topLinePunct/>
              <w:autoSpaceDE/>
              <w:autoSpaceDN/>
              <w:bidi w:val="0"/>
              <w:adjustRightInd w:val="0"/>
              <w:snapToGrid w:val="0"/>
              <w:jc w:val="center"/>
              <w:rPr>
                <w:rFonts w:hint="default" w:ascii="Times New Roman" w:hAnsi="Times New Roman" w:eastAsia="宋体" w:cs="Times New Roman"/>
                <w:b/>
                <w:bCs/>
                <w:caps w:val="0"/>
                <w:smallCaps w:val="0"/>
                <w:color w:val="auto"/>
                <w:spacing w:val="0"/>
                <w:w w:val="100"/>
                <w:kern w:val="0"/>
                <w:position w:val="0"/>
                <w:szCs w:val="21"/>
                <w:u w:val="none" w:color="auto"/>
              </w:rPr>
            </w:pPr>
            <w:r>
              <w:rPr>
                <w:rFonts w:hint="default" w:ascii="Times New Roman" w:hAnsi="Times New Roman" w:cs="Times New Roman"/>
                <w:b/>
                <w:bCs/>
                <w:caps w:val="0"/>
                <w:smallCaps w:val="0"/>
                <w:color w:val="auto"/>
                <w:spacing w:val="0"/>
                <w:w w:val="100"/>
                <w:position w:val="0"/>
                <w:sz w:val="21"/>
                <w:u w:val="none" w:color="auto"/>
              </w:rPr>
              <mc:AlternateContent>
                <mc:Choice Requires="wps">
                  <w:drawing>
                    <wp:anchor distT="0" distB="0" distL="114300" distR="114300" simplePos="0" relativeHeight="251662336" behindDoc="0" locked="0" layoutInCell="1" allowOverlap="1">
                      <wp:simplePos x="0" y="0"/>
                      <wp:positionH relativeFrom="column">
                        <wp:posOffset>-71755</wp:posOffset>
                      </wp:positionH>
                      <wp:positionV relativeFrom="paragraph">
                        <wp:posOffset>55880</wp:posOffset>
                      </wp:positionV>
                      <wp:extent cx="2348230" cy="428625"/>
                      <wp:effectExtent l="635" t="4445" r="13335" b="8890"/>
                      <wp:wrapNone/>
                      <wp:docPr id="10" name="直接连接符 10"/>
                      <wp:cNvGraphicFramePr/>
                      <a:graphic xmlns:a="http://schemas.openxmlformats.org/drawingml/2006/main">
                        <a:graphicData uri="http://schemas.microsoft.com/office/word/2010/wordprocessingShape">
                          <wps:wsp>
                            <wps:cNvCnPr/>
                            <wps:spPr>
                              <a:xfrm flipH="1" flipV="1">
                                <a:off x="811530" y="7451090"/>
                                <a:ext cx="2348230" cy="4286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5.65pt;margin-top:4.4pt;height:33.75pt;width:184.9pt;z-index:251662336;mso-width-relative:page;mso-height-relative:page;" filled="f" stroked="t" coordsize="21600,21600" o:gfxdata="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D6/58PYAAAACAEAAA8AAAAAAAAAAQAgAAAAIgAAAGRycy9kb3du&#10;cmV2LnhtbFBLAQIUABQAAAAIAIdO4kByFGqU/wEAANcDAAAOAAAAAAAAAAEAIAAAACcBAABkcnMv&#10;ZTJvRG9jLnhtbFBLBQYAAAAABgAGAFkBAACYBQAAAAA=&#10;">
                      <v:fill on="f" focussize="0,0"/>
                      <v:stroke weight="0.5pt" color="#000000 [3213]" miterlimit="8" joinstyle="miter"/>
                      <v:imagedata o:title=""/>
                      <o:lock v:ext="edit" aspectratio="f"/>
                    </v:line>
                  </w:pict>
                </mc:Fallback>
              </mc:AlternateContent>
            </w:r>
            <w:r>
              <w:rPr>
                <w:rFonts w:hint="default" w:ascii="Times New Roman" w:hAnsi="Times New Roman" w:eastAsia="宋体" w:cs="Times New Roman"/>
                <w:b/>
                <w:bCs/>
                <w:caps w:val="0"/>
                <w:smallCaps w:val="0"/>
                <w:color w:val="auto"/>
                <w:spacing w:val="0"/>
                <w:w w:val="100"/>
                <w:kern w:val="0"/>
                <w:position w:val="0"/>
                <w:szCs w:val="21"/>
                <w:u w:val="none" w:color="auto"/>
              </w:rPr>
              <w:t>评价工作等级</w:t>
            </w:r>
          </w:p>
          <w:p w14:paraId="4F0C88E5">
            <w:pPr>
              <w:pageBreakBefore w:val="0"/>
              <w:kinsoku w:val="0"/>
              <w:wordWrap w:val="0"/>
              <w:overflowPunct/>
              <w:topLinePunct/>
              <w:autoSpaceDE/>
              <w:autoSpaceDN/>
              <w:bidi w:val="0"/>
              <w:adjustRightInd w:val="0"/>
              <w:spacing w:line="500" w:lineRule="exact"/>
              <w:jc w:val="both"/>
              <w:rPr>
                <w:rFonts w:hint="default" w:ascii="Times New Roman" w:hAnsi="Times New Roman" w:eastAsia="宋体" w:cs="Times New Roman"/>
                <w:b/>
                <w:bCs/>
                <w:caps w:val="0"/>
                <w:smallCaps w:val="0"/>
                <w:color w:val="auto"/>
                <w:spacing w:val="0"/>
                <w:w w:val="100"/>
                <w:kern w:val="0"/>
                <w:position w:val="0"/>
                <w:szCs w:val="21"/>
                <w:u w:val="none" w:color="auto"/>
              </w:rPr>
            </w:pPr>
            <w:r>
              <w:rPr>
                <w:rFonts w:hint="default" w:ascii="Times New Roman" w:hAnsi="Times New Roman" w:eastAsia="宋体" w:cs="Times New Roman"/>
                <w:b/>
                <w:bCs/>
                <w:caps w:val="0"/>
                <w:smallCaps w:val="0"/>
                <w:color w:val="auto"/>
                <w:spacing w:val="0"/>
                <w:w w:val="100"/>
                <w:kern w:val="0"/>
                <w:position w:val="0"/>
                <w:szCs w:val="21"/>
                <w:u w:val="none" w:color="auto"/>
              </w:rPr>
              <w:t>敏感程度</w:t>
            </w:r>
          </w:p>
        </w:tc>
        <w:tc>
          <w:tcPr>
            <w:tcW w:w="1303" w:type="dxa"/>
            <w:tcBorders>
              <w:tl2br w:val="nil"/>
              <w:tr2bl w:val="nil"/>
            </w:tcBorders>
            <w:vAlign w:val="center"/>
          </w:tcPr>
          <w:p w14:paraId="7A54478F">
            <w:pPr>
              <w:pageBreakBefore w:val="0"/>
              <w:widowControl/>
              <w:kinsoku w:val="0"/>
              <w:wordWrap w:val="0"/>
              <w:overflowPunct/>
              <w:topLinePunct/>
              <w:autoSpaceDE/>
              <w:autoSpaceDN/>
              <w:bidi w:val="0"/>
              <w:snapToGrid w:val="0"/>
              <w:spacing w:line="320" w:lineRule="exact"/>
              <w:jc w:val="center"/>
              <w:rPr>
                <w:rFonts w:hint="default" w:ascii="Times New Roman" w:hAnsi="Times New Roman" w:eastAsia="宋体" w:cs="Times New Roman"/>
                <w:b/>
                <w:bCs/>
                <w:caps w:val="0"/>
                <w:smallCaps w:val="0"/>
                <w:color w:val="auto"/>
                <w:spacing w:val="0"/>
                <w:w w:val="100"/>
                <w:kern w:val="0"/>
                <w:position w:val="0"/>
                <w:szCs w:val="21"/>
                <w:u w:val="none" w:color="auto"/>
              </w:rPr>
            </w:pPr>
            <w:r>
              <w:rPr>
                <w:rFonts w:hint="default" w:ascii="Times New Roman" w:hAnsi="Times New Roman" w:eastAsia="宋体" w:cs="Times New Roman"/>
                <w:b/>
                <w:bCs/>
                <w:caps w:val="0"/>
                <w:smallCaps w:val="0"/>
                <w:color w:val="auto"/>
                <w:spacing w:val="0"/>
                <w:w w:val="100"/>
                <w:kern w:val="0"/>
                <w:position w:val="0"/>
                <w:szCs w:val="21"/>
                <w:u w:val="none" w:color="auto"/>
              </w:rPr>
              <w:t>Ⅰ类项目</w:t>
            </w:r>
          </w:p>
        </w:tc>
        <w:tc>
          <w:tcPr>
            <w:tcW w:w="1992" w:type="dxa"/>
            <w:tcBorders>
              <w:tl2br w:val="nil"/>
              <w:tr2bl w:val="nil"/>
            </w:tcBorders>
            <w:vAlign w:val="center"/>
          </w:tcPr>
          <w:p w14:paraId="56D40BE5">
            <w:pPr>
              <w:pageBreakBefore w:val="0"/>
              <w:kinsoku w:val="0"/>
              <w:wordWrap w:val="0"/>
              <w:overflowPunct/>
              <w:topLinePunct/>
              <w:autoSpaceDE/>
              <w:autoSpaceDN/>
              <w:bidi w:val="0"/>
              <w:snapToGrid w:val="0"/>
              <w:spacing w:line="320" w:lineRule="exact"/>
              <w:jc w:val="center"/>
              <w:rPr>
                <w:rFonts w:hint="default" w:ascii="Times New Roman" w:hAnsi="Times New Roman" w:eastAsia="宋体" w:cs="Times New Roman"/>
                <w:b/>
                <w:bCs/>
                <w:caps w:val="0"/>
                <w:smallCaps w:val="0"/>
                <w:color w:val="auto"/>
                <w:spacing w:val="0"/>
                <w:w w:val="100"/>
                <w:kern w:val="0"/>
                <w:position w:val="0"/>
                <w:szCs w:val="21"/>
                <w:u w:val="none" w:color="auto"/>
              </w:rPr>
            </w:pPr>
            <w:r>
              <w:rPr>
                <w:rFonts w:hint="default" w:ascii="Times New Roman" w:hAnsi="Times New Roman" w:eastAsia="宋体" w:cs="Times New Roman"/>
                <w:b/>
                <w:bCs/>
                <w:caps w:val="0"/>
                <w:smallCaps w:val="0"/>
                <w:color w:val="auto"/>
                <w:spacing w:val="0"/>
                <w:w w:val="100"/>
                <w:kern w:val="0"/>
                <w:position w:val="0"/>
                <w:szCs w:val="21"/>
                <w:u w:val="none" w:color="auto"/>
              </w:rPr>
              <w:t>Ⅱ类项目</w:t>
            </w:r>
          </w:p>
        </w:tc>
        <w:tc>
          <w:tcPr>
            <w:tcW w:w="1782" w:type="dxa"/>
            <w:tcBorders>
              <w:tl2br w:val="nil"/>
              <w:tr2bl w:val="nil"/>
            </w:tcBorders>
            <w:vAlign w:val="center"/>
          </w:tcPr>
          <w:p w14:paraId="7089CD5E">
            <w:pPr>
              <w:pageBreakBefore w:val="0"/>
              <w:kinsoku w:val="0"/>
              <w:wordWrap w:val="0"/>
              <w:overflowPunct/>
              <w:topLinePunct/>
              <w:autoSpaceDE/>
              <w:autoSpaceDN/>
              <w:bidi w:val="0"/>
              <w:snapToGrid w:val="0"/>
              <w:spacing w:line="320" w:lineRule="exact"/>
              <w:jc w:val="center"/>
              <w:rPr>
                <w:rFonts w:hint="default" w:ascii="Times New Roman" w:hAnsi="Times New Roman" w:eastAsia="宋体" w:cs="Times New Roman"/>
                <w:b/>
                <w:bCs/>
                <w:caps w:val="0"/>
                <w:smallCaps w:val="0"/>
                <w:color w:val="auto"/>
                <w:spacing w:val="0"/>
                <w:w w:val="100"/>
                <w:kern w:val="0"/>
                <w:position w:val="0"/>
                <w:szCs w:val="21"/>
                <w:u w:val="none" w:color="auto"/>
              </w:rPr>
            </w:pPr>
            <w:r>
              <w:rPr>
                <w:rFonts w:hint="default" w:ascii="Times New Roman" w:hAnsi="Times New Roman" w:eastAsia="宋体" w:cs="Times New Roman"/>
                <w:b/>
                <w:bCs/>
                <w:caps w:val="0"/>
                <w:smallCaps w:val="0"/>
                <w:color w:val="auto"/>
                <w:spacing w:val="0"/>
                <w:w w:val="100"/>
                <w:kern w:val="0"/>
                <w:position w:val="0"/>
                <w:szCs w:val="21"/>
                <w:u w:val="none" w:color="auto"/>
              </w:rPr>
              <w:t>Ⅲ类项目</w:t>
            </w:r>
          </w:p>
        </w:tc>
      </w:tr>
      <w:tr w14:paraId="719091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4" w:type="dxa"/>
            <w:tcBorders>
              <w:tl2br w:val="nil"/>
              <w:tr2bl w:val="nil"/>
            </w:tcBorders>
            <w:vAlign w:val="center"/>
          </w:tcPr>
          <w:p w14:paraId="1A31D993">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kern w:val="0"/>
                <w:position w:val="0"/>
                <w:szCs w:val="21"/>
                <w:u w:val="none" w:color="auto"/>
              </w:rPr>
            </w:pPr>
            <w:r>
              <w:rPr>
                <w:rFonts w:hint="default" w:ascii="Times New Roman" w:hAnsi="Times New Roman" w:eastAsia="宋体" w:cs="Times New Roman"/>
                <w:bCs/>
                <w:caps w:val="0"/>
                <w:smallCaps w:val="0"/>
                <w:color w:val="auto"/>
                <w:spacing w:val="0"/>
                <w:w w:val="100"/>
                <w:kern w:val="0"/>
                <w:position w:val="0"/>
                <w:szCs w:val="21"/>
                <w:u w:val="none" w:color="auto"/>
              </w:rPr>
              <w:t>敏感</w:t>
            </w:r>
          </w:p>
        </w:tc>
        <w:tc>
          <w:tcPr>
            <w:tcW w:w="1303" w:type="dxa"/>
            <w:tcBorders>
              <w:tl2br w:val="nil"/>
              <w:tr2bl w:val="nil"/>
            </w:tcBorders>
          </w:tcPr>
          <w:p w14:paraId="40CB44F1">
            <w:pPr>
              <w:keepNext w:val="0"/>
              <w:keepLines w:val="0"/>
              <w:pageBreakBefore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kern w:val="0"/>
                <w:position w:val="0"/>
                <w:szCs w:val="21"/>
                <w:u w:val="none" w:color="auto"/>
              </w:rPr>
            </w:pPr>
            <w:r>
              <w:rPr>
                <w:rFonts w:hint="default" w:ascii="Times New Roman" w:hAnsi="Times New Roman" w:eastAsia="宋体" w:cs="Times New Roman"/>
                <w:bCs/>
                <w:caps w:val="0"/>
                <w:smallCaps w:val="0"/>
                <w:color w:val="auto"/>
                <w:spacing w:val="0"/>
                <w:w w:val="100"/>
                <w:kern w:val="0"/>
                <w:position w:val="0"/>
                <w:szCs w:val="21"/>
                <w:u w:val="none" w:color="auto"/>
              </w:rPr>
              <w:t>一级</w:t>
            </w:r>
          </w:p>
        </w:tc>
        <w:tc>
          <w:tcPr>
            <w:tcW w:w="1992" w:type="dxa"/>
            <w:tcBorders>
              <w:tl2br w:val="nil"/>
              <w:tr2bl w:val="nil"/>
            </w:tcBorders>
          </w:tcPr>
          <w:p w14:paraId="617F2055">
            <w:pPr>
              <w:keepNext w:val="0"/>
              <w:keepLines w:val="0"/>
              <w:pageBreakBefore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kern w:val="0"/>
                <w:position w:val="0"/>
                <w:szCs w:val="21"/>
                <w:u w:val="none" w:color="auto"/>
              </w:rPr>
            </w:pPr>
            <w:r>
              <w:rPr>
                <w:rFonts w:hint="default" w:ascii="Times New Roman" w:hAnsi="Times New Roman" w:eastAsia="宋体" w:cs="Times New Roman"/>
                <w:bCs/>
                <w:caps w:val="0"/>
                <w:smallCaps w:val="0"/>
                <w:color w:val="auto"/>
                <w:spacing w:val="0"/>
                <w:w w:val="100"/>
                <w:kern w:val="0"/>
                <w:position w:val="0"/>
                <w:szCs w:val="21"/>
                <w:u w:val="none" w:color="auto"/>
              </w:rPr>
              <w:t>二级</w:t>
            </w:r>
          </w:p>
        </w:tc>
        <w:tc>
          <w:tcPr>
            <w:tcW w:w="1782" w:type="dxa"/>
            <w:tcBorders>
              <w:tl2br w:val="nil"/>
              <w:tr2bl w:val="nil"/>
            </w:tcBorders>
          </w:tcPr>
          <w:p w14:paraId="53751FAD">
            <w:pPr>
              <w:keepNext w:val="0"/>
              <w:keepLines w:val="0"/>
              <w:pageBreakBefore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kern w:val="0"/>
                <w:position w:val="0"/>
                <w:szCs w:val="21"/>
                <w:u w:val="none" w:color="auto"/>
              </w:rPr>
            </w:pPr>
            <w:r>
              <w:rPr>
                <w:rFonts w:hint="default" w:ascii="Times New Roman" w:hAnsi="Times New Roman" w:eastAsia="宋体" w:cs="Times New Roman"/>
                <w:bCs/>
                <w:caps w:val="0"/>
                <w:smallCaps w:val="0"/>
                <w:color w:val="auto"/>
                <w:spacing w:val="0"/>
                <w:w w:val="100"/>
                <w:kern w:val="0"/>
                <w:position w:val="0"/>
                <w:szCs w:val="21"/>
                <w:u w:val="none" w:color="auto"/>
              </w:rPr>
              <w:t>三级</w:t>
            </w:r>
          </w:p>
        </w:tc>
      </w:tr>
      <w:tr w14:paraId="5F1DF3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4" w:type="dxa"/>
            <w:tcBorders>
              <w:tl2br w:val="nil"/>
              <w:tr2bl w:val="nil"/>
            </w:tcBorders>
            <w:vAlign w:val="center"/>
          </w:tcPr>
          <w:p w14:paraId="78D6BB3D">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kern w:val="0"/>
                <w:position w:val="0"/>
                <w:szCs w:val="21"/>
                <w:u w:val="none" w:color="auto"/>
              </w:rPr>
            </w:pPr>
            <w:r>
              <w:rPr>
                <w:rFonts w:hint="default" w:ascii="Times New Roman" w:hAnsi="Times New Roman" w:eastAsia="宋体" w:cs="Times New Roman"/>
                <w:bCs/>
                <w:caps w:val="0"/>
                <w:smallCaps w:val="0"/>
                <w:color w:val="auto"/>
                <w:spacing w:val="0"/>
                <w:w w:val="100"/>
                <w:kern w:val="0"/>
                <w:position w:val="0"/>
                <w:szCs w:val="21"/>
                <w:u w:val="none" w:color="auto"/>
              </w:rPr>
              <w:t>较敏感</w:t>
            </w:r>
          </w:p>
        </w:tc>
        <w:tc>
          <w:tcPr>
            <w:tcW w:w="1303" w:type="dxa"/>
            <w:tcBorders>
              <w:tl2br w:val="nil"/>
              <w:tr2bl w:val="nil"/>
            </w:tcBorders>
          </w:tcPr>
          <w:p w14:paraId="33A3FB31">
            <w:pPr>
              <w:keepNext w:val="0"/>
              <w:keepLines w:val="0"/>
              <w:pageBreakBefore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kern w:val="0"/>
                <w:position w:val="0"/>
                <w:szCs w:val="21"/>
                <w:u w:val="none" w:color="auto"/>
              </w:rPr>
            </w:pPr>
            <w:r>
              <w:rPr>
                <w:rFonts w:hint="default" w:ascii="Times New Roman" w:hAnsi="Times New Roman" w:eastAsia="宋体" w:cs="Times New Roman"/>
                <w:bCs/>
                <w:caps w:val="0"/>
                <w:smallCaps w:val="0"/>
                <w:color w:val="auto"/>
                <w:spacing w:val="0"/>
                <w:w w:val="100"/>
                <w:kern w:val="0"/>
                <w:position w:val="0"/>
                <w:szCs w:val="21"/>
                <w:u w:val="none" w:color="auto"/>
              </w:rPr>
              <w:t>二级</w:t>
            </w:r>
          </w:p>
        </w:tc>
        <w:tc>
          <w:tcPr>
            <w:tcW w:w="1992" w:type="dxa"/>
            <w:tcBorders>
              <w:tl2br w:val="nil"/>
              <w:tr2bl w:val="nil"/>
            </w:tcBorders>
          </w:tcPr>
          <w:p w14:paraId="0AFC1FCC">
            <w:pPr>
              <w:keepNext w:val="0"/>
              <w:keepLines w:val="0"/>
              <w:pageBreakBefore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kern w:val="0"/>
                <w:position w:val="0"/>
                <w:szCs w:val="21"/>
                <w:u w:val="none" w:color="auto"/>
              </w:rPr>
            </w:pPr>
            <w:r>
              <w:rPr>
                <w:rFonts w:hint="default" w:ascii="Times New Roman" w:hAnsi="Times New Roman" w:eastAsia="宋体" w:cs="Times New Roman"/>
                <w:bCs/>
                <w:caps w:val="0"/>
                <w:smallCaps w:val="0"/>
                <w:color w:val="auto"/>
                <w:spacing w:val="0"/>
                <w:w w:val="100"/>
                <w:kern w:val="0"/>
                <w:position w:val="0"/>
                <w:szCs w:val="21"/>
                <w:u w:val="none" w:color="auto"/>
              </w:rPr>
              <w:t>二级</w:t>
            </w:r>
          </w:p>
        </w:tc>
        <w:tc>
          <w:tcPr>
            <w:tcW w:w="1782" w:type="dxa"/>
            <w:tcBorders>
              <w:tl2br w:val="nil"/>
              <w:tr2bl w:val="nil"/>
            </w:tcBorders>
          </w:tcPr>
          <w:p w14:paraId="666182C6">
            <w:pPr>
              <w:keepNext w:val="0"/>
              <w:keepLines w:val="0"/>
              <w:pageBreakBefore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kern w:val="0"/>
                <w:position w:val="0"/>
                <w:szCs w:val="21"/>
                <w:u w:val="none" w:color="auto"/>
              </w:rPr>
            </w:pPr>
            <w:r>
              <w:rPr>
                <w:rFonts w:hint="default" w:ascii="Times New Roman" w:hAnsi="Times New Roman" w:eastAsia="宋体" w:cs="Times New Roman"/>
                <w:bCs/>
                <w:caps w:val="0"/>
                <w:smallCaps w:val="0"/>
                <w:color w:val="auto"/>
                <w:spacing w:val="0"/>
                <w:w w:val="100"/>
                <w:kern w:val="0"/>
                <w:position w:val="0"/>
                <w:szCs w:val="21"/>
                <w:u w:val="none" w:color="auto"/>
              </w:rPr>
              <w:t>三级</w:t>
            </w:r>
          </w:p>
        </w:tc>
      </w:tr>
      <w:tr w14:paraId="6928D2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94" w:type="dxa"/>
            <w:tcBorders>
              <w:tl2br w:val="nil"/>
              <w:tr2bl w:val="nil"/>
            </w:tcBorders>
            <w:vAlign w:val="center"/>
          </w:tcPr>
          <w:p w14:paraId="4AC00DF1">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kern w:val="0"/>
                <w:position w:val="0"/>
                <w:szCs w:val="21"/>
                <w:u w:val="none" w:color="auto"/>
              </w:rPr>
            </w:pPr>
            <w:r>
              <w:rPr>
                <w:rFonts w:hint="default" w:ascii="Times New Roman" w:hAnsi="Times New Roman" w:eastAsia="宋体" w:cs="Times New Roman"/>
                <w:bCs/>
                <w:caps w:val="0"/>
                <w:smallCaps w:val="0"/>
                <w:color w:val="auto"/>
                <w:spacing w:val="0"/>
                <w:w w:val="100"/>
                <w:kern w:val="0"/>
                <w:position w:val="0"/>
                <w:szCs w:val="21"/>
                <w:u w:val="none" w:color="auto"/>
              </w:rPr>
              <w:t>不敏感</w:t>
            </w:r>
          </w:p>
        </w:tc>
        <w:tc>
          <w:tcPr>
            <w:tcW w:w="1303" w:type="dxa"/>
            <w:tcBorders>
              <w:tl2br w:val="nil"/>
              <w:tr2bl w:val="nil"/>
            </w:tcBorders>
          </w:tcPr>
          <w:p w14:paraId="6985E45F">
            <w:pPr>
              <w:keepNext w:val="0"/>
              <w:keepLines w:val="0"/>
              <w:pageBreakBefore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kern w:val="0"/>
                <w:position w:val="0"/>
                <w:szCs w:val="21"/>
                <w:u w:val="none" w:color="auto"/>
              </w:rPr>
            </w:pPr>
            <w:r>
              <w:rPr>
                <w:rFonts w:hint="default" w:ascii="Times New Roman" w:hAnsi="Times New Roman" w:eastAsia="宋体" w:cs="Times New Roman"/>
                <w:bCs/>
                <w:caps w:val="0"/>
                <w:smallCaps w:val="0"/>
                <w:color w:val="auto"/>
                <w:spacing w:val="0"/>
                <w:w w:val="100"/>
                <w:kern w:val="0"/>
                <w:position w:val="0"/>
                <w:szCs w:val="21"/>
                <w:u w:val="none" w:color="auto"/>
              </w:rPr>
              <w:t>二级</w:t>
            </w:r>
          </w:p>
        </w:tc>
        <w:tc>
          <w:tcPr>
            <w:tcW w:w="1992" w:type="dxa"/>
            <w:tcBorders>
              <w:tl2br w:val="nil"/>
              <w:tr2bl w:val="nil"/>
            </w:tcBorders>
          </w:tcPr>
          <w:p w14:paraId="5C97B0EC">
            <w:pPr>
              <w:keepNext w:val="0"/>
              <w:keepLines w:val="0"/>
              <w:pageBreakBefore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kern w:val="0"/>
                <w:position w:val="0"/>
                <w:szCs w:val="21"/>
                <w:u w:val="none" w:color="auto"/>
              </w:rPr>
            </w:pPr>
            <w:r>
              <w:rPr>
                <w:rFonts w:hint="default" w:ascii="Times New Roman" w:hAnsi="Times New Roman" w:eastAsia="宋体" w:cs="Times New Roman"/>
                <w:bCs/>
                <w:caps w:val="0"/>
                <w:smallCaps w:val="0"/>
                <w:color w:val="auto"/>
                <w:spacing w:val="0"/>
                <w:w w:val="100"/>
                <w:kern w:val="0"/>
                <w:position w:val="0"/>
                <w:szCs w:val="21"/>
                <w:u w:val="none" w:color="auto"/>
              </w:rPr>
              <w:t>三级</w:t>
            </w:r>
          </w:p>
        </w:tc>
        <w:tc>
          <w:tcPr>
            <w:tcW w:w="1782" w:type="dxa"/>
            <w:tcBorders>
              <w:tl2br w:val="nil"/>
              <w:tr2bl w:val="nil"/>
            </w:tcBorders>
          </w:tcPr>
          <w:p w14:paraId="799D7BE8">
            <w:pPr>
              <w:keepNext w:val="0"/>
              <w:keepLines w:val="0"/>
              <w:pageBreakBefore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Cs/>
                <w:caps w:val="0"/>
                <w:smallCaps w:val="0"/>
                <w:color w:val="auto"/>
                <w:spacing w:val="0"/>
                <w:w w:val="100"/>
                <w:kern w:val="0"/>
                <w:position w:val="0"/>
                <w:szCs w:val="21"/>
                <w:u w:val="none" w:color="auto"/>
              </w:rPr>
            </w:pPr>
            <w:r>
              <w:rPr>
                <w:rFonts w:hint="default" w:ascii="Times New Roman" w:hAnsi="Times New Roman" w:eastAsia="宋体" w:cs="Times New Roman"/>
                <w:bCs/>
                <w:caps w:val="0"/>
                <w:smallCaps w:val="0"/>
                <w:color w:val="auto"/>
                <w:spacing w:val="0"/>
                <w:w w:val="100"/>
                <w:kern w:val="0"/>
                <w:position w:val="0"/>
                <w:szCs w:val="21"/>
                <w:u w:val="none" w:color="auto"/>
              </w:rPr>
              <w:t>—</w:t>
            </w:r>
          </w:p>
        </w:tc>
      </w:tr>
      <w:tr w14:paraId="1B7B92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71" w:type="dxa"/>
            <w:gridSpan w:val="4"/>
            <w:tcBorders>
              <w:tl2br w:val="nil"/>
              <w:tr2bl w:val="nil"/>
            </w:tcBorders>
          </w:tcPr>
          <w:p w14:paraId="33B53D5F">
            <w:pPr>
              <w:keepNext w:val="0"/>
              <w:keepLines w:val="0"/>
              <w:pageBreakBefore w:val="0"/>
              <w:kinsoku w:val="0"/>
              <w:wordWrap w:val="0"/>
              <w:overflowPunct/>
              <w:topLinePunct/>
              <w:autoSpaceDE/>
              <w:autoSpaceDN/>
              <w:bidi w:val="0"/>
              <w:adjustRightInd w:val="0"/>
              <w:snapToGrid w:val="0"/>
              <w:spacing w:line="340" w:lineRule="exact"/>
              <w:jc w:val="left"/>
              <w:textAlignment w:val="auto"/>
              <w:rPr>
                <w:rFonts w:hint="default" w:ascii="Times New Roman" w:hAnsi="Times New Roman" w:eastAsia="宋体" w:cs="Times New Roman"/>
                <w:bCs/>
                <w:caps w:val="0"/>
                <w:smallCaps w:val="0"/>
                <w:color w:val="auto"/>
                <w:spacing w:val="0"/>
                <w:w w:val="100"/>
                <w:kern w:val="0"/>
                <w:position w:val="0"/>
                <w:szCs w:val="21"/>
                <w:u w:val="none" w:color="auto"/>
              </w:rPr>
            </w:pPr>
            <w:r>
              <w:rPr>
                <w:rFonts w:hint="default" w:ascii="Times New Roman" w:hAnsi="Times New Roman" w:eastAsia="宋体" w:cs="Times New Roman"/>
                <w:bCs/>
                <w:caps w:val="0"/>
                <w:smallCaps w:val="0"/>
                <w:color w:val="auto"/>
                <w:spacing w:val="0"/>
                <w:w w:val="100"/>
                <w:position w:val="0"/>
                <w:szCs w:val="21"/>
                <w:u w:val="none" w:color="auto"/>
              </w:rPr>
              <w:t>注：“—”表示可不开展土壤环境影响评价工作</w:t>
            </w:r>
          </w:p>
        </w:tc>
      </w:tr>
    </w:tbl>
    <w:p w14:paraId="7C5B09CE">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项目为水库除险加固工程，根据《环境影响评价技术导则  土壤环境（试行）》（HJ964-2018）表1：“库容1000万m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rPr>
        <w:t>至1亿m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rPr>
        <w:t>的水库；跨流域调水的引水工程”，为II类项目。根据现场踏勘和资料调查，项目所在地多年平均蒸发量为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970.9</w:t>
      </w:r>
      <w:r>
        <w:rPr>
          <w:rFonts w:hint="default" w:ascii="Times New Roman" w:hAnsi="Times New Roman" w:eastAsia="宋体" w:cs="Times New Roman"/>
          <w:caps w:val="0"/>
          <w:smallCaps w:val="0"/>
          <w:color w:val="auto"/>
          <w:spacing w:val="0"/>
          <w:w w:val="100"/>
          <w:kern w:val="0"/>
          <w:position w:val="0"/>
          <w:sz w:val="24"/>
          <w:szCs w:val="24"/>
          <w:u w:val="none" w:color="auto"/>
        </w:rPr>
        <w:t>mm，多年平均降水量约为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1262.3</w:t>
      </w:r>
      <w:r>
        <w:rPr>
          <w:rFonts w:hint="default" w:ascii="Times New Roman" w:hAnsi="Times New Roman" w:eastAsia="宋体" w:cs="Times New Roman"/>
          <w:caps w:val="0"/>
          <w:smallCaps w:val="0"/>
          <w:color w:val="auto"/>
          <w:spacing w:val="0"/>
          <w:w w:val="100"/>
          <w:kern w:val="0"/>
          <w:position w:val="0"/>
          <w:sz w:val="24"/>
          <w:szCs w:val="24"/>
          <w:u w:val="none" w:color="auto"/>
        </w:rPr>
        <w:t>mm，则干燥度约为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0.77</w:t>
      </w:r>
      <w:r>
        <w:rPr>
          <w:rFonts w:hint="default" w:ascii="Times New Roman" w:hAnsi="Times New Roman" w:eastAsia="宋体" w:cs="Times New Roman"/>
          <w:caps w:val="0"/>
          <w:smallCaps w:val="0"/>
          <w:color w:val="auto"/>
          <w:spacing w:val="0"/>
          <w:w w:val="100"/>
          <w:kern w:val="0"/>
          <w:position w:val="0"/>
          <w:sz w:val="24"/>
          <w:szCs w:val="24"/>
          <w:u w:val="none" w:color="auto"/>
        </w:rPr>
        <w:t>＜1.8</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地下水平均埋深＞1.5m</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土壤含盐量＜2g/kg，属于“其他”，为土壤盐化不敏感区；土壤pH5.5＜pH＜8.5</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因此，项目所在地土壤环境敏感程度属于不敏感。</w:t>
      </w:r>
    </w:p>
    <w:p w14:paraId="66AE9A3F">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本项目为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II类项目，敏感程度为不敏感</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因此本项目</w:t>
      </w:r>
      <w:r>
        <w:rPr>
          <w:rFonts w:hint="default" w:ascii="Times New Roman" w:hAnsi="Times New Roman" w:eastAsia="宋体" w:cs="Times New Roman"/>
          <w:caps w:val="0"/>
          <w:smallCaps w:val="0"/>
          <w:color w:val="auto"/>
          <w:spacing w:val="0"/>
          <w:w w:val="100"/>
          <w:kern w:val="0"/>
          <w:position w:val="0"/>
          <w:sz w:val="24"/>
          <w:szCs w:val="24"/>
          <w:u w:val="none" w:color="auto"/>
        </w:rPr>
        <w:t>土壤评价等级确定为三级。</w:t>
      </w:r>
    </w:p>
    <w:p w14:paraId="62F801C0">
      <w:pPr>
        <w:keepNext w:val="0"/>
        <w:keepLines w:val="0"/>
        <w:pageBreakBefore w:val="0"/>
        <w:widowControl w:val="0"/>
        <w:kinsoku w:val="0"/>
        <w:wordWrap w:val="0"/>
        <w:overflowPunct/>
        <w:topLinePunct/>
        <w:autoSpaceDE/>
        <w:autoSpaceDN/>
        <w:bidi w:val="0"/>
        <w:adjustRightInd w:val="0"/>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（6）生态环境</w:t>
      </w:r>
    </w:p>
    <w:p w14:paraId="6D401EEE">
      <w:pPr>
        <w:pStyle w:val="94"/>
        <w:keepNext w:val="0"/>
        <w:keepLines w:val="0"/>
        <w:pageBreakBefore w:val="0"/>
        <w:widowControl w:val="0"/>
        <w:overflowPunct/>
        <w:autoSpaceDE/>
        <w:autoSpaceDN/>
        <w:bidi w:val="0"/>
        <w:adjustRightInd w:val="0"/>
        <w:spacing w:line="360" w:lineRule="auto"/>
        <w:ind w:firstLine="480"/>
        <w:textAlignment w:val="auto"/>
        <w:rPr>
          <w:rFonts w:hint="default" w:ascii="Times New Roman" w:hAnsi="Times New Roman"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rPr>
        <w:t>根据《环境影响评价技术导则 生态影响》（HJ19-2022）可知：依据建设项目影响区域的生态敏感性和影响程度，评价等级划分为一级、二级和三级。</w:t>
      </w:r>
      <w:r>
        <w:rPr>
          <w:rFonts w:hint="default" w:ascii="Times New Roman" w:hAnsi="Times New Roman" w:cs="Times New Roman"/>
          <w:color w:val="auto"/>
          <w:spacing w:val="0"/>
          <w:w w:val="100"/>
          <w:position w:val="0"/>
          <w:u w:val="none" w:color="auto"/>
          <w:lang w:eastAsia="zh-CN"/>
        </w:rPr>
        <w:t>具体</w:t>
      </w:r>
      <w:r>
        <w:rPr>
          <w:rFonts w:hint="default" w:ascii="Times New Roman" w:hAnsi="Times New Roman" w:cs="Times New Roman"/>
          <w:color w:val="auto"/>
          <w:spacing w:val="0"/>
          <w:w w:val="100"/>
          <w:position w:val="0"/>
          <w:u w:val="none" w:color="auto"/>
        </w:rPr>
        <w:t>按以下原则确定评价等级：</w:t>
      </w:r>
    </w:p>
    <w:p w14:paraId="2C4CB878">
      <w:pPr>
        <w:pStyle w:val="94"/>
        <w:ind w:firstLine="480"/>
        <w:rPr>
          <w:rFonts w:hint="default" w:ascii="Times New Roman" w:hAnsi="Times New Roman"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rPr>
        <w:t>a）涉及国家公园、自然保护区、世界自然遗产、重要生境时，评价等级为一级；</w:t>
      </w:r>
    </w:p>
    <w:p w14:paraId="0E538E45">
      <w:pPr>
        <w:pStyle w:val="94"/>
        <w:ind w:firstLine="480"/>
        <w:rPr>
          <w:rFonts w:hint="default" w:ascii="Times New Roman" w:hAnsi="Times New Roman"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rPr>
        <w:t>b）涉及自然公园时，评价等级为二级；</w:t>
      </w:r>
    </w:p>
    <w:p w14:paraId="7A18F9CF">
      <w:pPr>
        <w:pStyle w:val="94"/>
        <w:ind w:firstLine="480"/>
        <w:rPr>
          <w:rFonts w:hint="default" w:ascii="Times New Roman" w:hAnsi="Times New Roman"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rPr>
        <w:t>c）涉及生态保护红线时，评价等级不低于二级；</w:t>
      </w:r>
    </w:p>
    <w:p w14:paraId="5DEA131F">
      <w:pPr>
        <w:pStyle w:val="94"/>
        <w:ind w:firstLine="480"/>
        <w:rPr>
          <w:rFonts w:hint="default" w:ascii="Times New Roman" w:hAnsi="Times New Roman"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rPr>
        <w:t>d）根据HJ2.3判断属于水文要素影响型且地表水评价等级不低于二级的建设项目，生态影响评价等级不低于二级；</w:t>
      </w:r>
    </w:p>
    <w:p w14:paraId="45C3DA3D">
      <w:pPr>
        <w:pStyle w:val="94"/>
        <w:ind w:firstLine="480"/>
        <w:rPr>
          <w:rFonts w:hint="default" w:ascii="Times New Roman" w:hAnsi="Times New Roman"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rPr>
        <w:t>e）根据HJ610、HJ964判断地下水水位或土壤影响范围内分布有天然林、公益林、湿地等生态保护目标的建设项目，生态影响评价等级不低于二级；</w:t>
      </w:r>
    </w:p>
    <w:p w14:paraId="3F72BFC9">
      <w:pPr>
        <w:pStyle w:val="94"/>
        <w:ind w:firstLine="480"/>
        <w:rPr>
          <w:rFonts w:hint="default" w:ascii="Times New Roman" w:hAnsi="Times New Roman"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rPr>
        <w:t>f）当工程占地规模大于20km</w:t>
      </w:r>
      <w:r>
        <w:rPr>
          <w:rFonts w:hint="default" w:ascii="Times New Roman" w:hAnsi="Times New Roman" w:cs="Times New Roman"/>
          <w:color w:val="auto"/>
          <w:spacing w:val="0"/>
          <w:w w:val="100"/>
          <w:position w:val="0"/>
          <w:u w:val="none" w:color="auto"/>
          <w:vertAlign w:val="superscript"/>
        </w:rPr>
        <w:t>2</w:t>
      </w:r>
      <w:r>
        <w:rPr>
          <w:rFonts w:hint="default" w:ascii="Times New Roman" w:hAnsi="Times New Roman" w:cs="Times New Roman"/>
          <w:color w:val="auto"/>
          <w:spacing w:val="0"/>
          <w:w w:val="100"/>
          <w:position w:val="0"/>
          <w:u w:val="none" w:color="auto"/>
        </w:rPr>
        <w:t>时（包括永久和临时占用陆域和水域），评价等级不低于二级；改扩建项目的占地范围以新增占地（包括陆域和水域）确定；</w:t>
      </w:r>
    </w:p>
    <w:p w14:paraId="0A2ADCFD">
      <w:pPr>
        <w:pStyle w:val="94"/>
        <w:ind w:firstLine="480"/>
        <w:rPr>
          <w:rFonts w:hint="default" w:ascii="Times New Roman" w:hAnsi="Times New Roman"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rPr>
        <w:t>g）除本条a）、b）、c）、d）、e）、f）以外的情况，评价等级为三级；</w:t>
      </w:r>
    </w:p>
    <w:p w14:paraId="0C6C038F">
      <w:pPr>
        <w:pStyle w:val="94"/>
        <w:ind w:firstLine="480"/>
        <w:rPr>
          <w:rFonts w:hint="default" w:ascii="Times New Roman" w:hAnsi="Times New Roman"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rPr>
        <w:t>h）当评价等级判定同时符合上述多种情况时，应采用其中最高的评价等级。</w:t>
      </w:r>
    </w:p>
    <w:p w14:paraId="4FBCEC3C">
      <w:pPr>
        <w:pStyle w:val="94"/>
        <w:ind w:firstLine="480"/>
        <w:rPr>
          <w:rFonts w:hint="default" w:ascii="Times New Roman" w:hAnsi="Times New Roman"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rPr>
        <w:t>建设项目涉及经论证对保护生物多样性具有重要意义的区域时，可适当上调评价等级。</w:t>
      </w:r>
    </w:p>
    <w:p w14:paraId="644605E6">
      <w:pPr>
        <w:pStyle w:val="94"/>
        <w:ind w:firstLine="480"/>
        <w:rPr>
          <w:rFonts w:hint="default" w:ascii="Times New Roman" w:hAnsi="Times New Roman"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rPr>
        <w:t>建设项目同时涉及陆生、水生生态影响时，可针对陆生生态、水生生态分别判定评价等级。</w:t>
      </w:r>
    </w:p>
    <w:p w14:paraId="27262D28">
      <w:pPr>
        <w:pStyle w:val="94"/>
        <w:ind w:firstLine="480"/>
        <w:rPr>
          <w:rFonts w:hint="default" w:ascii="Times New Roman" w:hAnsi="Times New Roman"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rPr>
        <w:t>在矿山开采可能导致矿区土地利用类型明显改变，或拦河闸坝建设可能明显改变水文情势等情况下，评价等级应上调一级。</w:t>
      </w:r>
    </w:p>
    <w:p w14:paraId="1F2F1FFB">
      <w:pPr>
        <w:keepNext w:val="0"/>
        <w:keepLines w:val="0"/>
        <w:pageBreakBefore w:val="0"/>
        <w:widowControl w:val="0"/>
        <w:kinsoku/>
        <w:wordWrap/>
        <w:overflowPunct/>
        <w:topLinePunct w:val="0"/>
        <w:autoSpaceDE/>
        <w:autoSpaceDN/>
        <w:bidi w:val="0"/>
        <w:spacing w:line="360" w:lineRule="auto"/>
        <w:ind w:left="0" w:right="0" w:firstLine="484"/>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本</w:t>
      </w:r>
      <w:r>
        <w:rPr>
          <w:rFonts w:hint="default" w:ascii="Times New Roman" w:hAnsi="Times New Roman" w:eastAsia="宋体" w:cs="Times New Roman"/>
          <w:caps w:val="0"/>
          <w:smallCaps w:val="0"/>
          <w:color w:val="auto"/>
          <w:spacing w:val="0"/>
          <w:w w:val="100"/>
          <w:kern w:val="0"/>
          <w:position w:val="0"/>
          <w:sz w:val="24"/>
          <w:szCs w:val="24"/>
          <w:u w:val="none" w:color="auto"/>
        </w:rPr>
        <w:t>项目为水库除险加</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固工程，</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eastAsia="zh-CN"/>
        </w:rPr>
        <w:t>根据等级确定原则</w:t>
      </w:r>
      <w:r>
        <w:rPr>
          <w:rFonts w:hint="default" w:ascii="Times New Roman" w:hAnsi="Times New Roman" w:eastAsia="宋体" w:cs="Times New Roman"/>
          <w:color w:val="auto"/>
          <w:spacing w:val="0"/>
          <w:w w:val="100"/>
          <w:position w:val="0"/>
          <w:sz w:val="24"/>
          <w:szCs w:val="24"/>
          <w:u w:val="none" w:color="auto"/>
        </w:rPr>
        <w:t>b）</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val="en-US" w:eastAsia="zh-CN"/>
        </w:rPr>
        <w:t>c</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w:t>
      </w:r>
      <w:r>
        <w:rPr>
          <w:rFonts w:hint="default" w:ascii="Times New Roman" w:hAnsi="Times New Roman" w:eastAsia="宋体" w:cs="Times New Roman"/>
          <w:color w:val="auto"/>
          <w:spacing w:val="0"/>
          <w:w w:val="100"/>
          <w:position w:val="0"/>
          <w:sz w:val="24"/>
          <w:szCs w:val="24"/>
          <w:u w:val="none" w:color="auto"/>
        </w:rPr>
        <w:t>d）</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和</w:t>
      </w:r>
      <w:r>
        <w:rPr>
          <w:rFonts w:hint="default" w:ascii="Times New Roman" w:hAnsi="Times New Roman" w:eastAsia="宋体" w:cs="Times New Roman"/>
          <w:color w:val="auto"/>
          <w:spacing w:val="0"/>
          <w:w w:val="100"/>
          <w:position w:val="0"/>
          <w:sz w:val="24"/>
          <w:szCs w:val="24"/>
          <w:u w:val="none" w:color="auto"/>
        </w:rPr>
        <w:t>e）</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，本项目</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涉及</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eastAsia="zh-CN"/>
        </w:rPr>
        <w:t>生态保护红线、</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自然公园（桃花山森林公园）</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w:t>
      </w:r>
      <w:r>
        <w:rPr>
          <w:rFonts w:hint="default" w:ascii="Times New Roman" w:hAnsi="Times New Roman" w:eastAsia="宋体" w:cs="Times New Roman"/>
          <w:color w:val="auto"/>
          <w:spacing w:val="0"/>
          <w:w w:val="100"/>
          <w:position w:val="0"/>
          <w:sz w:val="24"/>
          <w:szCs w:val="24"/>
          <w:u w:val="none" w:color="auto"/>
          <w:lang w:eastAsia="zh-CN"/>
        </w:rPr>
        <w:t>项目为水文要素型，涉及饮用水水源保护区，地表水评价等级为二级，</w:t>
      </w:r>
      <w:r>
        <w:rPr>
          <w:rFonts w:hint="default" w:ascii="Times New Roman" w:hAnsi="Times New Roman" w:eastAsia="宋体" w:cs="Times New Roman"/>
          <w:color w:val="auto"/>
          <w:spacing w:val="0"/>
          <w:w w:val="100"/>
          <w:position w:val="0"/>
          <w:sz w:val="24"/>
          <w:szCs w:val="24"/>
          <w:u w:val="none" w:color="auto"/>
          <w:lang w:val="en-US" w:eastAsia="zh-CN"/>
        </w:rPr>
        <w:t>同时土壤、地下水影响范围内分布有公益林、天然林，</w:t>
      </w:r>
      <w:r>
        <w:rPr>
          <w:rFonts w:hint="default" w:ascii="Times New Roman" w:hAnsi="Times New Roman" w:eastAsia="宋体" w:cs="Times New Roman"/>
          <w:color w:val="auto"/>
          <w:spacing w:val="0"/>
          <w:w w:val="100"/>
          <w:position w:val="0"/>
          <w:sz w:val="24"/>
          <w:szCs w:val="24"/>
          <w:u w:val="none" w:color="auto"/>
          <w:lang w:eastAsia="zh-CN"/>
        </w:rPr>
        <w:t>因此确定本项目生态影响评价等级不低于二级。</w:t>
      </w:r>
      <w:r>
        <w:rPr>
          <w:rFonts w:hint="default" w:ascii="Times New Roman" w:hAnsi="Times New Roman" w:eastAsia="宋体" w:cs="Times New Roman"/>
          <w:color w:val="auto"/>
          <w:spacing w:val="0"/>
          <w:w w:val="100"/>
          <w:position w:val="0"/>
          <w:sz w:val="24"/>
          <w:szCs w:val="24"/>
          <w:u w:val="none" w:color="auto"/>
        </w:rPr>
        <w:t>由于本项目不属于新建水库，</w:t>
      </w:r>
      <w:r>
        <w:rPr>
          <w:rFonts w:hint="default" w:ascii="Times New Roman" w:hAnsi="Times New Roman" w:eastAsia="宋体" w:cs="Times New Roman"/>
          <w:color w:val="auto"/>
          <w:spacing w:val="0"/>
          <w:w w:val="100"/>
          <w:position w:val="0"/>
          <w:sz w:val="24"/>
          <w:szCs w:val="24"/>
          <w:u w:val="none" w:color="auto"/>
          <w:lang w:eastAsia="zh-CN"/>
        </w:rPr>
        <w:t>不新设拦河闸坝，</w:t>
      </w:r>
      <w:r>
        <w:rPr>
          <w:rFonts w:hint="default" w:ascii="Times New Roman" w:hAnsi="Times New Roman" w:eastAsia="宋体" w:cs="Times New Roman"/>
          <w:color w:val="auto"/>
          <w:spacing w:val="0"/>
          <w:w w:val="100"/>
          <w:position w:val="0"/>
          <w:sz w:val="24"/>
          <w:szCs w:val="24"/>
          <w:u w:val="none" w:color="auto"/>
        </w:rPr>
        <w:t>仅对水库进行除险加固，不改变原水库的集雨面积、库容、水位等</w:t>
      </w:r>
      <w:r>
        <w:rPr>
          <w:rFonts w:hint="default" w:ascii="Times New Roman" w:hAnsi="Times New Roman" w:eastAsia="宋体" w:cs="Times New Roman"/>
          <w:color w:val="auto"/>
          <w:spacing w:val="0"/>
          <w:w w:val="100"/>
          <w:position w:val="0"/>
          <w:sz w:val="24"/>
          <w:szCs w:val="24"/>
          <w:u w:val="none" w:color="auto"/>
          <w:lang w:eastAsia="zh-CN"/>
        </w:rPr>
        <w:t>特性</w:t>
      </w:r>
      <w:r>
        <w:rPr>
          <w:rFonts w:hint="default" w:ascii="Times New Roman" w:hAnsi="Times New Roman" w:eastAsia="宋体" w:cs="Times New Roman"/>
          <w:color w:val="auto"/>
          <w:spacing w:val="0"/>
          <w:w w:val="100"/>
          <w:position w:val="0"/>
          <w:sz w:val="24"/>
          <w:szCs w:val="24"/>
          <w:u w:val="none" w:color="auto"/>
        </w:rPr>
        <w:t>，不会对水文情势造成明显影响</w:t>
      </w:r>
      <w:r>
        <w:rPr>
          <w:rFonts w:hint="default" w:ascii="Times New Roman" w:hAnsi="Times New Roman" w:eastAsia="宋体" w:cs="Times New Roman"/>
          <w:color w:val="auto"/>
          <w:spacing w:val="0"/>
          <w:w w:val="100"/>
          <w:position w:val="0"/>
          <w:sz w:val="24"/>
          <w:szCs w:val="24"/>
          <w:u w:val="none" w:color="auto"/>
          <w:lang w:eastAsia="zh-CN"/>
        </w:rPr>
        <w:t>，不涉及调整评价等级情形。综上，本项目生态影响评价等级为二级。</w:t>
      </w:r>
    </w:p>
    <w:p w14:paraId="3714EB81">
      <w:pPr>
        <w:pageBreakBefore w:val="0"/>
        <w:kinsoku w:val="0"/>
        <w:wordWrap w:val="0"/>
        <w:overflowPunct/>
        <w:topLinePunct/>
        <w:autoSpaceDE/>
        <w:autoSpaceDN/>
        <w:bidi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（7）环境风险</w:t>
      </w:r>
    </w:p>
    <w:p w14:paraId="56F75908">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根据《建设项目环境风险评价技术导则》（HJ169-2018）：环境风险评价工作划分为一级、二级、三级。根据建设项目涉及的物质及工艺系统危险性和所在地的环境敏感性确定环境风险潜势，按表1.6-7确定评价工作等级。</w:t>
      </w:r>
    </w:p>
    <w:p w14:paraId="1E90F454">
      <w:pPr>
        <w:keepNext w:val="0"/>
        <w:keepLines w:val="0"/>
        <w:pageBreakBefore w:val="0"/>
        <w:widowControl w:val="0"/>
        <w:kinsoku w:val="0"/>
        <w:wordWrap w:val="0"/>
        <w:overflowPunct/>
        <w:topLinePunct/>
        <w:autoSpaceDE/>
        <w:autoSpaceDN/>
        <w:bidi w:val="0"/>
        <w:adjustRightInd w:val="0"/>
        <w:snapToGrid/>
        <w:spacing w:line="360" w:lineRule="auto"/>
        <w:jc w:val="center"/>
        <w:textAlignment w:val="auto"/>
        <w:rPr>
          <w:rFonts w:hint="default" w:ascii="Times New Roman" w:hAnsi="Times New Roman" w:eastAsia="宋体" w:cs="Times New Roman"/>
          <w:b/>
          <w:caps w:val="0"/>
          <w:smallCaps w:val="0"/>
          <w:color w:val="auto"/>
          <w:spacing w:val="0"/>
          <w:w w:val="100"/>
          <w:kern w:val="0"/>
          <w:position w:val="0"/>
          <w:sz w:val="24"/>
          <w:szCs w:val="24"/>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表1.6-7  评价工作等级划分</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00"/>
        <w:gridCol w:w="1715"/>
        <w:gridCol w:w="1699"/>
        <w:gridCol w:w="1701"/>
        <w:gridCol w:w="1701"/>
      </w:tblGrid>
      <w:tr w14:paraId="487AF1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11" w:type="dxa"/>
            <w:tcBorders>
              <w:tl2br w:val="nil"/>
              <w:tr2bl w:val="nil"/>
            </w:tcBorders>
            <w:vAlign w:val="center"/>
          </w:tcPr>
          <w:p w14:paraId="46D54AAF">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caps w:val="0"/>
                <w:smallCaps w:val="0"/>
                <w:color w:val="auto"/>
                <w:spacing w:val="0"/>
                <w:w w:val="100"/>
                <w:position w:val="0"/>
                <w:szCs w:val="21"/>
                <w:u w:val="none" w:color="auto"/>
              </w:rPr>
            </w:pPr>
            <w:r>
              <w:rPr>
                <w:rFonts w:hint="default" w:ascii="Times New Roman" w:hAnsi="Times New Roman" w:eastAsia="宋体" w:cs="Times New Roman"/>
                <w:b/>
                <w:bCs/>
                <w:caps w:val="0"/>
                <w:smallCaps w:val="0"/>
                <w:color w:val="auto"/>
                <w:spacing w:val="0"/>
                <w:w w:val="100"/>
                <w:position w:val="0"/>
                <w:szCs w:val="21"/>
                <w:u w:val="none" w:color="auto"/>
              </w:rPr>
              <w:t>环境风险潜势</w:t>
            </w:r>
          </w:p>
        </w:tc>
        <w:tc>
          <w:tcPr>
            <w:tcW w:w="1827" w:type="dxa"/>
            <w:tcBorders>
              <w:tl2br w:val="nil"/>
              <w:tr2bl w:val="nil"/>
            </w:tcBorders>
            <w:vAlign w:val="center"/>
          </w:tcPr>
          <w:p w14:paraId="3D595FF6">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caps w:val="0"/>
                <w:smallCaps w:val="0"/>
                <w:color w:val="auto"/>
                <w:spacing w:val="0"/>
                <w:w w:val="100"/>
                <w:position w:val="0"/>
                <w:szCs w:val="21"/>
                <w:u w:val="none" w:color="auto"/>
              </w:rPr>
            </w:pPr>
            <w:r>
              <w:rPr>
                <w:rFonts w:hint="default" w:ascii="Times New Roman" w:hAnsi="Times New Roman" w:eastAsia="宋体" w:cs="Times New Roman"/>
                <w:b/>
                <w:bCs/>
                <w:caps w:val="0"/>
                <w:smallCaps w:val="0"/>
                <w:color w:val="auto"/>
                <w:spacing w:val="0"/>
                <w:w w:val="100"/>
                <w:position w:val="0"/>
                <w:szCs w:val="21"/>
                <w:u w:val="none" w:color="auto"/>
              </w:rPr>
              <w:t>Ⅳ、Ⅳ</w:t>
            </w:r>
            <w:r>
              <w:rPr>
                <w:rFonts w:hint="default" w:ascii="Times New Roman" w:hAnsi="Times New Roman" w:eastAsia="宋体" w:cs="Times New Roman"/>
                <w:b/>
                <w:bCs/>
                <w:caps w:val="0"/>
                <w:smallCaps w:val="0"/>
                <w:color w:val="auto"/>
                <w:spacing w:val="0"/>
                <w:w w:val="100"/>
                <w:position w:val="0"/>
                <w:szCs w:val="21"/>
                <w:u w:val="none" w:color="auto"/>
                <w:vertAlign w:val="superscript"/>
              </w:rPr>
              <w:t>+</w:t>
            </w:r>
          </w:p>
        </w:tc>
        <w:tc>
          <w:tcPr>
            <w:tcW w:w="1810" w:type="dxa"/>
            <w:tcBorders>
              <w:tl2br w:val="nil"/>
              <w:tr2bl w:val="nil"/>
            </w:tcBorders>
            <w:vAlign w:val="center"/>
          </w:tcPr>
          <w:p w14:paraId="67D630D5">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caps w:val="0"/>
                <w:smallCaps w:val="0"/>
                <w:color w:val="auto"/>
                <w:spacing w:val="0"/>
                <w:w w:val="100"/>
                <w:position w:val="0"/>
                <w:szCs w:val="21"/>
                <w:u w:val="none" w:color="auto"/>
              </w:rPr>
            </w:pPr>
            <w:r>
              <w:rPr>
                <w:rFonts w:hint="default" w:ascii="Times New Roman" w:hAnsi="Times New Roman" w:eastAsia="宋体" w:cs="Times New Roman"/>
                <w:b/>
                <w:bCs/>
                <w:caps w:val="0"/>
                <w:smallCaps w:val="0"/>
                <w:color w:val="auto"/>
                <w:spacing w:val="0"/>
                <w:w w:val="100"/>
                <w:position w:val="0"/>
                <w:szCs w:val="21"/>
                <w:u w:val="none" w:color="auto"/>
              </w:rPr>
              <w:t>Ⅲ</w:t>
            </w:r>
          </w:p>
        </w:tc>
        <w:tc>
          <w:tcPr>
            <w:tcW w:w="1812" w:type="dxa"/>
            <w:tcBorders>
              <w:tl2br w:val="nil"/>
              <w:tr2bl w:val="nil"/>
            </w:tcBorders>
            <w:vAlign w:val="center"/>
          </w:tcPr>
          <w:p w14:paraId="4041AAA6">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caps w:val="0"/>
                <w:smallCaps w:val="0"/>
                <w:color w:val="auto"/>
                <w:spacing w:val="0"/>
                <w:w w:val="100"/>
                <w:position w:val="0"/>
                <w:szCs w:val="21"/>
                <w:u w:val="none" w:color="auto"/>
              </w:rPr>
            </w:pPr>
            <w:r>
              <w:rPr>
                <w:rFonts w:hint="default" w:ascii="Times New Roman" w:hAnsi="Times New Roman" w:eastAsia="宋体" w:cs="Times New Roman"/>
                <w:b/>
                <w:bCs/>
                <w:caps w:val="0"/>
                <w:smallCaps w:val="0"/>
                <w:color w:val="auto"/>
                <w:spacing w:val="0"/>
                <w:w w:val="100"/>
                <w:position w:val="0"/>
                <w:szCs w:val="21"/>
                <w:u w:val="none" w:color="auto"/>
              </w:rPr>
              <w:t>Ⅱ</w:t>
            </w:r>
          </w:p>
        </w:tc>
        <w:tc>
          <w:tcPr>
            <w:tcW w:w="1812" w:type="dxa"/>
            <w:tcBorders>
              <w:tl2br w:val="nil"/>
              <w:tr2bl w:val="nil"/>
            </w:tcBorders>
            <w:vAlign w:val="center"/>
          </w:tcPr>
          <w:p w14:paraId="463E2625">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caps w:val="0"/>
                <w:smallCaps w:val="0"/>
                <w:color w:val="auto"/>
                <w:spacing w:val="0"/>
                <w:w w:val="100"/>
                <w:position w:val="0"/>
                <w:szCs w:val="21"/>
                <w:u w:val="none" w:color="auto"/>
              </w:rPr>
            </w:pPr>
            <w:r>
              <w:rPr>
                <w:rFonts w:hint="default" w:ascii="Times New Roman" w:hAnsi="Times New Roman" w:eastAsia="宋体" w:cs="Times New Roman"/>
                <w:b/>
                <w:bCs/>
                <w:caps w:val="0"/>
                <w:smallCaps w:val="0"/>
                <w:color w:val="auto"/>
                <w:spacing w:val="0"/>
                <w:w w:val="100"/>
                <w:position w:val="0"/>
                <w:szCs w:val="21"/>
                <w:u w:val="none" w:color="auto"/>
              </w:rPr>
              <w:t>Ⅰ</w:t>
            </w:r>
          </w:p>
        </w:tc>
      </w:tr>
      <w:tr w14:paraId="0017B3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11" w:type="dxa"/>
            <w:tcBorders>
              <w:tl2br w:val="nil"/>
              <w:tr2bl w:val="nil"/>
            </w:tcBorders>
            <w:vAlign w:val="center"/>
          </w:tcPr>
          <w:p w14:paraId="5D50123D">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bCs/>
                <w:caps w:val="0"/>
                <w:smallCaps w:val="0"/>
                <w:color w:val="auto"/>
                <w:spacing w:val="0"/>
                <w:w w:val="100"/>
                <w:position w:val="0"/>
                <w:szCs w:val="21"/>
                <w:u w:val="none" w:color="auto"/>
              </w:rPr>
            </w:pPr>
            <w:r>
              <w:rPr>
                <w:rFonts w:hint="default" w:ascii="Times New Roman" w:hAnsi="Times New Roman" w:eastAsia="宋体" w:cs="Times New Roman"/>
                <w:b/>
                <w:bCs/>
                <w:caps w:val="0"/>
                <w:smallCaps w:val="0"/>
                <w:color w:val="auto"/>
                <w:spacing w:val="0"/>
                <w:w w:val="100"/>
                <w:position w:val="0"/>
                <w:szCs w:val="21"/>
                <w:u w:val="none" w:color="auto"/>
              </w:rPr>
              <w:t>评价工作等级</w:t>
            </w:r>
          </w:p>
        </w:tc>
        <w:tc>
          <w:tcPr>
            <w:tcW w:w="1827" w:type="dxa"/>
            <w:tcBorders>
              <w:tl2br w:val="nil"/>
              <w:tr2bl w:val="nil"/>
            </w:tcBorders>
            <w:vAlign w:val="center"/>
          </w:tcPr>
          <w:p w14:paraId="31A0EBB6">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一</w:t>
            </w:r>
          </w:p>
        </w:tc>
        <w:tc>
          <w:tcPr>
            <w:tcW w:w="1810" w:type="dxa"/>
            <w:tcBorders>
              <w:tl2br w:val="nil"/>
              <w:tr2bl w:val="nil"/>
            </w:tcBorders>
            <w:vAlign w:val="center"/>
          </w:tcPr>
          <w:p w14:paraId="612CD064">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二</w:t>
            </w:r>
          </w:p>
        </w:tc>
        <w:tc>
          <w:tcPr>
            <w:tcW w:w="1812" w:type="dxa"/>
            <w:tcBorders>
              <w:tl2br w:val="nil"/>
              <w:tr2bl w:val="nil"/>
            </w:tcBorders>
            <w:vAlign w:val="center"/>
          </w:tcPr>
          <w:p w14:paraId="7D29755D">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三</w:t>
            </w:r>
          </w:p>
        </w:tc>
        <w:tc>
          <w:tcPr>
            <w:tcW w:w="1812" w:type="dxa"/>
            <w:tcBorders>
              <w:tl2br w:val="nil"/>
              <w:tr2bl w:val="nil"/>
            </w:tcBorders>
            <w:vAlign w:val="center"/>
          </w:tcPr>
          <w:p w14:paraId="6D63D9BB">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简单分析</w:t>
            </w:r>
            <w:r>
              <w:rPr>
                <w:rFonts w:hint="default" w:ascii="Times New Roman" w:hAnsi="Times New Roman" w:eastAsia="宋体" w:cs="Times New Roman"/>
                <w:caps w:val="0"/>
                <w:smallCaps w:val="0"/>
                <w:color w:val="auto"/>
                <w:spacing w:val="0"/>
                <w:w w:val="100"/>
                <w:position w:val="0"/>
                <w:szCs w:val="21"/>
                <w:u w:val="none" w:color="auto"/>
                <w:vertAlign w:val="superscript"/>
              </w:rPr>
              <w:t>a</w:t>
            </w:r>
          </w:p>
        </w:tc>
      </w:tr>
      <w:tr w14:paraId="677C79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72" w:type="dxa"/>
            <w:gridSpan w:val="5"/>
            <w:tcBorders>
              <w:tl2br w:val="nil"/>
              <w:tr2bl w:val="nil"/>
            </w:tcBorders>
            <w:vAlign w:val="center"/>
          </w:tcPr>
          <w:p w14:paraId="63DE07CE">
            <w:pPr>
              <w:keepNext w:val="0"/>
              <w:keepLines w:val="0"/>
              <w:pageBreakBefore w:val="0"/>
              <w:widowControl w:val="0"/>
              <w:kinsoku w:val="0"/>
              <w:wordWrap w:val="0"/>
              <w:overflowPunct/>
              <w:topLinePunct/>
              <w:autoSpaceDE/>
              <w:autoSpaceDN/>
              <w:bidi w:val="0"/>
              <w:adjustRightInd w:val="0"/>
              <w:snapToGrid w:val="0"/>
              <w:spacing w:line="340" w:lineRule="exact"/>
              <w:jc w:val="left"/>
              <w:textAlignment w:val="auto"/>
              <w:rPr>
                <w:rFonts w:hint="default" w:ascii="Times New Roman" w:hAnsi="Times New Roman" w:eastAsia="宋体" w:cs="Times New Roman"/>
                <w:caps w:val="0"/>
                <w:smallCaps w:val="0"/>
                <w:color w:val="auto"/>
                <w:spacing w:val="0"/>
                <w:w w:val="100"/>
                <w:position w:val="0"/>
                <w:szCs w:val="21"/>
                <w:u w:val="none" w:color="auto"/>
              </w:rPr>
            </w:pPr>
            <w:r>
              <w:rPr>
                <w:rFonts w:hint="default" w:ascii="Times New Roman" w:hAnsi="Times New Roman" w:eastAsia="宋体" w:cs="Times New Roman"/>
                <w:caps w:val="0"/>
                <w:smallCaps w:val="0"/>
                <w:color w:val="auto"/>
                <w:spacing w:val="0"/>
                <w:w w:val="100"/>
                <w:position w:val="0"/>
                <w:szCs w:val="21"/>
                <w:u w:val="none" w:color="auto"/>
              </w:rPr>
              <w:t>a是相对于详细评价工作内容而言，</w:t>
            </w:r>
            <w:bookmarkStart w:id="82" w:name="_Hlk2009396"/>
            <w:r>
              <w:rPr>
                <w:rFonts w:hint="default" w:ascii="Times New Roman" w:hAnsi="Times New Roman" w:eastAsia="宋体" w:cs="Times New Roman"/>
                <w:caps w:val="0"/>
                <w:smallCaps w:val="0"/>
                <w:color w:val="auto"/>
                <w:spacing w:val="0"/>
                <w:w w:val="100"/>
                <w:position w:val="0"/>
                <w:szCs w:val="21"/>
                <w:u w:val="none" w:color="auto"/>
              </w:rPr>
              <w:t>在描述危险物质、环境影响途径、环境危害后果、风险防范措施等方面给出定性的说明。</w:t>
            </w:r>
            <w:bookmarkEnd w:id="82"/>
          </w:p>
        </w:tc>
      </w:tr>
    </w:tbl>
    <w:p w14:paraId="377AB4EB">
      <w:pPr>
        <w:keepNext w:val="0"/>
        <w:keepLines w:val="0"/>
        <w:pageBreakBefore w:val="0"/>
        <w:widowControl w:val="0"/>
        <w:kinsoku w:val="0"/>
        <w:wordWrap w:val="0"/>
        <w:overflowPunct/>
        <w:topLinePunct/>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项目为</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水库除险加固</w:t>
      </w:r>
      <w:r>
        <w:rPr>
          <w:rFonts w:hint="default" w:ascii="Times New Roman" w:hAnsi="Times New Roman" w:eastAsia="宋体" w:cs="Times New Roman"/>
          <w:caps w:val="0"/>
          <w:smallCaps w:val="0"/>
          <w:color w:val="auto"/>
          <w:spacing w:val="0"/>
          <w:w w:val="100"/>
          <w:kern w:val="0"/>
          <w:position w:val="0"/>
          <w:sz w:val="24"/>
          <w:szCs w:val="24"/>
          <w:u w:val="none" w:color="auto"/>
        </w:rPr>
        <w:t>工程，</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本项目涉及的突发环境事件风险物质为施工机械使用的油类物质，均就近购买，随用随买，不设储油库。本工程的风险物质及最大储存量分别为：柴油</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1.68</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t、废机油0.</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t，油类物质临界量为2500t，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危险废物临界量为50</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则</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本项目</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Q=0.0</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10672</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＜1，可知本项目风险潜势为Ⅰ，确定本项目环境风险评价等级为简单分析。</w:t>
      </w:r>
    </w:p>
    <w:p w14:paraId="20950195">
      <w:pPr>
        <w:pStyle w:val="4"/>
        <w:bidi w:val="0"/>
        <w:rPr>
          <w:rFonts w:hint="default" w:ascii="Times New Roman" w:hAnsi="Times New Roman" w:cs="Times New Roman"/>
        </w:rPr>
      </w:pPr>
      <w:bookmarkStart w:id="83" w:name="_Toc5679"/>
      <w:r>
        <w:rPr>
          <w:rFonts w:hint="default" w:ascii="Times New Roman" w:hAnsi="Times New Roman" w:cs="Times New Roman"/>
        </w:rPr>
        <w:t>评价范围</w:t>
      </w:r>
      <w:bookmarkEnd w:id="83"/>
    </w:p>
    <w:p w14:paraId="2ABB95CC">
      <w:pPr>
        <w:keepNext w:val="0"/>
        <w:keepLines w:val="0"/>
        <w:pageBreakBefore w:val="0"/>
        <w:widowControl w:val="0"/>
        <w:kinsoku w:val="0"/>
        <w:wordWrap w:val="0"/>
        <w:overflowPunct/>
        <w:topLinePunct/>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根据项目的性质、特点和现场勘察情况，确定本次评价的范围如下：</w:t>
      </w:r>
    </w:p>
    <w:p w14:paraId="4C19274F">
      <w:pPr>
        <w:pageBreakBefore w:val="0"/>
        <w:kinsoku w:val="0"/>
        <w:wordWrap w:val="0"/>
        <w:overflowPunct/>
        <w:topLinePunct/>
        <w:autoSpaceDE/>
        <w:autoSpaceDN/>
        <w:bidi w:val="0"/>
        <w:adjustRightInd w:val="0"/>
        <w:spacing w:line="240" w:lineRule="auto"/>
        <w:jc w:val="center"/>
        <w:rPr>
          <w:rFonts w:hint="default" w:ascii="Times New Roman" w:hAnsi="Times New Roman" w:eastAsia="宋体" w:cs="Times New Roman"/>
          <w:b/>
          <w:caps w:val="0"/>
          <w:smallCaps w:val="0"/>
          <w:color w:val="auto"/>
          <w:spacing w:val="0"/>
          <w:w w:val="100"/>
          <w:kern w:val="0"/>
          <w:position w:val="0"/>
          <w:sz w:val="24"/>
          <w:szCs w:val="24"/>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表1.</w:t>
      </w: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6</w:t>
      </w:r>
      <w:r>
        <w:rPr>
          <w:rFonts w:hint="default" w:ascii="Times New Roman" w:hAnsi="Times New Roman" w:eastAsia="宋体" w:cs="Times New Roman"/>
          <w:b/>
          <w:caps w:val="0"/>
          <w:smallCaps w:val="0"/>
          <w:color w:val="auto"/>
          <w:spacing w:val="0"/>
          <w:w w:val="100"/>
          <w:kern w:val="0"/>
          <w:position w:val="0"/>
          <w:sz w:val="24"/>
          <w:szCs w:val="24"/>
          <w:u w:val="none" w:color="auto"/>
        </w:rPr>
        <w:t>-</w:t>
      </w: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 xml:space="preserve">8 </w:t>
      </w:r>
      <w:r>
        <w:rPr>
          <w:rFonts w:hint="default" w:ascii="Times New Roman" w:hAnsi="Times New Roman" w:eastAsia="宋体" w:cs="Times New Roman"/>
          <w:b/>
          <w:caps w:val="0"/>
          <w:smallCaps w:val="0"/>
          <w:color w:val="auto"/>
          <w:spacing w:val="0"/>
          <w:w w:val="100"/>
          <w:kern w:val="0"/>
          <w:position w:val="0"/>
          <w:sz w:val="24"/>
          <w:szCs w:val="24"/>
          <w:u w:val="none" w:color="auto"/>
        </w:rPr>
        <w:t xml:space="preserve"> 环境影响评价工作范围</w:t>
      </w:r>
      <w:r>
        <w:rPr>
          <w:rFonts w:hint="default" w:ascii="Times New Roman" w:hAnsi="Times New Roman" w:eastAsia="宋体" w:cs="Times New Roman"/>
          <w:b/>
          <w:caps w:val="0"/>
          <w:smallCaps w:val="0"/>
          <w:color w:val="auto"/>
          <w:spacing w:val="0"/>
          <w:w w:val="100"/>
          <w:kern w:val="0"/>
          <w:position w:val="0"/>
          <w:sz w:val="24"/>
          <w:szCs w:val="24"/>
          <w:u w:val="none" w:color="auto"/>
          <w:lang w:eastAsia="zh-CN"/>
        </w:rPr>
        <w:t>及等级</w:t>
      </w:r>
      <w:r>
        <w:rPr>
          <w:rFonts w:hint="default" w:ascii="Times New Roman" w:hAnsi="Times New Roman" w:eastAsia="宋体" w:cs="Times New Roman"/>
          <w:b/>
          <w:caps w:val="0"/>
          <w:smallCaps w:val="0"/>
          <w:color w:val="auto"/>
          <w:spacing w:val="0"/>
          <w:w w:val="100"/>
          <w:kern w:val="0"/>
          <w:position w:val="0"/>
          <w:sz w:val="24"/>
          <w:szCs w:val="24"/>
          <w:u w:val="none" w:color="auto"/>
        </w:rPr>
        <w:t>一览表</w:t>
      </w:r>
    </w:p>
    <w:tbl>
      <w:tblPr>
        <w:tblStyle w:val="9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236"/>
        <w:gridCol w:w="1028"/>
        <w:gridCol w:w="6066"/>
      </w:tblGrid>
      <w:tr w14:paraId="6B4FCA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4" w:type="dxa"/>
            <w:tcBorders>
              <w:tl2br w:val="nil"/>
              <w:tr2bl w:val="nil"/>
            </w:tcBorders>
            <w:noWrap w:val="0"/>
            <w:vAlign w:val="center"/>
          </w:tcPr>
          <w:p w14:paraId="4061A594">
            <w:pPr>
              <w:keepNext w:val="0"/>
              <w:keepLines w:val="0"/>
              <w:pageBreakBefore w:val="0"/>
              <w:widowControl w:val="0"/>
              <w:kinsoku/>
              <w:wordWrap/>
              <w:overflowPunct/>
              <w:topLinePunct w:val="0"/>
              <w:autoSpaceDE/>
              <w:autoSpaceDN/>
              <w:bidi w:val="0"/>
              <w:adjustRightInd/>
              <w:snapToGrid/>
              <w:spacing w:line="218"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评价内容</w:t>
            </w:r>
          </w:p>
        </w:tc>
        <w:tc>
          <w:tcPr>
            <w:tcW w:w="1043" w:type="dxa"/>
            <w:tcBorders>
              <w:tl2br w:val="nil"/>
              <w:tr2bl w:val="nil"/>
            </w:tcBorders>
            <w:noWrap w:val="0"/>
            <w:vAlign w:val="center"/>
          </w:tcPr>
          <w:p w14:paraId="7CC27AA8">
            <w:pPr>
              <w:keepNext w:val="0"/>
              <w:keepLines w:val="0"/>
              <w:pageBreakBefore w:val="0"/>
              <w:widowControl w:val="0"/>
              <w:kinsoku/>
              <w:wordWrap/>
              <w:overflowPunct/>
              <w:topLinePunct w:val="0"/>
              <w:autoSpaceDE/>
              <w:autoSpaceDN/>
              <w:bidi w:val="0"/>
              <w:adjustRightInd/>
              <w:snapToGrid/>
              <w:spacing w:line="218"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评价等级</w:t>
            </w:r>
          </w:p>
        </w:tc>
        <w:tc>
          <w:tcPr>
            <w:tcW w:w="6153" w:type="dxa"/>
            <w:tcBorders>
              <w:tl2br w:val="nil"/>
              <w:tr2bl w:val="nil"/>
            </w:tcBorders>
            <w:noWrap w:val="0"/>
            <w:vAlign w:val="center"/>
          </w:tcPr>
          <w:p w14:paraId="145C2B69">
            <w:pPr>
              <w:keepNext w:val="0"/>
              <w:keepLines w:val="0"/>
              <w:pageBreakBefore w:val="0"/>
              <w:widowControl w:val="0"/>
              <w:kinsoku/>
              <w:wordWrap/>
              <w:overflowPunct/>
              <w:topLinePunct w:val="0"/>
              <w:autoSpaceDE/>
              <w:autoSpaceDN/>
              <w:bidi w:val="0"/>
              <w:adjustRightInd/>
              <w:snapToGrid/>
              <w:spacing w:line="218"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评价范围</w:t>
            </w:r>
          </w:p>
        </w:tc>
      </w:tr>
      <w:tr w14:paraId="141CC8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4" w:type="dxa"/>
            <w:tcBorders>
              <w:tl2br w:val="nil"/>
              <w:tr2bl w:val="nil"/>
            </w:tcBorders>
            <w:noWrap w:val="0"/>
            <w:vAlign w:val="center"/>
          </w:tcPr>
          <w:p w14:paraId="257F75F9">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大气环境</w:t>
            </w:r>
          </w:p>
        </w:tc>
        <w:tc>
          <w:tcPr>
            <w:tcW w:w="1043" w:type="dxa"/>
            <w:tcBorders>
              <w:tl2br w:val="nil"/>
              <w:tr2bl w:val="nil"/>
            </w:tcBorders>
            <w:noWrap w:val="0"/>
            <w:vAlign w:val="center"/>
          </w:tcPr>
          <w:p w14:paraId="3742044F">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三级</w:t>
            </w:r>
          </w:p>
        </w:tc>
        <w:tc>
          <w:tcPr>
            <w:tcW w:w="6153" w:type="dxa"/>
            <w:tcBorders>
              <w:tl2br w:val="nil"/>
              <w:tr2bl w:val="nil"/>
            </w:tcBorders>
            <w:noWrap w:val="0"/>
            <w:vAlign w:val="center"/>
          </w:tcPr>
          <w:p w14:paraId="13B82C0B">
            <w:pPr>
              <w:keepNext w:val="0"/>
              <w:keepLines w:val="0"/>
              <w:pageBreakBefore w:val="0"/>
              <w:widowControl w:val="0"/>
              <w:kinsoku/>
              <w:wordWrap/>
              <w:overflowPunct/>
              <w:topLinePunct w:val="0"/>
              <w:autoSpaceDE/>
              <w:autoSpaceDN/>
              <w:bidi w:val="0"/>
              <w:adjustRightInd/>
              <w:snapToGrid/>
              <w:spacing w:line="233"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lang w:val="en-US" w:eastAsia="zh-CN"/>
              </w:rPr>
              <w:t>不需要设置大气环境影响评价范围。本次重点对</w:t>
            </w:r>
            <w:r>
              <w:rPr>
                <w:rFonts w:hint="default" w:ascii="Times New Roman" w:hAnsi="Times New Roman" w:eastAsia="宋体" w:cs="Times New Roman"/>
                <w:color w:val="auto"/>
                <w:spacing w:val="0"/>
                <w:w w:val="100"/>
                <w:position w:val="0"/>
                <w:sz w:val="21"/>
                <w:szCs w:val="21"/>
                <w:u w:val="none" w:color="auto"/>
              </w:rPr>
              <w:t>施工</w:t>
            </w:r>
            <w:r>
              <w:rPr>
                <w:rFonts w:hint="default" w:ascii="Times New Roman" w:hAnsi="Times New Roman" w:eastAsia="宋体" w:cs="Times New Roman"/>
                <w:color w:val="auto"/>
                <w:spacing w:val="0"/>
                <w:w w:val="100"/>
                <w:position w:val="0"/>
                <w:sz w:val="21"/>
                <w:szCs w:val="21"/>
                <w:u w:val="none" w:color="auto"/>
                <w:lang w:eastAsia="zh-CN"/>
              </w:rPr>
              <w:t>场地</w:t>
            </w:r>
            <w:r>
              <w:rPr>
                <w:rFonts w:hint="default" w:ascii="Times New Roman" w:hAnsi="Times New Roman" w:eastAsia="宋体" w:cs="Times New Roman"/>
                <w:color w:val="auto"/>
                <w:spacing w:val="0"/>
                <w:w w:val="100"/>
                <w:position w:val="0"/>
                <w:sz w:val="21"/>
                <w:szCs w:val="21"/>
                <w:u w:val="none" w:color="auto"/>
              </w:rPr>
              <w:t>周边</w:t>
            </w:r>
            <w:r>
              <w:rPr>
                <w:rFonts w:hint="default" w:ascii="Times New Roman" w:hAnsi="Times New Roman" w:eastAsia="Times New Roman" w:cs="Times New Roman"/>
                <w:color w:val="auto"/>
                <w:spacing w:val="0"/>
                <w:w w:val="100"/>
                <w:position w:val="0"/>
                <w:sz w:val="21"/>
                <w:szCs w:val="21"/>
                <w:u w:val="none" w:color="auto"/>
              </w:rPr>
              <w:t>200m</w:t>
            </w:r>
            <w:r>
              <w:rPr>
                <w:rFonts w:hint="default" w:ascii="Times New Roman" w:hAnsi="Times New Roman" w:eastAsia="宋体" w:cs="Times New Roman"/>
                <w:color w:val="auto"/>
                <w:spacing w:val="0"/>
                <w:w w:val="100"/>
                <w:position w:val="0"/>
                <w:sz w:val="21"/>
                <w:szCs w:val="21"/>
                <w:u w:val="none" w:color="auto"/>
              </w:rPr>
              <w:t>范围区域进行</w:t>
            </w:r>
            <w:r>
              <w:rPr>
                <w:rFonts w:hint="default" w:ascii="Times New Roman" w:hAnsi="Times New Roman" w:eastAsia="宋体" w:cs="Times New Roman"/>
                <w:color w:val="auto"/>
                <w:spacing w:val="0"/>
                <w:w w:val="100"/>
                <w:position w:val="0"/>
                <w:sz w:val="21"/>
                <w:szCs w:val="21"/>
                <w:u w:val="none" w:color="auto"/>
                <w:lang w:eastAsia="zh-CN"/>
              </w:rPr>
              <w:t>评价</w:t>
            </w:r>
          </w:p>
        </w:tc>
      </w:tr>
      <w:tr w14:paraId="56082AF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4" w:type="dxa"/>
            <w:tcBorders>
              <w:tl2br w:val="nil"/>
              <w:tr2bl w:val="nil"/>
            </w:tcBorders>
            <w:noWrap w:val="0"/>
            <w:vAlign w:val="center"/>
          </w:tcPr>
          <w:p w14:paraId="515518E1">
            <w:pPr>
              <w:keepNext w:val="0"/>
              <w:keepLines w:val="0"/>
              <w:pageBreakBefore w:val="0"/>
              <w:widowControl w:val="0"/>
              <w:kinsoku/>
              <w:wordWrap/>
              <w:overflowPunct/>
              <w:topLinePunct w:val="0"/>
              <w:autoSpaceDE/>
              <w:autoSpaceDN/>
              <w:bidi w:val="0"/>
              <w:adjustRightInd/>
              <w:snapToGrid/>
              <w:spacing w:line="22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地表水环境</w:t>
            </w:r>
          </w:p>
        </w:tc>
        <w:tc>
          <w:tcPr>
            <w:tcW w:w="1043" w:type="dxa"/>
            <w:tcBorders>
              <w:tl2br w:val="nil"/>
              <w:tr2bl w:val="nil"/>
            </w:tcBorders>
            <w:noWrap w:val="0"/>
            <w:vAlign w:val="center"/>
          </w:tcPr>
          <w:p w14:paraId="4FEB1BA9">
            <w:pPr>
              <w:keepNext w:val="0"/>
              <w:keepLines w:val="0"/>
              <w:pageBreakBefore w:val="0"/>
              <w:widowControl w:val="0"/>
              <w:kinsoku/>
              <w:wordWrap/>
              <w:overflowPunct/>
              <w:topLinePunct w:val="0"/>
              <w:autoSpaceDE/>
              <w:autoSpaceDN/>
              <w:bidi w:val="0"/>
              <w:adjustRightInd/>
              <w:snapToGrid/>
              <w:spacing w:line="222"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二级</w:t>
            </w:r>
          </w:p>
        </w:tc>
        <w:tc>
          <w:tcPr>
            <w:tcW w:w="6153" w:type="dxa"/>
            <w:tcBorders>
              <w:tl2br w:val="nil"/>
              <w:tr2bl w:val="nil"/>
            </w:tcBorders>
            <w:noWrap w:val="0"/>
            <w:vAlign w:val="center"/>
          </w:tcPr>
          <w:p w14:paraId="5A0A13F4">
            <w:pPr>
              <w:keepNext w:val="0"/>
              <w:keepLines w:val="0"/>
              <w:pageBreakBefore w:val="0"/>
              <w:widowControl w:val="0"/>
              <w:kinsoku/>
              <w:wordWrap/>
              <w:overflowPunct/>
              <w:topLinePunct w:val="0"/>
              <w:autoSpaceDE/>
              <w:autoSpaceDN/>
              <w:bidi w:val="0"/>
              <w:adjustRightInd/>
              <w:snapToGrid/>
              <w:spacing w:line="218"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lang w:eastAsia="zh-CN"/>
              </w:rPr>
              <w:t>东山水库</w:t>
            </w:r>
            <w:r>
              <w:rPr>
                <w:rFonts w:hint="default" w:ascii="Times New Roman" w:hAnsi="Times New Roman" w:eastAsia="宋体" w:cs="Times New Roman"/>
                <w:color w:val="auto"/>
                <w:spacing w:val="0"/>
                <w:w w:val="100"/>
                <w:position w:val="0"/>
                <w:sz w:val="21"/>
                <w:szCs w:val="21"/>
                <w:u w:val="none" w:color="auto"/>
              </w:rPr>
              <w:t>库区</w:t>
            </w:r>
          </w:p>
        </w:tc>
      </w:tr>
      <w:tr w14:paraId="6435F1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4" w:type="dxa"/>
            <w:tcBorders>
              <w:tl2br w:val="nil"/>
              <w:tr2bl w:val="nil"/>
            </w:tcBorders>
            <w:noWrap w:val="0"/>
            <w:vAlign w:val="center"/>
          </w:tcPr>
          <w:p w14:paraId="52B66FD1">
            <w:pPr>
              <w:keepNext w:val="0"/>
              <w:keepLines w:val="0"/>
              <w:pageBreakBefore w:val="0"/>
              <w:widowControl w:val="0"/>
              <w:kinsoku/>
              <w:wordWrap/>
              <w:overflowPunct/>
              <w:topLinePunct w:val="0"/>
              <w:autoSpaceDE/>
              <w:autoSpaceDN/>
              <w:bidi w:val="0"/>
              <w:adjustRightInd/>
              <w:snapToGrid/>
              <w:spacing w:line="22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地下水环境</w:t>
            </w:r>
          </w:p>
        </w:tc>
        <w:tc>
          <w:tcPr>
            <w:tcW w:w="1043" w:type="dxa"/>
            <w:tcBorders>
              <w:tl2br w:val="nil"/>
              <w:tr2bl w:val="nil"/>
            </w:tcBorders>
            <w:noWrap w:val="0"/>
            <w:vAlign w:val="center"/>
          </w:tcPr>
          <w:p w14:paraId="4DBE03A8">
            <w:pPr>
              <w:keepNext w:val="0"/>
              <w:keepLines w:val="0"/>
              <w:pageBreakBefore w:val="0"/>
              <w:widowControl w:val="0"/>
              <w:kinsoku/>
              <w:wordWrap/>
              <w:overflowPunct/>
              <w:topLinePunct w:val="0"/>
              <w:autoSpaceDE/>
              <w:autoSpaceDN/>
              <w:bidi w:val="0"/>
              <w:adjustRightInd/>
              <w:snapToGrid/>
              <w:spacing w:line="222"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三级</w:t>
            </w:r>
          </w:p>
        </w:tc>
        <w:tc>
          <w:tcPr>
            <w:tcW w:w="6153" w:type="dxa"/>
            <w:tcBorders>
              <w:tl2br w:val="nil"/>
              <w:tr2bl w:val="nil"/>
            </w:tcBorders>
            <w:noWrap w:val="0"/>
            <w:vAlign w:val="center"/>
          </w:tcPr>
          <w:p w14:paraId="6C802F11">
            <w:pPr>
              <w:keepNext w:val="0"/>
              <w:keepLines w:val="0"/>
              <w:widowControl/>
              <w:suppressLineNumbers w:val="0"/>
              <w:jc w:val="left"/>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lang w:eastAsia="zh-CN"/>
              </w:rPr>
              <w:t>工程及库区周边1km</w:t>
            </w:r>
            <w:r>
              <w:rPr>
                <w:rFonts w:hint="default" w:ascii="Times New Roman" w:hAnsi="Times New Roman" w:eastAsia="宋体" w:cs="Times New Roman"/>
                <w:color w:val="auto"/>
                <w:spacing w:val="0"/>
                <w:w w:val="100"/>
                <w:position w:val="0"/>
                <w:sz w:val="21"/>
                <w:szCs w:val="21"/>
                <w:u w:val="none" w:color="auto"/>
                <w:lang w:val="en-US" w:eastAsia="zh-CN"/>
              </w:rPr>
              <w:t>范围</w:t>
            </w:r>
            <w:r>
              <w:rPr>
                <w:rFonts w:hint="default" w:ascii="Times New Roman" w:hAnsi="Times New Roman" w:eastAsia="宋体" w:cs="Times New Roman"/>
                <w:color w:val="000000"/>
                <w:kern w:val="0"/>
                <w:sz w:val="21"/>
                <w:szCs w:val="21"/>
                <w:lang w:val="en-US" w:eastAsia="zh-CN" w:bidi="ar"/>
              </w:rPr>
              <w:t>，面积约为</w:t>
            </w:r>
            <w:r>
              <w:rPr>
                <w:rFonts w:hint="eastAsia" w:ascii="Times New Roman" w:hAnsi="Times New Roman" w:eastAsia="宋体" w:cs="Times New Roman"/>
                <w:color w:val="000000"/>
                <w:kern w:val="0"/>
                <w:sz w:val="21"/>
                <w:szCs w:val="21"/>
                <w:lang w:val="en-US" w:eastAsia="zh-CN" w:bidi="ar"/>
              </w:rPr>
              <w:t>7.3</w:t>
            </w:r>
            <w:r>
              <w:rPr>
                <w:rFonts w:hint="default" w:ascii="Times New Roman" w:hAnsi="Times New Roman" w:eastAsia="宋体" w:cs="Times New Roman"/>
                <w:color w:val="000000"/>
                <w:kern w:val="0"/>
                <w:sz w:val="21"/>
                <w:szCs w:val="21"/>
                <w:lang w:val="en-US" w:eastAsia="zh-CN" w:bidi="ar"/>
              </w:rPr>
              <w:t>km</w:t>
            </w:r>
            <w:r>
              <w:rPr>
                <w:rFonts w:hint="default" w:ascii="Times New Roman" w:hAnsi="Times New Roman" w:eastAsia="宋体" w:cs="Times New Roman"/>
                <w:color w:val="000000"/>
                <w:kern w:val="0"/>
                <w:sz w:val="21"/>
                <w:szCs w:val="21"/>
                <w:vertAlign w:val="superscript"/>
                <w:lang w:val="en-US" w:eastAsia="zh-CN" w:bidi="ar"/>
              </w:rPr>
              <w:t>2</w:t>
            </w:r>
          </w:p>
        </w:tc>
      </w:tr>
      <w:tr w14:paraId="4C24E8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4" w:type="dxa"/>
            <w:tcBorders>
              <w:tl2br w:val="nil"/>
              <w:tr2bl w:val="nil"/>
            </w:tcBorders>
            <w:noWrap w:val="0"/>
            <w:vAlign w:val="center"/>
          </w:tcPr>
          <w:p w14:paraId="40277A3A">
            <w:pPr>
              <w:keepNext w:val="0"/>
              <w:keepLines w:val="0"/>
              <w:pageBreakBefore w:val="0"/>
              <w:widowControl w:val="0"/>
              <w:kinsoku/>
              <w:wordWrap/>
              <w:overflowPunct/>
              <w:topLinePunct w:val="0"/>
              <w:autoSpaceDE/>
              <w:autoSpaceDN/>
              <w:bidi w:val="0"/>
              <w:adjustRightInd/>
              <w:snapToGrid/>
              <w:spacing w:line="22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声环境</w:t>
            </w:r>
          </w:p>
        </w:tc>
        <w:tc>
          <w:tcPr>
            <w:tcW w:w="1043" w:type="dxa"/>
            <w:tcBorders>
              <w:tl2br w:val="nil"/>
              <w:tr2bl w:val="nil"/>
            </w:tcBorders>
            <w:noWrap w:val="0"/>
            <w:vAlign w:val="center"/>
          </w:tcPr>
          <w:p w14:paraId="3A35E9A7">
            <w:pPr>
              <w:keepNext w:val="0"/>
              <w:keepLines w:val="0"/>
              <w:pageBreakBefore w:val="0"/>
              <w:widowControl w:val="0"/>
              <w:kinsoku/>
              <w:wordWrap/>
              <w:overflowPunct/>
              <w:topLinePunct w:val="0"/>
              <w:autoSpaceDE/>
              <w:autoSpaceDN/>
              <w:bidi w:val="0"/>
              <w:adjustRightInd/>
              <w:snapToGrid/>
              <w:spacing w:line="222"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二级</w:t>
            </w:r>
          </w:p>
        </w:tc>
        <w:tc>
          <w:tcPr>
            <w:tcW w:w="6153" w:type="dxa"/>
            <w:tcBorders>
              <w:tl2br w:val="nil"/>
              <w:tr2bl w:val="nil"/>
            </w:tcBorders>
            <w:noWrap w:val="0"/>
            <w:vAlign w:val="center"/>
          </w:tcPr>
          <w:p w14:paraId="2E7263C8">
            <w:pPr>
              <w:keepNext w:val="0"/>
              <w:keepLines w:val="0"/>
              <w:pageBreakBefore w:val="0"/>
              <w:widowControl w:val="0"/>
              <w:kinsoku/>
              <w:wordWrap/>
              <w:overflowPunct/>
              <w:topLinePunct w:val="0"/>
              <w:autoSpaceDE/>
              <w:autoSpaceDN/>
              <w:bidi w:val="0"/>
              <w:adjustRightInd/>
              <w:snapToGrid/>
              <w:spacing w:line="22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施工场地周边</w:t>
            </w:r>
            <w:r>
              <w:rPr>
                <w:rFonts w:hint="default" w:ascii="Times New Roman" w:hAnsi="Times New Roman" w:eastAsia="Times New Roman" w:cs="Times New Roman"/>
                <w:color w:val="auto"/>
                <w:spacing w:val="0"/>
                <w:w w:val="100"/>
                <w:position w:val="0"/>
                <w:sz w:val="21"/>
                <w:szCs w:val="21"/>
                <w:u w:val="none" w:color="auto"/>
              </w:rPr>
              <w:t>200m</w:t>
            </w:r>
            <w:r>
              <w:rPr>
                <w:rFonts w:hint="default" w:ascii="Times New Roman" w:hAnsi="Times New Roman" w:eastAsia="宋体" w:cs="Times New Roman"/>
                <w:color w:val="auto"/>
                <w:spacing w:val="0"/>
                <w:w w:val="100"/>
                <w:position w:val="0"/>
                <w:sz w:val="21"/>
                <w:szCs w:val="21"/>
                <w:u w:val="none" w:color="auto"/>
              </w:rPr>
              <w:t>，施工道路两侧</w:t>
            </w:r>
            <w:r>
              <w:rPr>
                <w:rFonts w:hint="default" w:ascii="Times New Roman" w:hAnsi="Times New Roman" w:eastAsia="Times New Roman" w:cs="Times New Roman"/>
                <w:color w:val="auto"/>
                <w:spacing w:val="0"/>
                <w:w w:val="100"/>
                <w:position w:val="0"/>
                <w:sz w:val="21"/>
                <w:szCs w:val="21"/>
                <w:u w:val="none" w:color="auto"/>
              </w:rPr>
              <w:t>200m</w:t>
            </w:r>
            <w:r>
              <w:rPr>
                <w:rFonts w:hint="default" w:ascii="Times New Roman" w:hAnsi="Times New Roman" w:eastAsia="宋体" w:cs="Times New Roman"/>
                <w:color w:val="auto"/>
                <w:spacing w:val="0"/>
                <w:w w:val="100"/>
                <w:position w:val="0"/>
                <w:sz w:val="21"/>
                <w:szCs w:val="21"/>
                <w:u w:val="none" w:color="auto"/>
              </w:rPr>
              <w:t>范围以内的区域</w:t>
            </w:r>
          </w:p>
        </w:tc>
      </w:tr>
      <w:tr w14:paraId="528BC0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4" w:type="dxa"/>
            <w:tcBorders>
              <w:tl2br w:val="nil"/>
              <w:tr2bl w:val="nil"/>
            </w:tcBorders>
            <w:noWrap w:val="0"/>
            <w:vAlign w:val="center"/>
          </w:tcPr>
          <w:p w14:paraId="58ECDB4C">
            <w:pPr>
              <w:keepNext w:val="0"/>
              <w:keepLines w:val="0"/>
              <w:pageBreakBefore w:val="0"/>
              <w:widowControl w:val="0"/>
              <w:kinsoku/>
              <w:wordWrap/>
              <w:overflowPunct/>
              <w:topLinePunct w:val="0"/>
              <w:autoSpaceDE/>
              <w:autoSpaceDN/>
              <w:bidi w:val="0"/>
              <w:adjustRightInd/>
              <w:snapToGrid/>
              <w:spacing w:line="220" w:lineRule="auto"/>
              <w:ind w:left="0" w:leftChars="0" w:right="0" w:rightChars="0"/>
              <w:jc w:val="center"/>
              <w:textAlignment w:val="auto"/>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rPr>
              <w:t>土壤环境</w:t>
            </w:r>
          </w:p>
        </w:tc>
        <w:tc>
          <w:tcPr>
            <w:tcW w:w="1043" w:type="dxa"/>
            <w:tcBorders>
              <w:tl2br w:val="nil"/>
              <w:tr2bl w:val="nil"/>
            </w:tcBorders>
            <w:noWrap w:val="0"/>
            <w:vAlign w:val="center"/>
          </w:tcPr>
          <w:p w14:paraId="68FD7BE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eastAsia="zh-CN"/>
              </w:rPr>
              <w:t>三级</w:t>
            </w:r>
          </w:p>
        </w:tc>
        <w:tc>
          <w:tcPr>
            <w:tcW w:w="6153" w:type="dxa"/>
            <w:tcBorders>
              <w:tl2br w:val="nil"/>
              <w:tr2bl w:val="nil"/>
            </w:tcBorders>
            <w:noWrap w:val="0"/>
            <w:vAlign w:val="center"/>
          </w:tcPr>
          <w:p w14:paraId="2CFC4BF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eastAsia="zh-CN"/>
              </w:rPr>
              <w:t>施工占地及占地范围外</w:t>
            </w: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1000m范围</w:t>
            </w:r>
          </w:p>
        </w:tc>
      </w:tr>
      <w:tr w14:paraId="422A73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4" w:type="dxa"/>
            <w:tcBorders>
              <w:tl2br w:val="nil"/>
              <w:tr2bl w:val="nil"/>
            </w:tcBorders>
            <w:noWrap w:val="0"/>
            <w:vAlign w:val="center"/>
          </w:tcPr>
          <w:p w14:paraId="009A8C87">
            <w:pPr>
              <w:keepNext w:val="0"/>
              <w:keepLines w:val="0"/>
              <w:pageBreakBefore w:val="0"/>
              <w:widowControl w:val="0"/>
              <w:kinsoku/>
              <w:wordWrap/>
              <w:overflowPunct/>
              <w:topLinePunct w:val="0"/>
              <w:autoSpaceDE/>
              <w:autoSpaceDN/>
              <w:bidi w:val="0"/>
              <w:adjustRightInd/>
              <w:snapToGrid/>
              <w:spacing w:line="251" w:lineRule="auto"/>
              <w:ind w:left="0" w:right="0"/>
              <w:jc w:val="center"/>
              <w:textAlignment w:val="auto"/>
              <w:rPr>
                <w:rFonts w:hint="default" w:ascii="Times New Roman" w:hAnsi="Times New Roman" w:cs="Times New Roman"/>
                <w:color w:val="auto"/>
                <w:spacing w:val="0"/>
                <w:w w:val="100"/>
                <w:position w:val="0"/>
                <w:sz w:val="21"/>
                <w:u w:val="none" w:color="auto"/>
              </w:rPr>
            </w:pPr>
          </w:p>
          <w:p w14:paraId="19375B3C">
            <w:pPr>
              <w:keepNext w:val="0"/>
              <w:keepLines w:val="0"/>
              <w:pageBreakBefore w:val="0"/>
              <w:widowControl w:val="0"/>
              <w:kinsoku/>
              <w:wordWrap/>
              <w:overflowPunct/>
              <w:topLinePunct w:val="0"/>
              <w:autoSpaceDE/>
              <w:autoSpaceDN/>
              <w:bidi w:val="0"/>
              <w:adjustRightInd/>
              <w:snapToGrid/>
              <w:spacing w:line="222"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生态影响</w:t>
            </w:r>
          </w:p>
        </w:tc>
        <w:tc>
          <w:tcPr>
            <w:tcW w:w="1043" w:type="dxa"/>
            <w:tcBorders>
              <w:tl2br w:val="nil"/>
              <w:tr2bl w:val="nil"/>
            </w:tcBorders>
            <w:noWrap w:val="0"/>
            <w:vAlign w:val="center"/>
          </w:tcPr>
          <w:p w14:paraId="60C63910">
            <w:pPr>
              <w:keepNext w:val="0"/>
              <w:keepLines w:val="0"/>
              <w:pageBreakBefore w:val="0"/>
              <w:widowControl w:val="0"/>
              <w:kinsoku/>
              <w:wordWrap/>
              <w:overflowPunct/>
              <w:topLinePunct w:val="0"/>
              <w:autoSpaceDE/>
              <w:autoSpaceDN/>
              <w:bidi w:val="0"/>
              <w:adjustRightInd/>
              <w:snapToGrid/>
              <w:spacing w:line="251" w:lineRule="auto"/>
              <w:ind w:left="0" w:right="0"/>
              <w:jc w:val="center"/>
              <w:textAlignment w:val="auto"/>
              <w:rPr>
                <w:rFonts w:hint="default" w:ascii="Times New Roman" w:hAnsi="Times New Roman" w:cs="Times New Roman"/>
                <w:color w:val="auto"/>
                <w:spacing w:val="0"/>
                <w:w w:val="100"/>
                <w:position w:val="0"/>
                <w:sz w:val="21"/>
                <w:u w:val="none" w:color="auto"/>
              </w:rPr>
            </w:pPr>
          </w:p>
          <w:p w14:paraId="1F84379D">
            <w:pPr>
              <w:keepNext w:val="0"/>
              <w:keepLines w:val="0"/>
              <w:pageBreakBefore w:val="0"/>
              <w:widowControl w:val="0"/>
              <w:kinsoku/>
              <w:wordWrap/>
              <w:overflowPunct/>
              <w:topLinePunct w:val="0"/>
              <w:autoSpaceDE/>
              <w:autoSpaceDN/>
              <w:bidi w:val="0"/>
              <w:adjustRightInd/>
              <w:snapToGrid/>
              <w:spacing w:line="224"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lang w:eastAsia="zh-CN"/>
              </w:rPr>
              <w:t>二</w:t>
            </w:r>
            <w:r>
              <w:rPr>
                <w:rFonts w:hint="default" w:ascii="Times New Roman" w:hAnsi="Times New Roman" w:eastAsia="宋体" w:cs="Times New Roman"/>
                <w:color w:val="auto"/>
                <w:spacing w:val="0"/>
                <w:w w:val="100"/>
                <w:position w:val="0"/>
                <w:sz w:val="21"/>
                <w:szCs w:val="21"/>
                <w:u w:val="none" w:color="auto"/>
              </w:rPr>
              <w:t>级</w:t>
            </w:r>
          </w:p>
        </w:tc>
        <w:tc>
          <w:tcPr>
            <w:tcW w:w="6153" w:type="dxa"/>
            <w:tcBorders>
              <w:tl2br w:val="nil"/>
              <w:tr2bl w:val="nil"/>
            </w:tcBorders>
            <w:noWrap w:val="0"/>
            <w:vAlign w:val="center"/>
          </w:tcPr>
          <w:p w14:paraId="0F3EABA7">
            <w:pPr>
              <w:keepNext w:val="0"/>
              <w:keepLines w:val="0"/>
              <w:pageBreakBefore w:val="0"/>
              <w:widowControl w:val="0"/>
              <w:kinsoku/>
              <w:wordWrap/>
              <w:overflowPunct/>
              <w:topLinePunct w:val="0"/>
              <w:autoSpaceDE/>
              <w:autoSpaceDN/>
              <w:bidi w:val="0"/>
              <w:adjustRightInd/>
              <w:snapToGrid/>
              <w:spacing w:line="220" w:lineRule="auto"/>
              <w:ind w:left="0" w:right="0"/>
              <w:jc w:val="left"/>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lang w:eastAsia="zh-CN"/>
              </w:rPr>
              <w:t>陆生生态：</w:t>
            </w:r>
            <w:r>
              <w:rPr>
                <w:rFonts w:hint="default" w:ascii="Times New Roman" w:hAnsi="Times New Roman" w:eastAsia="宋体" w:cs="Times New Roman"/>
                <w:color w:val="auto"/>
                <w:spacing w:val="0"/>
                <w:w w:val="100"/>
                <w:position w:val="0"/>
                <w:sz w:val="21"/>
                <w:szCs w:val="21"/>
                <w:u w:val="none" w:color="auto"/>
                <w:lang w:val="en-US" w:eastAsia="zh-CN"/>
              </w:rPr>
              <w:t>考虑土壤、地下水评价范围，同时考虑森林公园的功能分区情况，取</w:t>
            </w:r>
            <w:r>
              <w:rPr>
                <w:rFonts w:hint="default" w:ascii="Times New Roman" w:hAnsi="Times New Roman" w:eastAsia="宋体" w:cs="Times New Roman"/>
                <w:color w:val="auto"/>
                <w:spacing w:val="0"/>
                <w:w w:val="100"/>
                <w:position w:val="0"/>
                <w:sz w:val="21"/>
                <w:szCs w:val="21"/>
                <w:u w:val="none" w:color="auto"/>
                <w:lang w:eastAsia="zh-CN"/>
              </w:rPr>
              <w:t>工程及库区周边1km</w:t>
            </w:r>
            <w:r>
              <w:rPr>
                <w:rFonts w:hint="default" w:ascii="Times New Roman" w:hAnsi="Times New Roman" w:eastAsia="宋体" w:cs="Times New Roman"/>
                <w:color w:val="auto"/>
                <w:spacing w:val="0"/>
                <w:w w:val="100"/>
                <w:position w:val="0"/>
                <w:sz w:val="21"/>
                <w:szCs w:val="21"/>
                <w:u w:val="none" w:color="auto"/>
                <w:lang w:val="en-US" w:eastAsia="zh-CN"/>
              </w:rPr>
              <w:t>范围，不包含白果树景区范围</w:t>
            </w:r>
            <w:r>
              <w:rPr>
                <w:rFonts w:hint="default" w:ascii="Times New Roman" w:hAnsi="Times New Roman" w:eastAsia="宋体" w:cs="Times New Roman"/>
                <w:color w:val="auto"/>
                <w:spacing w:val="0"/>
                <w:w w:val="100"/>
                <w:position w:val="0"/>
                <w:sz w:val="21"/>
                <w:szCs w:val="21"/>
                <w:u w:val="none" w:color="auto"/>
                <w:lang w:eastAsia="zh-CN"/>
              </w:rPr>
              <w:t>。</w:t>
            </w:r>
          </w:p>
          <w:p w14:paraId="02E7E9A5">
            <w:pPr>
              <w:keepNext w:val="0"/>
              <w:keepLines w:val="0"/>
              <w:pageBreakBefore w:val="0"/>
              <w:widowControl w:val="0"/>
              <w:kinsoku/>
              <w:wordWrap/>
              <w:overflowPunct/>
              <w:topLinePunct w:val="0"/>
              <w:autoSpaceDE/>
              <w:autoSpaceDN/>
              <w:bidi w:val="0"/>
              <w:adjustRightInd/>
              <w:snapToGrid/>
              <w:spacing w:line="220" w:lineRule="auto"/>
              <w:ind w:left="0" w:right="0"/>
              <w:jc w:val="left"/>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rPr>
              <w:t>水生生态：</w:t>
            </w:r>
            <w:r>
              <w:rPr>
                <w:rFonts w:hint="default" w:ascii="Times New Roman" w:hAnsi="Times New Roman" w:eastAsia="宋体" w:cs="Times New Roman"/>
                <w:color w:val="auto"/>
                <w:spacing w:val="0"/>
                <w:w w:val="100"/>
                <w:position w:val="0"/>
                <w:sz w:val="21"/>
                <w:szCs w:val="21"/>
                <w:u w:val="none" w:color="auto"/>
                <w:lang w:eastAsia="zh-CN"/>
              </w:rPr>
              <w:t>东山水库库区</w:t>
            </w:r>
            <w:r>
              <w:rPr>
                <w:rFonts w:hint="default" w:ascii="Times New Roman" w:hAnsi="Times New Roman" w:eastAsia="宋体" w:cs="Times New Roman"/>
                <w:color w:val="auto"/>
                <w:spacing w:val="0"/>
                <w:w w:val="100"/>
                <w:position w:val="0"/>
                <w:sz w:val="21"/>
                <w:szCs w:val="21"/>
                <w:u w:val="none" w:color="auto"/>
                <w:lang w:val="en-US" w:eastAsia="zh-CN"/>
              </w:rPr>
              <w:t>水域</w:t>
            </w:r>
          </w:p>
        </w:tc>
      </w:tr>
      <w:tr w14:paraId="3B38097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254" w:type="dxa"/>
            <w:tcBorders>
              <w:tl2br w:val="nil"/>
              <w:tr2bl w:val="nil"/>
            </w:tcBorders>
            <w:noWrap w:val="0"/>
            <w:vAlign w:val="center"/>
          </w:tcPr>
          <w:p w14:paraId="36F08AD6">
            <w:pPr>
              <w:keepNext w:val="0"/>
              <w:keepLines w:val="0"/>
              <w:pageBreakBefore w:val="0"/>
              <w:widowControl w:val="0"/>
              <w:kinsoku/>
              <w:wordWrap/>
              <w:overflowPunct/>
              <w:topLinePunct w:val="0"/>
              <w:autoSpaceDE/>
              <w:autoSpaceDN/>
              <w:bidi w:val="0"/>
              <w:adjustRightInd/>
              <w:snapToGrid/>
              <w:spacing w:line="22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环境风险</w:t>
            </w:r>
          </w:p>
        </w:tc>
        <w:tc>
          <w:tcPr>
            <w:tcW w:w="1043" w:type="dxa"/>
            <w:tcBorders>
              <w:tl2br w:val="nil"/>
              <w:tr2bl w:val="nil"/>
            </w:tcBorders>
            <w:noWrap w:val="0"/>
            <w:vAlign w:val="center"/>
          </w:tcPr>
          <w:p w14:paraId="06BE7EEA">
            <w:pPr>
              <w:keepNext w:val="0"/>
              <w:keepLines w:val="0"/>
              <w:pageBreakBefore w:val="0"/>
              <w:widowControl w:val="0"/>
              <w:kinsoku/>
              <w:wordWrap/>
              <w:overflowPunct/>
              <w:topLinePunct w:val="0"/>
              <w:autoSpaceDE/>
              <w:autoSpaceDN/>
              <w:bidi w:val="0"/>
              <w:adjustRightInd/>
              <w:snapToGrid/>
              <w:spacing w:line="219"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简单分析</w:t>
            </w:r>
          </w:p>
        </w:tc>
        <w:tc>
          <w:tcPr>
            <w:tcW w:w="6153" w:type="dxa"/>
            <w:tcBorders>
              <w:tl2br w:val="nil"/>
              <w:tr2bl w:val="nil"/>
            </w:tcBorders>
            <w:noWrap w:val="0"/>
            <w:vAlign w:val="center"/>
          </w:tcPr>
          <w:p w14:paraId="159F827F">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rPr>
              <w:t>不设置评价范围</w:t>
            </w: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eastAsia="zh-CN"/>
              </w:rPr>
              <w:t>，定性分析</w:t>
            </w:r>
          </w:p>
        </w:tc>
      </w:tr>
    </w:tbl>
    <w:p w14:paraId="0367A0EF">
      <w:pPr>
        <w:pStyle w:val="3"/>
        <w:bidi w:val="0"/>
        <w:rPr>
          <w:rFonts w:hint="default" w:ascii="Times New Roman" w:hAnsi="Times New Roman" w:cs="Times New Roman"/>
        </w:rPr>
      </w:pPr>
      <w:bookmarkStart w:id="84" w:name="_Toc6319"/>
      <w:r>
        <w:rPr>
          <w:rFonts w:hint="default" w:ascii="Times New Roman" w:hAnsi="Times New Roman" w:cs="Times New Roman"/>
        </w:rPr>
        <w:t>评价时段</w:t>
      </w:r>
      <w:bookmarkEnd w:id="74"/>
      <w:bookmarkEnd w:id="75"/>
      <w:bookmarkEnd w:id="76"/>
      <w:bookmarkEnd w:id="77"/>
      <w:bookmarkEnd w:id="84"/>
    </w:p>
    <w:p w14:paraId="226D8679">
      <w:pPr>
        <w:keepNext w:val="0"/>
        <w:keepLines w:val="0"/>
        <w:pageBreakBefore w:val="0"/>
        <w:widowControl w:val="0"/>
        <w:kinsoku w:val="0"/>
        <w:wordWrap w:val="0"/>
        <w:overflowPunct/>
        <w:topLinePunct/>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评价时段包括项目的施工期和营运期。</w:t>
      </w:r>
    </w:p>
    <w:p w14:paraId="560AF118">
      <w:pPr>
        <w:pStyle w:val="3"/>
        <w:bidi w:val="0"/>
        <w:rPr>
          <w:rFonts w:hint="default" w:ascii="Times New Roman" w:hAnsi="Times New Roman" w:cs="Times New Roman"/>
        </w:rPr>
      </w:pPr>
      <w:bookmarkStart w:id="85" w:name="_Toc72569628"/>
      <w:bookmarkStart w:id="86" w:name="_Toc15319399"/>
      <w:bookmarkStart w:id="87" w:name="_Toc6369"/>
      <w:bookmarkStart w:id="88" w:name="_Toc5981502"/>
      <w:r>
        <w:rPr>
          <w:rFonts w:hint="default" w:ascii="Times New Roman" w:hAnsi="Times New Roman" w:cs="Times New Roman"/>
        </w:rPr>
        <w:t>环境敏感区域和保护目标</w:t>
      </w:r>
      <w:bookmarkEnd w:id="85"/>
      <w:bookmarkEnd w:id="86"/>
      <w:bookmarkEnd w:id="87"/>
      <w:bookmarkEnd w:id="88"/>
    </w:p>
    <w:p w14:paraId="2E00F8CB">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val="en-US" w:eastAsia="zh-CN"/>
        </w:rPr>
        <w:t>(1)</w:t>
      </w:r>
      <w:r>
        <w:rPr>
          <w:rFonts w:hint="default" w:ascii="Times New Roman" w:hAnsi="Times New Roman" w:eastAsia="宋体" w:cs="Times New Roman"/>
          <w:color w:val="auto"/>
          <w:spacing w:val="0"/>
          <w:w w:val="100"/>
          <w:position w:val="0"/>
          <w:sz w:val="24"/>
          <w:szCs w:val="24"/>
          <w:u w:val="none" w:color="auto"/>
        </w:rPr>
        <w:t>地表水环境保护目标</w:t>
      </w:r>
    </w:p>
    <w:p w14:paraId="56BA075C">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保护对象：</w:t>
      </w:r>
      <w:r>
        <w:rPr>
          <w:rFonts w:hint="default" w:ascii="Times New Roman" w:hAnsi="Times New Roman" w:eastAsia="宋体" w:cs="Times New Roman"/>
          <w:color w:val="auto"/>
          <w:spacing w:val="0"/>
          <w:w w:val="100"/>
          <w:position w:val="0"/>
          <w:sz w:val="24"/>
          <w:szCs w:val="24"/>
          <w:u w:val="none" w:color="auto"/>
          <w:lang w:eastAsia="zh-CN"/>
        </w:rPr>
        <w:t>东山水库</w:t>
      </w:r>
      <w:r>
        <w:rPr>
          <w:rFonts w:hint="default" w:ascii="Times New Roman" w:hAnsi="Times New Roman" w:eastAsia="宋体" w:cs="Times New Roman"/>
          <w:color w:val="auto"/>
          <w:spacing w:val="0"/>
          <w:w w:val="100"/>
          <w:position w:val="0"/>
          <w:sz w:val="24"/>
          <w:szCs w:val="24"/>
          <w:u w:val="none" w:color="auto"/>
        </w:rPr>
        <w:t>饮用水水源保护区</w:t>
      </w:r>
    </w:p>
    <w:p w14:paraId="57564660">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rPr>
        <w:t>保护要求：加强施工期和运行期各类污废水的处理，污废水经处理后回用，禁止排放。</w:t>
      </w:r>
      <w:r>
        <w:rPr>
          <w:rFonts w:hint="default" w:ascii="Times New Roman" w:hAnsi="Times New Roman" w:eastAsia="宋体" w:cs="Times New Roman"/>
          <w:color w:val="auto"/>
          <w:spacing w:val="0"/>
          <w:w w:val="100"/>
          <w:position w:val="0"/>
          <w:sz w:val="24"/>
          <w:szCs w:val="24"/>
          <w:u w:val="none" w:color="auto"/>
          <w:lang w:eastAsia="zh-CN"/>
        </w:rPr>
        <w:t>东山水库</w:t>
      </w:r>
      <w:r>
        <w:rPr>
          <w:rFonts w:hint="default" w:ascii="Times New Roman" w:hAnsi="Times New Roman" w:eastAsia="宋体" w:cs="Times New Roman"/>
          <w:color w:val="auto"/>
          <w:spacing w:val="0"/>
          <w:w w:val="100"/>
          <w:position w:val="0"/>
          <w:sz w:val="24"/>
          <w:szCs w:val="24"/>
          <w:u w:val="none" w:color="auto"/>
        </w:rPr>
        <w:t>饮用水水源保护区水质满足《地表水环境质量标准》(</w:t>
      </w:r>
      <w:r>
        <w:rPr>
          <w:rFonts w:hint="default" w:ascii="Times New Roman" w:hAnsi="Times New Roman" w:eastAsia="Times New Roman" w:cs="Times New Roman"/>
          <w:color w:val="auto"/>
          <w:spacing w:val="0"/>
          <w:w w:val="100"/>
          <w:position w:val="0"/>
          <w:sz w:val="24"/>
          <w:szCs w:val="24"/>
          <w:u w:val="none" w:color="auto"/>
        </w:rPr>
        <w:t>GB3838-2002</w:t>
      </w: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Times New Roman" w:cs="Times New Roman"/>
          <w:color w:val="auto"/>
          <w:spacing w:val="0"/>
          <w:w w:val="100"/>
          <w:position w:val="0"/>
          <w:sz w:val="24"/>
          <w:szCs w:val="24"/>
          <w:u w:val="none" w:color="auto"/>
        </w:rPr>
        <w:t>II</w:t>
      </w:r>
      <w:r>
        <w:rPr>
          <w:rFonts w:hint="default" w:ascii="Times New Roman" w:hAnsi="Times New Roman" w:eastAsia="宋体" w:cs="Times New Roman"/>
          <w:color w:val="auto"/>
          <w:spacing w:val="0"/>
          <w:w w:val="100"/>
          <w:position w:val="0"/>
          <w:sz w:val="24"/>
          <w:szCs w:val="24"/>
          <w:u w:val="none" w:color="auto"/>
        </w:rPr>
        <w:t>类、</w:t>
      </w:r>
      <w:r>
        <w:rPr>
          <w:rFonts w:hint="default" w:ascii="Times New Roman" w:hAnsi="Times New Roman" w:eastAsia="Times New Roman" w:cs="Times New Roman"/>
          <w:color w:val="auto"/>
          <w:spacing w:val="0"/>
          <w:w w:val="100"/>
          <w:position w:val="0"/>
          <w:sz w:val="24"/>
          <w:szCs w:val="24"/>
          <w:u w:val="none" w:color="auto"/>
        </w:rPr>
        <w:t>III</w:t>
      </w:r>
      <w:r>
        <w:rPr>
          <w:rFonts w:hint="default" w:ascii="Times New Roman" w:hAnsi="Times New Roman" w:eastAsia="宋体" w:cs="Times New Roman"/>
          <w:color w:val="auto"/>
          <w:spacing w:val="0"/>
          <w:w w:val="100"/>
          <w:position w:val="0"/>
          <w:sz w:val="24"/>
          <w:szCs w:val="24"/>
          <w:u w:val="none" w:color="auto"/>
          <w:lang w:val="en-US" w:eastAsia="zh-CN"/>
        </w:rPr>
        <w:t>类水质要求。</w:t>
      </w:r>
    </w:p>
    <w:p w14:paraId="3B709009">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(2)地下水环境保护目标</w:t>
      </w:r>
    </w:p>
    <w:p w14:paraId="14290E10">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val="en-US" w:eastAsia="zh-CN"/>
        </w:rPr>
        <w:t>保护对象：评价区地下</w:t>
      </w:r>
      <w:r>
        <w:rPr>
          <w:rFonts w:hint="default" w:ascii="Times New Roman" w:hAnsi="Times New Roman" w:eastAsia="宋体" w:cs="Times New Roman"/>
          <w:color w:val="auto"/>
          <w:spacing w:val="0"/>
          <w:w w:val="100"/>
          <w:position w:val="0"/>
          <w:sz w:val="24"/>
          <w:szCs w:val="24"/>
          <w:u w:val="none" w:color="auto"/>
        </w:rPr>
        <w:t>水水质</w:t>
      </w:r>
    </w:p>
    <w:p w14:paraId="319917DC">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rPr>
        <w:t>保护要求：</w:t>
      </w:r>
      <w:r>
        <w:rPr>
          <w:rFonts w:hint="default" w:ascii="Times New Roman" w:hAnsi="Times New Roman" w:eastAsia="宋体" w:cs="Times New Roman"/>
          <w:color w:val="auto"/>
          <w:spacing w:val="0"/>
          <w:w w:val="100"/>
          <w:position w:val="0"/>
          <w:sz w:val="24"/>
          <w:szCs w:val="24"/>
          <w:u w:val="none" w:color="auto"/>
          <w:lang w:val="en-US" w:eastAsia="zh-CN"/>
        </w:rPr>
        <w:t>减缓工程建设及运营对地下水水质的影响，不因工程建设和运行引起区域地下水位显著变化，不降低地下水环境水质类别，地下水水质满足《地下水质量标准》（GB/T14848-2017）Ⅲ类标准。</w:t>
      </w:r>
    </w:p>
    <w:p w14:paraId="716916CC">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(3)生态环境保护目标</w:t>
      </w:r>
    </w:p>
    <w:p w14:paraId="1D5B87F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保护对象：陆生生态</w:t>
      </w:r>
      <w:r>
        <w:rPr>
          <w:rFonts w:hint="default" w:ascii="Times New Roman" w:hAnsi="Times New Roman" w:eastAsia="宋体" w:cs="Times New Roman"/>
          <w:color w:val="auto"/>
          <w:spacing w:val="0"/>
          <w:w w:val="100"/>
          <w:position w:val="0"/>
          <w:sz w:val="24"/>
          <w:szCs w:val="24"/>
          <w:u w:val="none" w:color="auto"/>
        </w:rPr>
        <w:t>为评价范围内的陆生生态系统，包括永久和临时占地范围内的</w:t>
      </w:r>
      <w:r>
        <w:rPr>
          <w:rFonts w:hint="default" w:ascii="Times New Roman" w:hAnsi="Times New Roman" w:eastAsia="宋体" w:cs="Times New Roman"/>
          <w:color w:val="auto"/>
          <w:spacing w:val="0"/>
          <w:w w:val="100"/>
          <w:position w:val="0"/>
          <w:sz w:val="24"/>
          <w:szCs w:val="24"/>
          <w:u w:val="none" w:color="auto"/>
          <w:lang w:eastAsia="zh-CN"/>
        </w:rPr>
        <w:t>重点保护野生</w:t>
      </w:r>
      <w:r>
        <w:rPr>
          <w:rFonts w:hint="default" w:ascii="Times New Roman" w:hAnsi="Times New Roman" w:eastAsia="宋体" w:cs="Times New Roman"/>
          <w:color w:val="auto"/>
          <w:spacing w:val="0"/>
          <w:w w:val="100"/>
          <w:position w:val="0"/>
          <w:sz w:val="24"/>
          <w:szCs w:val="24"/>
          <w:u w:val="none" w:color="auto"/>
        </w:rPr>
        <w:t>动植物；水生生态主要为评价范围内的水生生态系统，重点为鱼类。</w:t>
      </w:r>
      <w:r>
        <w:rPr>
          <w:rFonts w:hint="default" w:ascii="Times New Roman" w:hAnsi="Times New Roman" w:eastAsia="宋体" w:cs="Times New Roman"/>
          <w:color w:val="auto"/>
          <w:spacing w:val="0"/>
          <w:w w:val="100"/>
          <w:position w:val="0"/>
          <w:sz w:val="24"/>
          <w:szCs w:val="24"/>
          <w:u w:val="none" w:color="auto"/>
          <w:lang w:eastAsia="zh-CN"/>
        </w:rPr>
        <w:t>生态敏感区桃花山省级森林公园内生态系统及生物多样性。</w:t>
      </w:r>
    </w:p>
    <w:p w14:paraId="56B911F1">
      <w:pPr>
        <w:keepNext w:val="0"/>
        <w:keepLines w:val="0"/>
        <w:pageBreakBefore w:val="0"/>
        <w:widowControl w:val="0"/>
        <w:kinsoku/>
        <w:wordWrap/>
        <w:overflowPunct/>
        <w:topLinePunct w:val="0"/>
        <w:autoSpaceDE/>
        <w:autoSpaceDN/>
        <w:bidi w:val="0"/>
        <w:adjustRightInd/>
        <w:snapToGrid/>
        <w:spacing w:line="360" w:lineRule="auto"/>
        <w:ind w:left="0" w:right="0" w:firstLine="481"/>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保护要求：保护工程所在区域陆生生态系统的完整性，加强施工期管理，避免扰动施工管理区范围外的动植物，尽量避免伤及野生动物。施工期加强对鱼虾类的保护，运行期合理开发和利用水资源。采取有效、可行的工程措施和植物措施，减少工程建设中新增水土流失量，施工结束后，对各类临时施工场地实施植被恢复。</w:t>
      </w:r>
    </w:p>
    <w:p w14:paraId="1B2F066B">
      <w:pPr>
        <w:spacing w:before="3" w:line="363" w:lineRule="auto"/>
        <w:ind w:left="10" w:right="1" w:firstLine="480"/>
        <w:rPr>
          <w:rFonts w:hint="default" w:ascii="Times New Roman" w:hAnsi="Times New Roman" w:eastAsia="Times New Roman" w:cs="Times New Roman"/>
          <w:color w:val="auto"/>
          <w:spacing w:val="0"/>
          <w:w w:val="100"/>
          <w:position w:val="0"/>
          <w:sz w:val="24"/>
          <w:szCs w:val="24"/>
          <w:u w:val="none" w:color="auto"/>
        </w:rPr>
      </w:pPr>
      <w:r>
        <w:rPr>
          <w:rFonts w:hint="default" w:ascii="Times New Roman" w:hAnsi="Times New Roman" w:eastAsia="Times New Roman" w:cs="Times New Roman"/>
          <w:color w:val="auto"/>
          <w:spacing w:val="0"/>
          <w:w w:val="100"/>
          <w:position w:val="0"/>
          <w:sz w:val="24"/>
          <w:szCs w:val="24"/>
          <w:u w:val="none" w:color="auto"/>
          <w:lang w:val="en-US" w:eastAsia="zh-CN"/>
        </w:rPr>
        <w:t>(4)</w:t>
      </w:r>
      <w:r>
        <w:rPr>
          <w:rFonts w:hint="default" w:ascii="Times New Roman" w:hAnsi="Times New Roman" w:eastAsia="Times New Roman" w:cs="Times New Roman"/>
          <w:color w:val="auto"/>
          <w:spacing w:val="0"/>
          <w:w w:val="100"/>
          <w:position w:val="0"/>
          <w:sz w:val="24"/>
          <w:szCs w:val="24"/>
          <w:u w:val="none" w:color="auto"/>
        </w:rPr>
        <w:t>大气、声环境保护目标</w:t>
      </w:r>
    </w:p>
    <w:p w14:paraId="62203A75">
      <w:pPr>
        <w:spacing w:before="3" w:line="363" w:lineRule="auto"/>
        <w:ind w:left="10" w:right="1" w:firstLine="480"/>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保护对象：</w:t>
      </w:r>
      <w:r>
        <w:rPr>
          <w:rFonts w:hint="default" w:ascii="Times New Roman" w:hAnsi="Times New Roman" w:eastAsia="宋体" w:cs="Times New Roman"/>
          <w:color w:val="auto"/>
          <w:spacing w:val="0"/>
          <w:w w:val="100"/>
          <w:position w:val="0"/>
          <w:sz w:val="24"/>
          <w:szCs w:val="24"/>
          <w:u w:val="none" w:color="auto"/>
          <w:lang w:eastAsia="zh-CN"/>
        </w:rPr>
        <w:t>施工场地</w:t>
      </w:r>
      <w:r>
        <w:rPr>
          <w:rFonts w:hint="default" w:ascii="Times New Roman" w:hAnsi="Times New Roman" w:eastAsia="宋体" w:cs="Times New Roman"/>
          <w:color w:val="auto"/>
          <w:spacing w:val="0"/>
          <w:w w:val="100"/>
          <w:position w:val="0"/>
          <w:sz w:val="24"/>
          <w:szCs w:val="24"/>
          <w:u w:val="none" w:color="auto"/>
        </w:rPr>
        <w:t>及场内施工道路两侧、运输路线两侧评价范围内的</w:t>
      </w:r>
      <w:r>
        <w:rPr>
          <w:rFonts w:hint="default" w:ascii="Times New Roman" w:hAnsi="Times New Roman" w:eastAsia="宋体" w:cs="Times New Roman"/>
          <w:color w:val="auto"/>
          <w:spacing w:val="0"/>
          <w:w w:val="100"/>
          <w:position w:val="0"/>
          <w:sz w:val="24"/>
          <w:szCs w:val="24"/>
          <w:u w:val="none" w:color="auto"/>
          <w:lang w:val="en-US" w:eastAsia="zh-CN"/>
        </w:rPr>
        <w:t>村庄、学校、医院、科研机构等</w:t>
      </w:r>
      <w:r>
        <w:rPr>
          <w:rFonts w:hint="default" w:ascii="Times New Roman" w:hAnsi="Times New Roman" w:eastAsia="宋体" w:cs="Times New Roman"/>
          <w:color w:val="auto"/>
          <w:spacing w:val="0"/>
          <w:w w:val="100"/>
          <w:position w:val="0"/>
          <w:sz w:val="24"/>
          <w:szCs w:val="24"/>
          <w:u w:val="none" w:color="auto"/>
        </w:rPr>
        <w:t>。</w:t>
      </w:r>
    </w:p>
    <w:p w14:paraId="131E9E30">
      <w:pPr>
        <w:spacing w:before="3" w:line="363" w:lineRule="auto"/>
        <w:ind w:left="10" w:right="1" w:firstLine="480"/>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保护要求：加强施工管理和污染控制，环境空气符合《环境空气质量标准》(</w:t>
      </w:r>
      <w:r>
        <w:rPr>
          <w:rFonts w:hint="default" w:ascii="Times New Roman" w:hAnsi="Times New Roman" w:eastAsia="Times New Roman" w:cs="Times New Roman"/>
          <w:color w:val="auto"/>
          <w:spacing w:val="0"/>
          <w:w w:val="100"/>
          <w:position w:val="0"/>
          <w:sz w:val="24"/>
          <w:szCs w:val="24"/>
          <w:u w:val="none" w:color="auto"/>
        </w:rPr>
        <w:t>GB3095-2012</w:t>
      </w:r>
      <w:r>
        <w:rPr>
          <w:rFonts w:hint="default" w:ascii="Times New Roman" w:hAnsi="Times New Roman" w:eastAsia="宋体" w:cs="Times New Roman"/>
          <w:color w:val="auto"/>
          <w:spacing w:val="0"/>
          <w:w w:val="100"/>
          <w:position w:val="0"/>
          <w:sz w:val="24"/>
          <w:szCs w:val="24"/>
          <w:u w:val="none" w:color="auto"/>
        </w:rPr>
        <w:t>)及其修改单二级标准，声环境</w:t>
      </w:r>
      <w:r>
        <w:rPr>
          <w:rFonts w:hint="default" w:ascii="Times New Roman" w:hAnsi="Times New Roman" w:eastAsia="宋体" w:cs="Times New Roman"/>
          <w:color w:val="auto"/>
          <w:spacing w:val="0"/>
          <w:w w:val="100"/>
          <w:position w:val="0"/>
          <w:sz w:val="24"/>
          <w:szCs w:val="24"/>
          <w:u w:val="none" w:color="auto"/>
          <w:lang w:eastAsia="zh-CN"/>
        </w:rPr>
        <w:t>满足</w:t>
      </w:r>
      <w:r>
        <w:rPr>
          <w:rFonts w:hint="default" w:ascii="Times New Roman" w:hAnsi="Times New Roman" w:eastAsia="宋体" w:cs="Times New Roman"/>
          <w:color w:val="auto"/>
          <w:spacing w:val="0"/>
          <w:w w:val="100"/>
          <w:position w:val="0"/>
          <w:sz w:val="24"/>
          <w:szCs w:val="24"/>
          <w:u w:val="none" w:color="auto"/>
        </w:rPr>
        <w:t>《声环境质量标准》(</w:t>
      </w:r>
      <w:r>
        <w:rPr>
          <w:rFonts w:hint="default" w:ascii="Times New Roman" w:hAnsi="Times New Roman" w:eastAsia="Times New Roman" w:cs="Times New Roman"/>
          <w:color w:val="auto"/>
          <w:spacing w:val="0"/>
          <w:w w:val="100"/>
          <w:position w:val="0"/>
          <w:sz w:val="24"/>
          <w:szCs w:val="24"/>
          <w:u w:val="none" w:color="auto"/>
        </w:rPr>
        <w:t>GB3096-2008</w:t>
      </w: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Times New Roman" w:cs="Times New Roman"/>
          <w:color w:val="auto"/>
          <w:spacing w:val="0"/>
          <w:w w:val="100"/>
          <w:position w:val="0"/>
          <w:sz w:val="24"/>
          <w:szCs w:val="24"/>
          <w:u w:val="none" w:color="auto"/>
        </w:rPr>
        <w:t>1</w:t>
      </w:r>
      <w:r>
        <w:rPr>
          <w:rFonts w:hint="default" w:ascii="Times New Roman" w:hAnsi="Times New Roman" w:eastAsia="宋体" w:cs="Times New Roman"/>
          <w:color w:val="auto"/>
          <w:spacing w:val="0"/>
          <w:w w:val="100"/>
          <w:position w:val="0"/>
          <w:sz w:val="24"/>
          <w:szCs w:val="24"/>
          <w:u w:val="none" w:color="auto"/>
        </w:rPr>
        <w:t>类功能区标准。</w:t>
      </w:r>
    </w:p>
    <w:p w14:paraId="5562460E">
      <w:pPr>
        <w:spacing w:line="360" w:lineRule="auto"/>
        <w:ind w:firstLine="2650" w:firstLineChars="1100"/>
        <w:rPr>
          <w:rFonts w:hint="default" w:ascii="Times New Roman" w:hAnsi="Times New Roman" w:eastAsia="宋体" w:cs="Times New Roman"/>
          <w:b/>
          <w:bCs/>
          <w:color w:val="auto"/>
          <w:spacing w:val="0"/>
          <w:w w:val="100"/>
          <w:position w:val="0"/>
          <w:sz w:val="24"/>
          <w:szCs w:val="24"/>
          <w:u w:val="none" w:color="auto"/>
          <w:lang w:val="en-US" w:eastAsia="zh-CN"/>
        </w:rPr>
      </w:pPr>
      <w:r>
        <w:rPr>
          <w:rFonts w:hint="default" w:ascii="Times New Roman" w:hAnsi="Times New Roman" w:eastAsia="宋体" w:cs="Times New Roman"/>
          <w:b/>
          <w:bCs/>
          <w:color w:val="auto"/>
          <w:spacing w:val="0"/>
          <w:w w:val="100"/>
          <w:position w:val="0"/>
          <w:sz w:val="24"/>
          <w:szCs w:val="24"/>
          <w:u w:val="none" w:color="auto"/>
          <w:lang w:val="en-US" w:eastAsia="zh-CN"/>
        </w:rPr>
        <w:t>表1.8-1  主要环境保护目标一览表</w:t>
      </w:r>
    </w:p>
    <w:tbl>
      <w:tblPr>
        <w:tblStyle w:val="95"/>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252"/>
        <w:gridCol w:w="1774"/>
        <w:gridCol w:w="2953"/>
        <w:gridCol w:w="2351"/>
      </w:tblGrid>
      <w:tr w14:paraId="6219CA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52" w:type="dxa"/>
            <w:tcBorders>
              <w:tl2br w:val="nil"/>
              <w:tr2bl w:val="nil"/>
            </w:tcBorders>
            <w:noWrap w:val="0"/>
            <w:vAlign w:val="center"/>
          </w:tcPr>
          <w:p w14:paraId="59F78F6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环境类别</w:t>
            </w:r>
          </w:p>
        </w:tc>
        <w:tc>
          <w:tcPr>
            <w:tcW w:w="1774" w:type="dxa"/>
            <w:tcBorders>
              <w:tl2br w:val="nil"/>
              <w:tr2bl w:val="nil"/>
            </w:tcBorders>
            <w:noWrap w:val="0"/>
            <w:vAlign w:val="center"/>
          </w:tcPr>
          <w:p w14:paraId="44232A4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保护目标</w:t>
            </w:r>
          </w:p>
        </w:tc>
        <w:tc>
          <w:tcPr>
            <w:tcW w:w="2953" w:type="dxa"/>
            <w:tcBorders>
              <w:tl2br w:val="nil"/>
              <w:tr2bl w:val="nil"/>
            </w:tcBorders>
            <w:noWrap w:val="0"/>
            <w:vAlign w:val="center"/>
          </w:tcPr>
          <w:p w14:paraId="7F7C8DE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与施工区位置关系</w:t>
            </w:r>
          </w:p>
        </w:tc>
        <w:tc>
          <w:tcPr>
            <w:tcW w:w="2351" w:type="dxa"/>
            <w:tcBorders>
              <w:tl2br w:val="nil"/>
              <w:tr2bl w:val="nil"/>
            </w:tcBorders>
            <w:noWrap w:val="0"/>
            <w:vAlign w:val="center"/>
          </w:tcPr>
          <w:p w14:paraId="63CB3E3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保护标准</w:t>
            </w:r>
          </w:p>
        </w:tc>
      </w:tr>
      <w:tr w14:paraId="57E599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52" w:type="dxa"/>
            <w:vMerge w:val="restart"/>
            <w:tcBorders>
              <w:tl2br w:val="nil"/>
              <w:tr2bl w:val="nil"/>
            </w:tcBorders>
            <w:noWrap w:val="0"/>
            <w:vAlign w:val="center"/>
          </w:tcPr>
          <w:p w14:paraId="18BAF5F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0"/>
                <w:w w:val="100"/>
                <w:position w:val="0"/>
                <w:sz w:val="21"/>
                <w:u w:val="none" w:color="auto"/>
              </w:rPr>
            </w:pPr>
          </w:p>
          <w:p w14:paraId="5475BB1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0"/>
                <w:w w:val="100"/>
                <w:position w:val="0"/>
                <w:sz w:val="21"/>
                <w:u w:val="none" w:color="auto"/>
              </w:rPr>
            </w:pPr>
          </w:p>
          <w:p w14:paraId="3D3B637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大气环境</w:t>
            </w:r>
          </w:p>
          <w:p w14:paraId="3D5923A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声环境</w:t>
            </w:r>
          </w:p>
        </w:tc>
        <w:tc>
          <w:tcPr>
            <w:tcW w:w="1774" w:type="dxa"/>
            <w:tcBorders>
              <w:tl2br w:val="nil"/>
              <w:tr2bl w:val="nil"/>
            </w:tcBorders>
            <w:noWrap w:val="0"/>
            <w:vAlign w:val="center"/>
          </w:tcPr>
          <w:p w14:paraId="4F23E61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lang w:eastAsia="zh-CN"/>
              </w:rPr>
              <w:t>仙鹅寺村</w:t>
            </w:r>
          </w:p>
        </w:tc>
        <w:tc>
          <w:tcPr>
            <w:tcW w:w="2953" w:type="dxa"/>
            <w:tcBorders>
              <w:tl2br w:val="nil"/>
              <w:tr2bl w:val="nil"/>
            </w:tcBorders>
            <w:noWrap w:val="0"/>
            <w:vAlign w:val="center"/>
          </w:tcPr>
          <w:p w14:paraId="59B19466">
            <w:pPr>
              <w:keepNext w:val="0"/>
              <w:keepLines w:val="0"/>
              <w:pageBreakBefore w:val="0"/>
              <w:widowControl w:val="0"/>
              <w:kinsoku/>
              <w:wordWrap/>
              <w:overflowPunct/>
              <w:topLinePunct w:val="0"/>
              <w:autoSpaceDE/>
              <w:autoSpaceDN/>
              <w:bidi w:val="0"/>
              <w:adjustRightInd/>
              <w:snapToGrid/>
              <w:spacing w:line="240" w:lineRule="auto"/>
              <w:ind w:left="0" w:right="224" w:hanging="12"/>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与主坝施工区最近距离约</w:t>
            </w:r>
            <w:r>
              <w:rPr>
                <w:rFonts w:hint="default" w:ascii="Times New Roman" w:hAnsi="Times New Roman" w:eastAsia="宋体" w:cs="Times New Roman"/>
                <w:color w:val="auto"/>
                <w:spacing w:val="0"/>
                <w:w w:val="100"/>
                <w:position w:val="0"/>
                <w:sz w:val="21"/>
                <w:szCs w:val="21"/>
                <w:u w:val="none" w:color="auto"/>
                <w:lang w:val="en-US" w:eastAsia="zh-CN"/>
              </w:rPr>
              <w:t>20</w:t>
            </w:r>
            <w:r>
              <w:rPr>
                <w:rFonts w:hint="default" w:ascii="Times New Roman" w:hAnsi="Times New Roman" w:eastAsia="Times New Roman" w:cs="Times New Roman"/>
                <w:color w:val="auto"/>
                <w:spacing w:val="0"/>
                <w:w w:val="100"/>
                <w:position w:val="0"/>
                <w:sz w:val="21"/>
                <w:szCs w:val="21"/>
                <w:u w:val="none" w:color="auto"/>
              </w:rPr>
              <w:t>m</w:t>
            </w:r>
          </w:p>
        </w:tc>
        <w:tc>
          <w:tcPr>
            <w:tcW w:w="2351" w:type="dxa"/>
            <w:vMerge w:val="restart"/>
            <w:tcBorders>
              <w:tl2br w:val="nil"/>
              <w:tr2bl w:val="nil"/>
            </w:tcBorders>
            <w:noWrap w:val="0"/>
            <w:vAlign w:val="center"/>
          </w:tcPr>
          <w:p w14:paraId="6151E30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《环境空气质量标准》</w:t>
            </w:r>
          </w:p>
          <w:p w14:paraId="783AF9E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w:t>
            </w:r>
            <w:r>
              <w:rPr>
                <w:rFonts w:hint="default" w:ascii="Times New Roman" w:hAnsi="Times New Roman" w:eastAsia="Times New Roman" w:cs="Times New Roman"/>
                <w:color w:val="auto"/>
                <w:spacing w:val="0"/>
                <w:w w:val="100"/>
                <w:position w:val="0"/>
                <w:sz w:val="21"/>
                <w:szCs w:val="21"/>
                <w:u w:val="none" w:color="auto"/>
              </w:rPr>
              <w:t>GB3838-2002</w:t>
            </w:r>
            <w:r>
              <w:rPr>
                <w:rFonts w:hint="default" w:ascii="Times New Roman" w:hAnsi="Times New Roman" w:eastAsia="宋体" w:cs="Times New Roman"/>
                <w:color w:val="auto"/>
                <w:spacing w:val="0"/>
                <w:w w:val="100"/>
                <w:position w:val="0"/>
                <w:sz w:val="21"/>
                <w:szCs w:val="21"/>
                <w:u w:val="none" w:color="auto"/>
              </w:rPr>
              <w:t>)及其修改单二级标准；《声环境质量标准》</w:t>
            </w:r>
          </w:p>
          <w:p w14:paraId="625F8FF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w:t>
            </w:r>
            <w:r>
              <w:rPr>
                <w:rFonts w:hint="default" w:ascii="Times New Roman" w:hAnsi="Times New Roman" w:eastAsia="Times New Roman" w:cs="Times New Roman"/>
                <w:color w:val="auto"/>
                <w:spacing w:val="0"/>
                <w:w w:val="100"/>
                <w:position w:val="0"/>
                <w:sz w:val="21"/>
                <w:szCs w:val="21"/>
                <w:u w:val="none" w:color="auto"/>
              </w:rPr>
              <w:t>GB3096-2008</w:t>
            </w:r>
            <w:r>
              <w:rPr>
                <w:rFonts w:hint="default" w:ascii="Times New Roman" w:hAnsi="Times New Roman" w:eastAsia="宋体" w:cs="Times New Roman"/>
                <w:color w:val="auto"/>
                <w:spacing w:val="0"/>
                <w:w w:val="100"/>
                <w:position w:val="0"/>
                <w:sz w:val="21"/>
                <w:szCs w:val="21"/>
                <w:u w:val="none" w:color="auto"/>
              </w:rPr>
              <w:t>)</w:t>
            </w:r>
            <w:r>
              <w:rPr>
                <w:rFonts w:hint="default" w:ascii="Times New Roman" w:hAnsi="Times New Roman" w:eastAsia="Times New Roman" w:cs="Times New Roman"/>
                <w:color w:val="auto"/>
                <w:spacing w:val="0"/>
                <w:w w:val="100"/>
                <w:position w:val="0"/>
                <w:sz w:val="21"/>
                <w:szCs w:val="21"/>
                <w:u w:val="none" w:color="auto"/>
              </w:rPr>
              <w:t>1</w:t>
            </w:r>
            <w:r>
              <w:rPr>
                <w:rFonts w:hint="default" w:ascii="Times New Roman" w:hAnsi="Times New Roman" w:eastAsia="宋体" w:cs="Times New Roman"/>
                <w:color w:val="auto"/>
                <w:spacing w:val="0"/>
                <w:w w:val="100"/>
                <w:position w:val="0"/>
                <w:sz w:val="21"/>
                <w:szCs w:val="21"/>
                <w:u w:val="none" w:color="auto"/>
              </w:rPr>
              <w:t>类标准</w:t>
            </w:r>
          </w:p>
        </w:tc>
      </w:tr>
      <w:tr w14:paraId="5D9B60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52" w:type="dxa"/>
            <w:vMerge w:val="continue"/>
            <w:tcBorders>
              <w:tl2br w:val="nil"/>
              <w:tr2bl w:val="nil"/>
            </w:tcBorders>
            <w:noWrap w:val="0"/>
            <w:vAlign w:val="center"/>
          </w:tcPr>
          <w:p w14:paraId="1ACF8BD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0"/>
                <w:w w:val="100"/>
                <w:position w:val="0"/>
                <w:sz w:val="21"/>
                <w:u w:val="none" w:color="auto"/>
              </w:rPr>
            </w:pPr>
          </w:p>
        </w:tc>
        <w:tc>
          <w:tcPr>
            <w:tcW w:w="1774" w:type="dxa"/>
            <w:tcBorders>
              <w:tl2br w:val="nil"/>
              <w:tr2bl w:val="nil"/>
            </w:tcBorders>
            <w:noWrap w:val="0"/>
            <w:vAlign w:val="center"/>
          </w:tcPr>
          <w:p w14:paraId="2AFB033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lang w:eastAsia="zh-CN"/>
              </w:rPr>
              <w:t>白果树</w:t>
            </w:r>
            <w:r>
              <w:rPr>
                <w:rFonts w:hint="default" w:ascii="Times New Roman" w:hAnsi="Times New Roman" w:eastAsia="宋体" w:cs="Times New Roman"/>
                <w:color w:val="auto"/>
                <w:spacing w:val="0"/>
                <w:w w:val="100"/>
                <w:position w:val="0"/>
                <w:sz w:val="21"/>
                <w:szCs w:val="21"/>
                <w:u w:val="none" w:color="auto"/>
              </w:rPr>
              <w:t>村</w:t>
            </w:r>
          </w:p>
        </w:tc>
        <w:tc>
          <w:tcPr>
            <w:tcW w:w="2953" w:type="dxa"/>
            <w:tcBorders>
              <w:tl2br w:val="nil"/>
              <w:tr2bl w:val="nil"/>
            </w:tcBorders>
            <w:noWrap w:val="0"/>
            <w:vAlign w:val="center"/>
          </w:tcPr>
          <w:p w14:paraId="19DE4F13">
            <w:pPr>
              <w:keepNext w:val="0"/>
              <w:keepLines w:val="0"/>
              <w:pageBreakBefore w:val="0"/>
              <w:widowControl w:val="0"/>
              <w:kinsoku/>
              <w:wordWrap/>
              <w:overflowPunct/>
              <w:topLinePunct w:val="0"/>
              <w:autoSpaceDE/>
              <w:autoSpaceDN/>
              <w:bidi w:val="0"/>
              <w:adjustRightInd/>
              <w:snapToGrid/>
              <w:spacing w:line="240" w:lineRule="auto"/>
              <w:ind w:left="0" w:right="101" w:hanging="1"/>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与主坝施工区最近距离约</w:t>
            </w:r>
            <w:r>
              <w:rPr>
                <w:rFonts w:hint="default" w:ascii="Times New Roman" w:hAnsi="Times New Roman" w:eastAsia="宋体" w:cs="Times New Roman"/>
                <w:color w:val="auto"/>
                <w:spacing w:val="0"/>
                <w:w w:val="100"/>
                <w:position w:val="0"/>
                <w:sz w:val="21"/>
                <w:szCs w:val="21"/>
                <w:u w:val="none" w:color="auto"/>
                <w:lang w:val="en-US" w:eastAsia="zh-CN"/>
              </w:rPr>
              <w:t>600</w:t>
            </w:r>
            <w:r>
              <w:rPr>
                <w:rFonts w:hint="default" w:ascii="Times New Roman" w:hAnsi="Times New Roman" w:eastAsia="Times New Roman" w:cs="Times New Roman"/>
                <w:color w:val="auto"/>
                <w:spacing w:val="0"/>
                <w:w w:val="100"/>
                <w:position w:val="0"/>
                <w:sz w:val="21"/>
                <w:szCs w:val="21"/>
                <w:u w:val="none" w:color="auto"/>
              </w:rPr>
              <w:t>m</w:t>
            </w:r>
          </w:p>
        </w:tc>
        <w:tc>
          <w:tcPr>
            <w:tcW w:w="2351" w:type="dxa"/>
            <w:vMerge w:val="continue"/>
            <w:tcBorders>
              <w:tl2br w:val="nil"/>
              <w:tr2bl w:val="nil"/>
            </w:tcBorders>
            <w:noWrap w:val="0"/>
            <w:vAlign w:val="center"/>
          </w:tcPr>
          <w:p w14:paraId="21CA3CC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0"/>
                <w:w w:val="100"/>
                <w:position w:val="0"/>
                <w:sz w:val="21"/>
                <w:u w:val="none" w:color="auto"/>
              </w:rPr>
            </w:pPr>
          </w:p>
        </w:tc>
      </w:tr>
      <w:tr w14:paraId="3EA683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52" w:type="dxa"/>
            <w:vMerge w:val="continue"/>
            <w:tcBorders>
              <w:tl2br w:val="nil"/>
              <w:tr2bl w:val="nil"/>
            </w:tcBorders>
            <w:noWrap w:val="0"/>
            <w:vAlign w:val="center"/>
          </w:tcPr>
          <w:p w14:paraId="7AECCBA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0"/>
                <w:w w:val="100"/>
                <w:position w:val="0"/>
                <w:sz w:val="21"/>
                <w:u w:val="none" w:color="auto"/>
              </w:rPr>
            </w:pPr>
          </w:p>
        </w:tc>
        <w:tc>
          <w:tcPr>
            <w:tcW w:w="1774" w:type="dxa"/>
            <w:tcBorders>
              <w:tl2br w:val="nil"/>
              <w:tr2bl w:val="nil"/>
            </w:tcBorders>
            <w:noWrap w:val="0"/>
            <w:vAlign w:val="center"/>
          </w:tcPr>
          <w:p w14:paraId="70B8A67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lang w:eastAsia="zh-CN"/>
              </w:rPr>
              <w:t>仙鹅寺村</w:t>
            </w:r>
          </w:p>
        </w:tc>
        <w:tc>
          <w:tcPr>
            <w:tcW w:w="2953" w:type="dxa"/>
            <w:tcBorders>
              <w:tl2br w:val="nil"/>
              <w:tr2bl w:val="nil"/>
            </w:tcBorders>
            <w:noWrap w:val="0"/>
            <w:vAlign w:val="center"/>
          </w:tcPr>
          <w:p w14:paraId="0650190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0"/>
                <w:w w:val="100"/>
                <w:position w:val="0"/>
                <w:sz w:val="21"/>
                <w:u w:val="none" w:color="auto"/>
              </w:rPr>
            </w:pPr>
            <w:r>
              <w:rPr>
                <w:rFonts w:hint="default" w:ascii="Times New Roman" w:hAnsi="Times New Roman" w:eastAsia="宋体" w:cs="Times New Roman"/>
                <w:color w:val="auto"/>
                <w:spacing w:val="0"/>
                <w:w w:val="100"/>
                <w:position w:val="0"/>
                <w:sz w:val="21"/>
                <w:szCs w:val="21"/>
                <w:u w:val="none" w:color="auto"/>
                <w:lang w:eastAsia="zh-CN"/>
              </w:rPr>
              <w:t>物料</w:t>
            </w:r>
            <w:r>
              <w:rPr>
                <w:rFonts w:hint="default" w:ascii="Times New Roman" w:hAnsi="Times New Roman" w:eastAsia="宋体" w:cs="Times New Roman"/>
                <w:color w:val="auto"/>
                <w:spacing w:val="0"/>
                <w:w w:val="100"/>
                <w:position w:val="0"/>
                <w:sz w:val="21"/>
                <w:szCs w:val="21"/>
                <w:u w:val="none" w:color="auto"/>
              </w:rPr>
              <w:t>运输路线</w:t>
            </w:r>
            <w:r>
              <w:rPr>
                <w:rFonts w:hint="default" w:ascii="Times New Roman" w:hAnsi="Times New Roman" w:eastAsia="宋体" w:cs="Times New Roman"/>
                <w:color w:val="auto"/>
                <w:spacing w:val="0"/>
                <w:w w:val="100"/>
                <w:position w:val="0"/>
                <w:sz w:val="21"/>
                <w:szCs w:val="21"/>
                <w:u w:val="none" w:color="auto"/>
                <w:lang w:eastAsia="zh-CN"/>
              </w:rPr>
              <w:t>（</w:t>
            </w:r>
            <w:r>
              <w:rPr>
                <w:rFonts w:hint="default" w:ascii="Times New Roman" w:hAnsi="Times New Roman" w:eastAsia="宋体" w:cs="Times New Roman"/>
                <w:color w:val="auto"/>
                <w:spacing w:val="0"/>
                <w:w w:val="100"/>
                <w:position w:val="0"/>
                <w:sz w:val="21"/>
                <w:szCs w:val="21"/>
                <w:u w:val="none" w:color="auto"/>
              </w:rPr>
              <w:t>穿过村庄</w:t>
            </w:r>
            <w:r>
              <w:rPr>
                <w:rFonts w:hint="default" w:ascii="Times New Roman" w:hAnsi="Times New Roman" w:eastAsia="宋体" w:cs="Times New Roman"/>
                <w:color w:val="auto"/>
                <w:spacing w:val="0"/>
                <w:w w:val="100"/>
                <w:position w:val="0"/>
                <w:sz w:val="21"/>
                <w:szCs w:val="21"/>
                <w:u w:val="none" w:color="auto"/>
                <w:lang w:eastAsia="zh-CN"/>
              </w:rPr>
              <w:t>）</w:t>
            </w:r>
          </w:p>
        </w:tc>
        <w:tc>
          <w:tcPr>
            <w:tcW w:w="2351" w:type="dxa"/>
            <w:vMerge w:val="continue"/>
            <w:tcBorders>
              <w:tl2br w:val="nil"/>
              <w:tr2bl w:val="nil"/>
            </w:tcBorders>
            <w:noWrap w:val="0"/>
            <w:vAlign w:val="center"/>
          </w:tcPr>
          <w:p w14:paraId="1F4D5C9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0"/>
                <w:w w:val="100"/>
                <w:position w:val="0"/>
                <w:sz w:val="21"/>
                <w:u w:val="none" w:color="auto"/>
              </w:rPr>
            </w:pPr>
          </w:p>
        </w:tc>
      </w:tr>
      <w:tr w14:paraId="066295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52" w:type="dxa"/>
            <w:tcBorders>
              <w:tl2br w:val="nil"/>
              <w:tr2bl w:val="nil"/>
            </w:tcBorders>
            <w:noWrap w:val="0"/>
            <w:vAlign w:val="center"/>
          </w:tcPr>
          <w:p w14:paraId="3EC7855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0"/>
                <w:w w:val="100"/>
                <w:position w:val="0"/>
                <w:sz w:val="21"/>
                <w:u w:val="none" w:color="auto"/>
              </w:rPr>
            </w:pPr>
          </w:p>
          <w:p w14:paraId="7134753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地表水环境</w:t>
            </w:r>
          </w:p>
        </w:tc>
        <w:tc>
          <w:tcPr>
            <w:tcW w:w="1774" w:type="dxa"/>
            <w:tcBorders>
              <w:tl2br w:val="nil"/>
              <w:tr2bl w:val="nil"/>
            </w:tcBorders>
            <w:noWrap w:val="0"/>
            <w:vAlign w:val="center"/>
          </w:tcPr>
          <w:p w14:paraId="1DB860D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lang w:eastAsia="zh-CN"/>
              </w:rPr>
              <w:t>东山水库</w:t>
            </w:r>
            <w:r>
              <w:rPr>
                <w:rFonts w:hint="default" w:ascii="Times New Roman" w:hAnsi="Times New Roman" w:eastAsia="宋体" w:cs="Times New Roman"/>
                <w:color w:val="auto"/>
                <w:spacing w:val="0"/>
                <w:w w:val="100"/>
                <w:position w:val="0"/>
                <w:sz w:val="21"/>
                <w:szCs w:val="21"/>
                <w:u w:val="none" w:color="auto"/>
              </w:rPr>
              <w:t>饮用水水源保护区</w:t>
            </w:r>
          </w:p>
        </w:tc>
        <w:tc>
          <w:tcPr>
            <w:tcW w:w="2953" w:type="dxa"/>
            <w:tcBorders>
              <w:tl2br w:val="nil"/>
              <w:tr2bl w:val="nil"/>
            </w:tcBorders>
            <w:noWrap w:val="0"/>
            <w:vAlign w:val="center"/>
          </w:tcPr>
          <w:p w14:paraId="5A7B8FA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根据已批复饮用水水源保护区</w:t>
            </w:r>
          </w:p>
          <w:p w14:paraId="7C2A94F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范围，主体工程位于饮用水水</w:t>
            </w:r>
          </w:p>
          <w:p w14:paraId="6C0B74F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源保护区范围内</w:t>
            </w:r>
          </w:p>
        </w:tc>
        <w:tc>
          <w:tcPr>
            <w:tcW w:w="2351" w:type="dxa"/>
            <w:tcBorders>
              <w:tl2br w:val="nil"/>
              <w:tr2bl w:val="nil"/>
            </w:tcBorders>
            <w:noWrap w:val="0"/>
            <w:vAlign w:val="center"/>
          </w:tcPr>
          <w:p w14:paraId="5508B098">
            <w:pPr>
              <w:keepNext w:val="0"/>
              <w:keepLines w:val="0"/>
              <w:pageBreakBefore w:val="0"/>
              <w:widowControl w:val="0"/>
              <w:kinsoku/>
              <w:wordWrap/>
              <w:overflowPunct/>
              <w:topLinePunct w:val="0"/>
              <w:autoSpaceDE/>
              <w:autoSpaceDN/>
              <w:bidi w:val="0"/>
              <w:adjustRightInd/>
              <w:snapToGrid/>
              <w:spacing w:line="240" w:lineRule="auto"/>
              <w:ind w:left="0" w:right="147" w:firstLine="149"/>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《地表水环境质量标准》(</w:t>
            </w:r>
            <w:r>
              <w:rPr>
                <w:rFonts w:hint="default" w:ascii="Times New Roman" w:hAnsi="Times New Roman" w:eastAsia="宋体" w:cs="Times New Roman"/>
                <w:caps w:val="0"/>
                <w:smallCaps w:val="0"/>
                <w:color w:val="auto"/>
                <w:spacing w:val="0"/>
                <w:w w:val="100"/>
                <w:kern w:val="0"/>
                <w:position w:val="0"/>
                <w:sz w:val="21"/>
                <w:szCs w:val="21"/>
                <w:highlight w:val="none"/>
                <w:u w:val="none" w:color="auto"/>
              </w:rPr>
              <w:t>GB</w:t>
            </w:r>
            <w:r>
              <w:rPr>
                <w:rFonts w:hint="default" w:ascii="Times New Roman" w:hAnsi="Times New Roman" w:eastAsia="Times New Roman" w:cs="Times New Roman"/>
                <w:color w:val="auto"/>
                <w:spacing w:val="0"/>
                <w:w w:val="100"/>
                <w:position w:val="0"/>
                <w:sz w:val="21"/>
                <w:szCs w:val="21"/>
                <w:u w:val="none" w:color="auto"/>
              </w:rPr>
              <w:t>3838-2002</w:t>
            </w:r>
            <w:r>
              <w:rPr>
                <w:rFonts w:hint="default" w:ascii="Times New Roman" w:hAnsi="Times New Roman" w:eastAsia="宋体" w:cs="Times New Roman"/>
                <w:color w:val="auto"/>
                <w:spacing w:val="0"/>
                <w:w w:val="100"/>
                <w:position w:val="0"/>
                <w:sz w:val="21"/>
                <w:szCs w:val="21"/>
                <w:u w:val="none" w:color="auto"/>
              </w:rPr>
              <w:t>)</w:t>
            </w:r>
            <w:r>
              <w:rPr>
                <w:rFonts w:hint="default" w:ascii="Times New Roman" w:hAnsi="Times New Roman" w:eastAsia="Times New Roman" w:cs="Times New Roman"/>
                <w:color w:val="auto"/>
                <w:spacing w:val="0"/>
                <w:w w:val="100"/>
                <w:position w:val="0"/>
                <w:sz w:val="21"/>
                <w:szCs w:val="21"/>
                <w:u w:val="none" w:color="auto"/>
              </w:rPr>
              <w:t>II</w:t>
            </w:r>
            <w:r>
              <w:rPr>
                <w:rFonts w:hint="default" w:ascii="Times New Roman" w:hAnsi="Times New Roman" w:eastAsia="宋体" w:cs="Times New Roman"/>
                <w:color w:val="auto"/>
                <w:spacing w:val="0"/>
                <w:w w:val="100"/>
                <w:position w:val="0"/>
                <w:sz w:val="21"/>
                <w:szCs w:val="21"/>
                <w:u w:val="none" w:color="auto"/>
              </w:rPr>
              <w:t>类、</w:t>
            </w:r>
            <w:r>
              <w:rPr>
                <w:rFonts w:hint="default" w:ascii="Times New Roman" w:hAnsi="Times New Roman" w:eastAsia="Times New Roman" w:cs="Times New Roman"/>
                <w:color w:val="auto"/>
                <w:spacing w:val="0"/>
                <w:w w:val="100"/>
                <w:position w:val="0"/>
                <w:sz w:val="21"/>
                <w:szCs w:val="21"/>
                <w:u w:val="none" w:color="auto"/>
              </w:rPr>
              <w:t>III</w:t>
            </w:r>
            <w:r>
              <w:rPr>
                <w:rFonts w:hint="default" w:ascii="Times New Roman" w:hAnsi="Times New Roman" w:eastAsia="宋体" w:cs="Times New Roman"/>
                <w:color w:val="auto"/>
                <w:spacing w:val="0"/>
                <w:w w:val="100"/>
                <w:position w:val="0"/>
                <w:sz w:val="21"/>
                <w:szCs w:val="21"/>
                <w:u w:val="none" w:color="auto"/>
              </w:rPr>
              <w:t>类标准</w:t>
            </w:r>
          </w:p>
        </w:tc>
      </w:tr>
      <w:tr w14:paraId="677CD6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52" w:type="dxa"/>
            <w:tcBorders>
              <w:tl2br w:val="nil"/>
              <w:tr2bl w:val="nil"/>
            </w:tcBorders>
            <w:noWrap w:val="0"/>
            <w:vAlign w:val="center"/>
          </w:tcPr>
          <w:p w14:paraId="7A954E19">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lang w:eastAsia="zh-CN"/>
              </w:rPr>
              <w:t>地下水环境</w:t>
            </w:r>
          </w:p>
        </w:tc>
        <w:tc>
          <w:tcPr>
            <w:tcW w:w="4727" w:type="dxa"/>
            <w:gridSpan w:val="2"/>
            <w:tcBorders>
              <w:tl2br w:val="nil"/>
              <w:tr2bl w:val="nil"/>
            </w:tcBorders>
            <w:noWrap w:val="0"/>
            <w:vAlign w:val="center"/>
          </w:tcPr>
          <w:p w14:paraId="05F98B0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aps w:val="0"/>
                <w:smallCaps w:val="0"/>
                <w:color w:val="auto"/>
                <w:spacing w:val="0"/>
                <w:w w:val="100"/>
                <w:position w:val="0"/>
                <w:sz w:val="21"/>
                <w:szCs w:val="21"/>
                <w:u w:val="none" w:color="auto"/>
                <w:lang w:eastAsia="zh-CN"/>
              </w:rPr>
              <w:t>评价范围</w:t>
            </w:r>
            <w:r>
              <w:rPr>
                <w:rFonts w:hint="default" w:ascii="Times New Roman" w:hAnsi="Times New Roman" w:eastAsia="宋体" w:cs="Times New Roman"/>
                <w:caps w:val="0"/>
                <w:smallCaps w:val="0"/>
                <w:color w:val="auto"/>
                <w:spacing w:val="0"/>
                <w:w w:val="100"/>
                <w:position w:val="0"/>
                <w:sz w:val="21"/>
                <w:szCs w:val="21"/>
                <w:u w:val="none" w:color="auto"/>
              </w:rPr>
              <w:t>内的地下水</w:t>
            </w:r>
            <w:r>
              <w:rPr>
                <w:rFonts w:hint="default" w:ascii="Times New Roman" w:hAnsi="Times New Roman" w:eastAsia="宋体" w:cs="Times New Roman"/>
                <w:caps w:val="0"/>
                <w:smallCaps w:val="0"/>
                <w:color w:val="auto"/>
                <w:spacing w:val="0"/>
                <w:w w:val="100"/>
                <w:position w:val="0"/>
                <w:sz w:val="21"/>
                <w:szCs w:val="21"/>
                <w:u w:val="none" w:color="auto"/>
                <w:lang w:eastAsia="zh-CN"/>
              </w:rPr>
              <w:t>水井</w:t>
            </w:r>
          </w:p>
        </w:tc>
        <w:tc>
          <w:tcPr>
            <w:tcW w:w="2351" w:type="dxa"/>
            <w:tcBorders>
              <w:tl2br w:val="nil"/>
              <w:tr2bl w:val="nil"/>
            </w:tcBorders>
            <w:noWrap w:val="0"/>
            <w:vAlign w:val="center"/>
          </w:tcPr>
          <w:p w14:paraId="0C20710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rPr>
              <w:t>《地下水质量标准》（GB/T14848-2017）Ⅲ类标准限值</w:t>
            </w:r>
          </w:p>
        </w:tc>
      </w:tr>
      <w:tr w14:paraId="1F945F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52" w:type="dxa"/>
            <w:tcBorders>
              <w:tl2br w:val="nil"/>
              <w:tr2bl w:val="nil"/>
            </w:tcBorders>
            <w:noWrap w:val="0"/>
            <w:vAlign w:val="center"/>
          </w:tcPr>
          <w:p w14:paraId="586F0C3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lang w:eastAsia="zh-CN"/>
              </w:rPr>
              <w:t>土壤环境</w:t>
            </w:r>
          </w:p>
        </w:tc>
        <w:tc>
          <w:tcPr>
            <w:tcW w:w="4727" w:type="dxa"/>
            <w:gridSpan w:val="2"/>
            <w:tcBorders>
              <w:tl2br w:val="nil"/>
              <w:tr2bl w:val="nil"/>
            </w:tcBorders>
            <w:noWrap w:val="0"/>
            <w:vAlign w:val="center"/>
          </w:tcPr>
          <w:p w14:paraId="56A17FE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val="en-US"/>
              </w:rPr>
            </w:pPr>
            <w:r>
              <w:rPr>
                <w:rFonts w:hint="default" w:ascii="Times New Roman" w:hAnsi="Times New Roman" w:eastAsia="宋体" w:cs="Times New Roman"/>
                <w:caps w:val="0"/>
                <w:smallCaps w:val="0"/>
                <w:color w:val="auto"/>
                <w:spacing w:val="0"/>
                <w:w w:val="100"/>
                <w:position w:val="0"/>
                <w:sz w:val="21"/>
                <w:szCs w:val="21"/>
                <w:u w:val="none" w:color="auto"/>
              </w:rPr>
              <w:t>评价范围内的</w:t>
            </w:r>
            <w:r>
              <w:rPr>
                <w:rFonts w:hint="default" w:ascii="Times New Roman" w:hAnsi="Times New Roman" w:eastAsia="宋体" w:cs="Times New Roman"/>
                <w:caps w:val="0"/>
                <w:smallCaps w:val="0"/>
                <w:color w:val="auto"/>
                <w:spacing w:val="0"/>
                <w:w w:val="100"/>
                <w:position w:val="0"/>
                <w:sz w:val="21"/>
                <w:szCs w:val="21"/>
                <w:u w:val="none" w:color="auto"/>
                <w:lang w:val="en-US" w:eastAsia="zh-CN"/>
              </w:rPr>
              <w:t>林地、农田等</w:t>
            </w:r>
          </w:p>
        </w:tc>
        <w:tc>
          <w:tcPr>
            <w:tcW w:w="2351" w:type="dxa"/>
            <w:tcBorders>
              <w:tl2br w:val="nil"/>
              <w:tr2bl w:val="nil"/>
            </w:tcBorders>
            <w:noWrap w:val="0"/>
            <w:vAlign w:val="center"/>
          </w:tcPr>
          <w:p w14:paraId="25DFDFF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eastAsia="zh-CN"/>
              </w:rPr>
              <w:t>《土壤环境质量  建设用地土壤污染风险管控标准》（GB36600-2018）</w:t>
            </w:r>
          </w:p>
        </w:tc>
      </w:tr>
    </w:tbl>
    <w:p w14:paraId="5B76E17A">
      <w:pPr>
        <w:spacing w:line="360" w:lineRule="auto"/>
        <w:ind w:firstLine="2650" w:firstLineChars="1100"/>
        <w:rPr>
          <w:rFonts w:hint="default" w:ascii="Times New Roman" w:hAnsi="Times New Roman" w:eastAsia="宋体" w:cs="Times New Roman"/>
          <w:b/>
          <w:bCs/>
          <w:color w:val="auto"/>
          <w:spacing w:val="0"/>
          <w:w w:val="100"/>
          <w:position w:val="0"/>
          <w:sz w:val="24"/>
          <w:szCs w:val="24"/>
          <w:u w:val="none" w:color="auto"/>
          <w:lang w:val="en-US" w:eastAsia="zh-CN"/>
        </w:rPr>
      </w:pPr>
      <w:r>
        <w:rPr>
          <w:rFonts w:hint="default" w:ascii="Times New Roman" w:hAnsi="Times New Roman" w:eastAsia="宋体" w:cs="Times New Roman"/>
          <w:b/>
          <w:bCs/>
          <w:color w:val="auto"/>
          <w:spacing w:val="0"/>
          <w:w w:val="100"/>
          <w:position w:val="0"/>
          <w:sz w:val="24"/>
          <w:szCs w:val="24"/>
          <w:u w:val="none" w:color="auto"/>
          <w:lang w:val="en-US" w:eastAsia="zh-CN"/>
        </w:rPr>
        <w:t>表</w:t>
      </w:r>
      <w:r>
        <w:rPr>
          <w:rFonts w:hint="default" w:ascii="Times New Roman" w:hAnsi="Times New Roman" w:eastAsia="宋体" w:cs="Times New Roman"/>
          <w:b/>
          <w:bCs/>
          <w:color w:val="auto"/>
          <w:spacing w:val="0"/>
          <w:w w:val="100"/>
          <w:position w:val="0"/>
          <w:sz w:val="24"/>
          <w:szCs w:val="24"/>
          <w:u w:val="none" w:color="auto"/>
          <w:lang w:val="en-US" w:eastAsia="zh-CN"/>
        </w:rPr>
        <w:fldChar w:fldCharType="begin"/>
      </w:r>
      <w:r>
        <w:rPr>
          <w:rFonts w:hint="default" w:ascii="Times New Roman" w:hAnsi="Times New Roman" w:eastAsia="宋体" w:cs="Times New Roman"/>
          <w:b/>
          <w:bCs/>
          <w:color w:val="auto"/>
          <w:spacing w:val="0"/>
          <w:w w:val="100"/>
          <w:position w:val="0"/>
          <w:sz w:val="24"/>
          <w:szCs w:val="24"/>
          <w:u w:val="none" w:color="auto"/>
          <w:lang w:val="en-US" w:eastAsia="zh-CN"/>
        </w:rPr>
        <w:instrText xml:space="preserve"> STYLEREF 1 \s </w:instrText>
      </w:r>
      <w:r>
        <w:rPr>
          <w:rFonts w:hint="default" w:ascii="Times New Roman" w:hAnsi="Times New Roman" w:eastAsia="宋体" w:cs="Times New Roman"/>
          <w:b/>
          <w:bCs/>
          <w:color w:val="auto"/>
          <w:spacing w:val="0"/>
          <w:w w:val="100"/>
          <w:position w:val="0"/>
          <w:sz w:val="24"/>
          <w:szCs w:val="24"/>
          <w:u w:val="none" w:color="auto"/>
          <w:lang w:val="en-US" w:eastAsia="zh-CN"/>
        </w:rPr>
        <w:fldChar w:fldCharType="separate"/>
      </w:r>
      <w:r>
        <w:rPr>
          <w:rFonts w:hint="default" w:ascii="Times New Roman" w:hAnsi="Times New Roman" w:eastAsia="宋体" w:cs="Times New Roman"/>
          <w:b/>
          <w:bCs/>
          <w:color w:val="auto"/>
          <w:spacing w:val="0"/>
          <w:w w:val="100"/>
          <w:position w:val="0"/>
          <w:sz w:val="24"/>
          <w:szCs w:val="24"/>
          <w:u w:val="none" w:color="auto"/>
          <w:lang w:val="en-US" w:eastAsia="zh-CN"/>
        </w:rPr>
        <w:t>1</w:t>
      </w:r>
      <w:r>
        <w:rPr>
          <w:rFonts w:hint="default" w:ascii="Times New Roman" w:hAnsi="Times New Roman" w:eastAsia="宋体" w:cs="Times New Roman"/>
          <w:b/>
          <w:bCs/>
          <w:color w:val="auto"/>
          <w:spacing w:val="0"/>
          <w:w w:val="100"/>
          <w:position w:val="0"/>
          <w:sz w:val="24"/>
          <w:szCs w:val="24"/>
          <w:u w:val="none" w:color="auto"/>
          <w:lang w:val="en-US" w:eastAsia="zh-CN"/>
        </w:rPr>
        <w:fldChar w:fldCharType="end"/>
      </w:r>
      <w:r>
        <w:rPr>
          <w:rFonts w:hint="default" w:ascii="Times New Roman" w:hAnsi="Times New Roman" w:eastAsia="宋体" w:cs="Times New Roman"/>
          <w:b/>
          <w:bCs/>
          <w:color w:val="auto"/>
          <w:spacing w:val="0"/>
          <w:w w:val="100"/>
          <w:position w:val="0"/>
          <w:sz w:val="24"/>
          <w:szCs w:val="24"/>
          <w:u w:val="none" w:color="auto"/>
          <w:lang w:val="en-US" w:eastAsia="zh-CN"/>
        </w:rPr>
        <w:t>.8-2 评价区生态保护目标一览表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8"/>
        <w:gridCol w:w="1372"/>
        <w:gridCol w:w="2370"/>
        <w:gridCol w:w="2624"/>
        <w:gridCol w:w="1382"/>
      </w:tblGrid>
      <w:tr w14:paraId="284903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8" w:type="dxa"/>
            <w:tcBorders>
              <w:tl2br w:val="nil"/>
              <w:tr2bl w:val="nil"/>
            </w:tcBorders>
            <w:noWrap w:val="0"/>
            <w:vAlign w:val="center"/>
          </w:tcPr>
          <w:p w14:paraId="34148128">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color w:val="auto"/>
                <w:sz w:val="21"/>
                <w:highlight w:val="none"/>
                <w:u w:val="none"/>
              </w:rPr>
            </w:pPr>
            <w:bookmarkStart w:id="89" w:name="_Toc16908"/>
            <w:bookmarkStart w:id="90" w:name="_Toc48"/>
            <w:bookmarkStart w:id="91" w:name="_Toc6725"/>
            <w:r>
              <w:rPr>
                <w:rFonts w:hint="default" w:ascii="Times New Roman" w:hAnsi="Times New Roman" w:eastAsia="宋体" w:cs="Times New Roman"/>
                <w:b/>
                <w:caps w:val="0"/>
                <w:smallCaps w:val="0"/>
                <w:color w:val="auto"/>
                <w:sz w:val="21"/>
                <w:highlight w:val="none"/>
                <w:u w:val="none"/>
              </w:rPr>
              <w:t>类别</w:t>
            </w:r>
          </w:p>
        </w:tc>
        <w:tc>
          <w:tcPr>
            <w:tcW w:w="1372" w:type="dxa"/>
            <w:tcBorders>
              <w:tl2br w:val="nil"/>
              <w:tr2bl w:val="nil"/>
            </w:tcBorders>
            <w:noWrap w:val="0"/>
            <w:vAlign w:val="center"/>
          </w:tcPr>
          <w:p w14:paraId="7025DAA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color w:val="auto"/>
                <w:sz w:val="21"/>
                <w:highlight w:val="none"/>
                <w:u w:val="none"/>
              </w:rPr>
            </w:pPr>
            <w:r>
              <w:rPr>
                <w:rFonts w:hint="default" w:ascii="Times New Roman" w:hAnsi="Times New Roman" w:eastAsia="宋体" w:cs="Times New Roman"/>
                <w:b/>
                <w:caps w:val="0"/>
                <w:smallCaps w:val="0"/>
                <w:color w:val="auto"/>
                <w:sz w:val="21"/>
                <w:highlight w:val="none"/>
                <w:u w:val="none"/>
                <w:lang w:val="en-US" w:eastAsia="zh-CN"/>
              </w:rPr>
              <w:t>保护</w:t>
            </w:r>
            <w:r>
              <w:rPr>
                <w:rFonts w:hint="default" w:ascii="Times New Roman" w:hAnsi="Times New Roman" w:eastAsia="宋体" w:cs="Times New Roman"/>
                <w:b/>
                <w:caps w:val="0"/>
                <w:smallCaps w:val="0"/>
                <w:color w:val="auto"/>
                <w:sz w:val="21"/>
                <w:highlight w:val="none"/>
                <w:u w:val="none"/>
              </w:rPr>
              <w:t>目标/区名称</w:t>
            </w:r>
          </w:p>
        </w:tc>
        <w:tc>
          <w:tcPr>
            <w:tcW w:w="2370" w:type="dxa"/>
            <w:tcBorders>
              <w:tl2br w:val="nil"/>
              <w:tr2bl w:val="nil"/>
            </w:tcBorders>
            <w:noWrap w:val="0"/>
            <w:vAlign w:val="center"/>
          </w:tcPr>
          <w:p w14:paraId="4EC095DC">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color w:val="auto"/>
                <w:sz w:val="21"/>
                <w:highlight w:val="none"/>
                <w:u w:val="none"/>
              </w:rPr>
            </w:pPr>
            <w:r>
              <w:rPr>
                <w:rFonts w:hint="default" w:ascii="Times New Roman" w:hAnsi="Times New Roman" w:eastAsia="宋体" w:cs="Times New Roman"/>
                <w:b/>
                <w:caps w:val="0"/>
                <w:smallCaps w:val="0"/>
                <w:color w:val="auto"/>
                <w:sz w:val="21"/>
                <w:highlight w:val="none"/>
                <w:u w:val="none"/>
              </w:rPr>
              <w:t>主要保护对象/受影响要素</w:t>
            </w:r>
          </w:p>
        </w:tc>
        <w:tc>
          <w:tcPr>
            <w:tcW w:w="2624" w:type="dxa"/>
            <w:tcBorders>
              <w:tl2br w:val="nil"/>
              <w:tr2bl w:val="nil"/>
            </w:tcBorders>
            <w:noWrap w:val="0"/>
            <w:vAlign w:val="center"/>
          </w:tcPr>
          <w:p w14:paraId="0C7B85F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color w:val="auto"/>
                <w:sz w:val="21"/>
                <w:highlight w:val="none"/>
                <w:u w:val="none"/>
              </w:rPr>
            </w:pPr>
            <w:r>
              <w:rPr>
                <w:rFonts w:hint="default" w:ascii="Times New Roman" w:hAnsi="Times New Roman" w:eastAsia="宋体" w:cs="Times New Roman"/>
                <w:b/>
                <w:caps w:val="0"/>
                <w:smallCaps w:val="0"/>
                <w:color w:val="auto"/>
                <w:sz w:val="21"/>
                <w:highlight w:val="none"/>
                <w:u w:val="none"/>
              </w:rPr>
              <w:t>与工程的位置关系</w:t>
            </w:r>
          </w:p>
        </w:tc>
        <w:tc>
          <w:tcPr>
            <w:tcW w:w="1382" w:type="dxa"/>
            <w:tcBorders>
              <w:tl2br w:val="nil"/>
              <w:tr2bl w:val="nil"/>
            </w:tcBorders>
            <w:noWrap w:val="0"/>
            <w:vAlign w:val="center"/>
          </w:tcPr>
          <w:p w14:paraId="1DDDCC4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color w:val="auto"/>
                <w:sz w:val="21"/>
                <w:highlight w:val="none"/>
                <w:u w:val="none"/>
                <w:lang w:eastAsia="zh-CN"/>
              </w:rPr>
            </w:pPr>
            <w:r>
              <w:rPr>
                <w:rFonts w:hint="default" w:ascii="Times New Roman" w:hAnsi="Times New Roman" w:eastAsia="宋体" w:cs="Times New Roman"/>
                <w:b/>
                <w:caps w:val="0"/>
                <w:smallCaps w:val="0"/>
                <w:color w:val="auto"/>
                <w:sz w:val="21"/>
                <w:highlight w:val="none"/>
                <w:u w:val="none"/>
                <w:lang w:eastAsia="zh-CN"/>
              </w:rPr>
              <w:t>保护要求</w:t>
            </w:r>
          </w:p>
        </w:tc>
      </w:tr>
      <w:tr w14:paraId="6953FF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8" w:type="dxa"/>
            <w:vMerge w:val="restart"/>
            <w:tcBorders>
              <w:tl2br w:val="nil"/>
              <w:tr2bl w:val="nil"/>
            </w:tcBorders>
            <w:noWrap w:val="0"/>
            <w:vAlign w:val="center"/>
          </w:tcPr>
          <w:p w14:paraId="0AE667B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重要物种</w:t>
            </w:r>
          </w:p>
        </w:tc>
        <w:tc>
          <w:tcPr>
            <w:tcW w:w="1372" w:type="dxa"/>
            <w:tcBorders>
              <w:tl2br w:val="nil"/>
              <w:tr2bl w:val="nil"/>
            </w:tcBorders>
            <w:noWrap w:val="0"/>
            <w:vAlign w:val="center"/>
          </w:tcPr>
          <w:p w14:paraId="47CB6CA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重点保护野生动物</w:t>
            </w:r>
          </w:p>
        </w:tc>
        <w:tc>
          <w:tcPr>
            <w:tcW w:w="2370" w:type="dxa"/>
            <w:tcBorders>
              <w:tl2br w:val="nil"/>
              <w:tr2bl w:val="nil"/>
            </w:tcBorders>
            <w:noWrap w:val="0"/>
            <w:vAlign w:val="center"/>
          </w:tcPr>
          <w:p w14:paraId="3352148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评价区</w:t>
            </w:r>
            <w:r>
              <w:rPr>
                <w:rFonts w:hint="eastAsia"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无</w:t>
            </w: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国家级重点保护野生动物，</w:t>
            </w:r>
            <w:r>
              <w:rPr>
                <w:rFonts w:hint="eastAsia"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有</w:t>
            </w: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eastAsia="zh-CN"/>
              </w:rPr>
              <w:t>湖南省级重点保护野生动物</w:t>
            </w: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34</w:t>
            </w: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eastAsia="zh-CN"/>
              </w:rPr>
              <w:t>种</w:t>
            </w:r>
          </w:p>
        </w:tc>
        <w:tc>
          <w:tcPr>
            <w:tcW w:w="2624" w:type="dxa"/>
            <w:tcBorders>
              <w:tl2br w:val="nil"/>
              <w:tr2bl w:val="nil"/>
            </w:tcBorders>
            <w:noWrap w:val="0"/>
            <w:vAlign w:val="center"/>
          </w:tcPr>
          <w:p w14:paraId="0F05759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eastAsia="zh-CN"/>
              </w:rPr>
              <w:t>工程周边</w:t>
            </w: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区域</w:t>
            </w:r>
          </w:p>
        </w:tc>
        <w:tc>
          <w:tcPr>
            <w:tcW w:w="1382" w:type="dxa"/>
            <w:tcBorders>
              <w:tl2br w:val="nil"/>
              <w:tr2bl w:val="nil"/>
            </w:tcBorders>
            <w:noWrap w:val="0"/>
            <w:vAlign w:val="center"/>
          </w:tcPr>
          <w:p w14:paraId="65320BC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eastAsia="zh-CN"/>
              </w:rPr>
              <w:t>禁止猎捕</w:t>
            </w:r>
          </w:p>
        </w:tc>
      </w:tr>
      <w:tr w14:paraId="388CD6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8" w:type="dxa"/>
            <w:vMerge w:val="continue"/>
            <w:tcBorders>
              <w:tl2br w:val="nil"/>
              <w:tr2bl w:val="nil"/>
            </w:tcBorders>
            <w:noWrap w:val="0"/>
            <w:vAlign w:val="center"/>
          </w:tcPr>
          <w:p w14:paraId="4CEF42B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p>
        </w:tc>
        <w:tc>
          <w:tcPr>
            <w:tcW w:w="1372" w:type="dxa"/>
            <w:tcBorders>
              <w:tl2br w:val="nil"/>
              <w:tr2bl w:val="nil"/>
            </w:tcBorders>
            <w:noWrap w:val="0"/>
            <w:vAlign w:val="center"/>
          </w:tcPr>
          <w:p w14:paraId="7487623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古树名木</w:t>
            </w:r>
          </w:p>
        </w:tc>
        <w:tc>
          <w:tcPr>
            <w:tcW w:w="2370" w:type="dxa"/>
            <w:tcBorders>
              <w:tl2br w:val="nil"/>
              <w:tr2bl w:val="nil"/>
            </w:tcBorders>
            <w:noWrap w:val="0"/>
            <w:vAlign w:val="center"/>
          </w:tcPr>
          <w:p w14:paraId="282C7EF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1株香樟古树、1株银杏古树</w:t>
            </w:r>
          </w:p>
        </w:tc>
        <w:tc>
          <w:tcPr>
            <w:tcW w:w="2624" w:type="dxa"/>
            <w:tcBorders>
              <w:tl2br w:val="nil"/>
              <w:tr2bl w:val="nil"/>
            </w:tcBorders>
            <w:noWrap w:val="0"/>
            <w:vAlign w:val="center"/>
          </w:tcPr>
          <w:p w14:paraId="78C4B34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分别距离东山水库边界30m、1.8km</w:t>
            </w:r>
          </w:p>
        </w:tc>
        <w:tc>
          <w:tcPr>
            <w:tcW w:w="1382" w:type="dxa"/>
            <w:tcBorders>
              <w:tl2br w:val="nil"/>
              <w:tr2bl w:val="nil"/>
            </w:tcBorders>
            <w:noWrap w:val="0"/>
            <w:vAlign w:val="center"/>
          </w:tcPr>
          <w:p w14:paraId="128328A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原址保护、禁止砍伐</w:t>
            </w:r>
          </w:p>
        </w:tc>
      </w:tr>
      <w:tr w14:paraId="56F8DC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8" w:type="dxa"/>
            <w:vMerge w:val="restart"/>
            <w:tcBorders>
              <w:tl2br w:val="nil"/>
              <w:tr2bl w:val="nil"/>
            </w:tcBorders>
            <w:noWrap w:val="0"/>
            <w:vAlign w:val="center"/>
          </w:tcPr>
          <w:p w14:paraId="3964263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生态敏感区</w:t>
            </w:r>
          </w:p>
        </w:tc>
        <w:tc>
          <w:tcPr>
            <w:tcW w:w="1372" w:type="dxa"/>
            <w:tcBorders>
              <w:tl2br w:val="nil"/>
              <w:tr2bl w:val="nil"/>
            </w:tcBorders>
            <w:noWrap w:val="0"/>
            <w:vAlign w:val="center"/>
          </w:tcPr>
          <w:p w14:paraId="64FD241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湖南华容桃花山省级森林公园</w:t>
            </w:r>
          </w:p>
        </w:tc>
        <w:tc>
          <w:tcPr>
            <w:tcW w:w="2370" w:type="dxa"/>
            <w:tcBorders>
              <w:tl2br w:val="nil"/>
              <w:tr2bl w:val="nil"/>
            </w:tcBorders>
            <w:noWrap w:val="0"/>
            <w:vAlign w:val="center"/>
          </w:tcPr>
          <w:p w14:paraId="56B954C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森林生态系统</w:t>
            </w:r>
          </w:p>
        </w:tc>
        <w:tc>
          <w:tcPr>
            <w:tcW w:w="2624" w:type="dxa"/>
            <w:tcBorders>
              <w:tl2br w:val="nil"/>
              <w:tr2bl w:val="nil"/>
            </w:tcBorders>
            <w:noWrap w:val="0"/>
            <w:vAlign w:val="center"/>
          </w:tcPr>
          <w:p w14:paraId="7AE9D7C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项目占用一般休憩区</w:t>
            </w:r>
          </w:p>
        </w:tc>
        <w:tc>
          <w:tcPr>
            <w:tcW w:w="1382" w:type="dxa"/>
            <w:tcBorders>
              <w:tl2br w:val="nil"/>
              <w:tr2bl w:val="nil"/>
            </w:tcBorders>
            <w:noWrap w:val="0"/>
            <w:vAlign w:val="center"/>
          </w:tcPr>
          <w:p w14:paraId="6F9582C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严格控制施工范围</w:t>
            </w:r>
          </w:p>
        </w:tc>
      </w:tr>
      <w:tr w14:paraId="2D92EA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8" w:type="dxa"/>
            <w:vMerge w:val="continue"/>
            <w:tcBorders>
              <w:tl2br w:val="nil"/>
              <w:tr2bl w:val="nil"/>
            </w:tcBorders>
            <w:noWrap w:val="0"/>
            <w:vAlign w:val="center"/>
          </w:tcPr>
          <w:p w14:paraId="57F4F71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p>
        </w:tc>
        <w:tc>
          <w:tcPr>
            <w:tcW w:w="1372" w:type="dxa"/>
            <w:tcBorders>
              <w:tl2br w:val="nil"/>
              <w:tr2bl w:val="nil"/>
            </w:tcBorders>
            <w:noWrap w:val="0"/>
            <w:vAlign w:val="center"/>
          </w:tcPr>
          <w:p w14:paraId="0A05498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eastAsia="zh-CN"/>
              </w:rPr>
              <w:t>生态保护红线</w:t>
            </w:r>
          </w:p>
        </w:tc>
        <w:tc>
          <w:tcPr>
            <w:tcW w:w="2370" w:type="dxa"/>
            <w:tcBorders>
              <w:tl2br w:val="nil"/>
              <w:tr2bl w:val="nil"/>
            </w:tcBorders>
            <w:noWrap w:val="0"/>
            <w:vAlign w:val="center"/>
          </w:tcPr>
          <w:p w14:paraId="00D1F4A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eastAsia"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华容县生态保护红线</w:t>
            </w:r>
          </w:p>
        </w:tc>
        <w:tc>
          <w:tcPr>
            <w:tcW w:w="2624" w:type="dxa"/>
            <w:tcBorders>
              <w:tl2br w:val="nil"/>
              <w:tr2bl w:val="nil"/>
            </w:tcBorders>
            <w:noWrap w:val="0"/>
            <w:vAlign w:val="center"/>
          </w:tcPr>
          <w:p w14:paraId="17C1891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eastAsia"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工程压覆9.473hm</w:t>
            </w:r>
            <w:r>
              <w:rPr>
                <w:rFonts w:hint="eastAsia" w:ascii="Times New Roman" w:hAnsi="Times New Roman" w:eastAsia="宋体" w:cs="Times New Roman"/>
                <w:caps w:val="0"/>
                <w:smallCaps w:val="0"/>
                <w:color w:val="auto"/>
                <w:spacing w:val="0"/>
                <w:w w:val="100"/>
                <w:kern w:val="0"/>
                <w:position w:val="0"/>
                <w:sz w:val="21"/>
                <w:szCs w:val="21"/>
                <w:highlight w:val="none"/>
                <w:u w:val="none" w:color="auto"/>
                <w:vertAlign w:val="superscript"/>
                <w:lang w:val="en-US" w:eastAsia="zh-CN"/>
              </w:rPr>
              <w:t>2</w:t>
            </w:r>
          </w:p>
        </w:tc>
        <w:tc>
          <w:tcPr>
            <w:tcW w:w="1382" w:type="dxa"/>
            <w:tcBorders>
              <w:tl2br w:val="nil"/>
              <w:tr2bl w:val="nil"/>
            </w:tcBorders>
            <w:noWrap w:val="0"/>
            <w:vAlign w:val="center"/>
          </w:tcPr>
          <w:p w14:paraId="5DAE91E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eastAsia"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严格控制施工范围，减少占用</w:t>
            </w:r>
          </w:p>
        </w:tc>
      </w:tr>
      <w:tr w14:paraId="056518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8" w:type="dxa"/>
            <w:vMerge w:val="restart"/>
            <w:tcBorders>
              <w:tl2br w:val="nil"/>
              <w:tr2bl w:val="nil"/>
            </w:tcBorders>
            <w:noWrap w:val="0"/>
            <w:vAlign w:val="center"/>
          </w:tcPr>
          <w:p w14:paraId="53A1310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eastAsia="zh-CN"/>
              </w:rPr>
              <w:t>其他</w:t>
            </w:r>
          </w:p>
        </w:tc>
        <w:tc>
          <w:tcPr>
            <w:tcW w:w="1372" w:type="dxa"/>
            <w:tcBorders>
              <w:tl2br w:val="nil"/>
              <w:tr2bl w:val="nil"/>
            </w:tcBorders>
            <w:noWrap w:val="0"/>
            <w:vAlign w:val="center"/>
          </w:tcPr>
          <w:p w14:paraId="7712648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天然林</w:t>
            </w:r>
          </w:p>
        </w:tc>
        <w:tc>
          <w:tcPr>
            <w:tcW w:w="2370" w:type="dxa"/>
            <w:tcBorders>
              <w:tl2br w:val="nil"/>
              <w:tr2bl w:val="nil"/>
            </w:tcBorders>
            <w:noWrap w:val="0"/>
            <w:vAlign w:val="center"/>
          </w:tcPr>
          <w:p w14:paraId="7699A23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杉木、毛竹、檫木</w:t>
            </w:r>
          </w:p>
        </w:tc>
        <w:tc>
          <w:tcPr>
            <w:tcW w:w="2624" w:type="dxa"/>
            <w:tcBorders>
              <w:tl2br w:val="nil"/>
              <w:tr2bl w:val="nil"/>
            </w:tcBorders>
            <w:noWrap w:val="0"/>
            <w:vAlign w:val="center"/>
          </w:tcPr>
          <w:p w14:paraId="670D363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不占用，周边分布</w:t>
            </w:r>
          </w:p>
        </w:tc>
        <w:tc>
          <w:tcPr>
            <w:tcW w:w="1382" w:type="dxa"/>
            <w:tcBorders>
              <w:tl2br w:val="nil"/>
              <w:tr2bl w:val="nil"/>
            </w:tcBorders>
            <w:noWrap w:val="0"/>
            <w:vAlign w:val="center"/>
          </w:tcPr>
          <w:p w14:paraId="5D4A427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禁止砍伐</w:t>
            </w:r>
          </w:p>
        </w:tc>
      </w:tr>
      <w:tr w14:paraId="2E11A5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8" w:type="dxa"/>
            <w:vMerge w:val="continue"/>
            <w:tcBorders>
              <w:tl2br w:val="nil"/>
              <w:tr2bl w:val="nil"/>
            </w:tcBorders>
            <w:noWrap w:val="0"/>
            <w:vAlign w:val="center"/>
          </w:tcPr>
          <w:p w14:paraId="1187EF2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eastAsia="zh-CN"/>
              </w:rPr>
            </w:pPr>
          </w:p>
        </w:tc>
        <w:tc>
          <w:tcPr>
            <w:tcW w:w="1372" w:type="dxa"/>
            <w:tcBorders>
              <w:tl2br w:val="nil"/>
              <w:tr2bl w:val="nil"/>
            </w:tcBorders>
            <w:noWrap w:val="0"/>
            <w:vAlign w:val="center"/>
          </w:tcPr>
          <w:p w14:paraId="01032E1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eastAsia="zh-CN"/>
              </w:rPr>
              <w:t>公益林</w:t>
            </w:r>
          </w:p>
        </w:tc>
        <w:tc>
          <w:tcPr>
            <w:tcW w:w="2370" w:type="dxa"/>
            <w:tcBorders>
              <w:tl2br w:val="nil"/>
              <w:tr2bl w:val="nil"/>
            </w:tcBorders>
            <w:noWrap w:val="0"/>
            <w:vAlign w:val="center"/>
          </w:tcPr>
          <w:p w14:paraId="775EBDE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eastAsia="zh-CN"/>
              </w:rPr>
              <w:t>国家二级公益林、</w:t>
            </w: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省级公益林</w:t>
            </w:r>
          </w:p>
        </w:tc>
        <w:tc>
          <w:tcPr>
            <w:tcW w:w="2624" w:type="dxa"/>
            <w:tcBorders>
              <w:tl2br w:val="nil"/>
              <w:tr2bl w:val="nil"/>
            </w:tcBorders>
            <w:noWrap w:val="0"/>
            <w:vAlign w:val="center"/>
          </w:tcPr>
          <w:p w14:paraId="0ACC305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不占用，周边分布</w:t>
            </w:r>
          </w:p>
        </w:tc>
        <w:tc>
          <w:tcPr>
            <w:tcW w:w="1382" w:type="dxa"/>
            <w:tcBorders>
              <w:tl2br w:val="nil"/>
              <w:tr2bl w:val="nil"/>
            </w:tcBorders>
            <w:noWrap w:val="0"/>
            <w:vAlign w:val="center"/>
          </w:tcPr>
          <w:p w14:paraId="3D7B62F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rPr>
              <w:t>禁止砍伐</w:t>
            </w:r>
          </w:p>
        </w:tc>
      </w:tr>
      <w:bookmarkEnd w:id="89"/>
      <w:bookmarkEnd w:id="90"/>
      <w:bookmarkEnd w:id="91"/>
    </w:tbl>
    <w:p w14:paraId="6F68816C">
      <w:pPr>
        <w:pStyle w:val="19"/>
        <w:rPr>
          <w:rFonts w:hint="default" w:ascii="Times New Roman" w:hAnsi="Times New Roman" w:cs="Times New Roman"/>
          <w:color w:val="auto"/>
          <w:spacing w:val="0"/>
          <w:w w:val="100"/>
          <w:position w:val="0"/>
          <w:u w:val="none" w:color="auto"/>
        </w:rPr>
        <w:sectPr>
          <w:headerReference r:id="rId8" w:type="default"/>
          <w:footerReference r:id="rId9" w:type="default"/>
          <w:pgSz w:w="11906" w:h="16838"/>
          <w:pgMar w:top="1440" w:right="1803" w:bottom="1440" w:left="1803"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32C18D8">
      <w:pPr>
        <w:pStyle w:val="2"/>
        <w:bidi w:val="0"/>
        <w:rPr>
          <w:rFonts w:hint="default" w:ascii="Times New Roman" w:hAnsi="Times New Roman" w:cs="Times New Roman"/>
        </w:rPr>
      </w:pPr>
      <w:bookmarkStart w:id="92" w:name="_Toc5354"/>
      <w:r>
        <w:rPr>
          <w:rFonts w:hint="default" w:ascii="Times New Roman" w:hAnsi="Times New Roman" w:cs="Times New Roman"/>
        </w:rPr>
        <w:t>2  工程概况与工程分析</w:t>
      </w:r>
      <w:bookmarkEnd w:id="92"/>
    </w:p>
    <w:p w14:paraId="38DEB648">
      <w:pPr>
        <w:pStyle w:val="3"/>
        <w:bidi w:val="0"/>
        <w:rPr>
          <w:rFonts w:hint="default" w:ascii="Times New Roman" w:hAnsi="Times New Roman" w:cs="Times New Roman"/>
        </w:rPr>
      </w:pPr>
      <w:bookmarkStart w:id="93" w:name="_Toc12265"/>
      <w:r>
        <w:rPr>
          <w:rFonts w:hint="default" w:ascii="Times New Roman" w:hAnsi="Times New Roman" w:cs="Times New Roman"/>
          <w:lang w:eastAsia="zh-CN"/>
        </w:rPr>
        <w:t>现有</w:t>
      </w:r>
      <w:r>
        <w:rPr>
          <w:rFonts w:hint="default" w:ascii="Times New Roman" w:hAnsi="Times New Roman" w:cs="Times New Roman"/>
        </w:rPr>
        <w:t>工程概况</w:t>
      </w:r>
      <w:bookmarkEnd w:id="93"/>
    </w:p>
    <w:p w14:paraId="5016A4F5">
      <w:pPr>
        <w:pStyle w:val="4"/>
        <w:bidi w:val="0"/>
        <w:rPr>
          <w:rFonts w:hint="default" w:ascii="Times New Roman" w:hAnsi="Times New Roman" w:cs="Times New Roman"/>
          <w:lang w:val="en-US" w:eastAsia="zh-CN"/>
        </w:rPr>
      </w:pPr>
      <w:bookmarkStart w:id="94" w:name="_Toc25291"/>
      <w:r>
        <w:rPr>
          <w:rFonts w:hint="default" w:ascii="Times New Roman" w:hAnsi="Times New Roman" w:cs="Times New Roman"/>
          <w:lang w:eastAsia="zh-CN"/>
        </w:rPr>
        <w:t>东山水库总体情况</w:t>
      </w:r>
      <w:bookmarkEnd w:id="94"/>
    </w:p>
    <w:p w14:paraId="752F9703">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东山水库大坝位于华容县东山镇仙鹅寺村，枢纽座落在大荆湖水系主支流一白马港(河)的中上游，水库距华容县城25km，距S202省道3.5km。坝址地理位置坐标：东经112°44'03”，北纬29°37'03”。东山灌区设计灌溉面积3.1万亩，年供水量96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。东山水库是一座以灌溉为主，兼有防洪、供水等综合效益的水利工程。</w:t>
      </w:r>
    </w:p>
    <w:p w14:paraId="7D2A7E28">
      <w:pPr>
        <w:keepNext w:val="0"/>
        <w:keepLines w:val="0"/>
        <w:pageBreakBefore w:val="0"/>
        <w:widowControl w:val="0"/>
        <w:overflowPunct/>
        <w:autoSpaceDE/>
        <w:autoSpaceDN/>
        <w:bidi w:val="0"/>
        <w:adjustRightInd/>
        <w:snapToGrid/>
        <w:spacing w:line="360" w:lineRule="auto"/>
        <w:ind w:left="0" w:firstLine="478"/>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东山水库管理范围包括：工程区管理范围和运行区管理范围。工程区管理范围包括：工程区管理范围是指库区、大坝(含副坝)、溢洪道(含非常溢洪道)，以及输水建筑物等的管理范围。水库库区设计洪水位线以下(包括库内岛屿)，大坝背水坡脚向外水平延伸150m，大坝两端山坡自开挖线起顺坡向外延伸100m(到达分水岭不足100m的至分水岭上)，溢洪道两端自山坡开挖线(也称工程两侧轮廓线)起顺坡向外延伸200m、末端至消力池以下100m为工程区管理范围。运行区管理范围包括：指办公室、会议室、资料档案室、仓库、防汛调度室、值班室、车库、食堂、值班宿舍及其他附属设施等建(构)筑物的管理范围。</w:t>
      </w:r>
    </w:p>
    <w:p w14:paraId="103FFF1E">
      <w:pPr>
        <w:keepNext w:val="0"/>
        <w:keepLines w:val="0"/>
        <w:pageBreakBefore w:val="0"/>
        <w:widowControl w:val="0"/>
        <w:overflowPunct/>
        <w:autoSpaceDE/>
        <w:autoSpaceDN/>
        <w:bidi w:val="0"/>
        <w:adjustRightInd/>
        <w:snapToGrid/>
        <w:spacing w:line="360" w:lineRule="auto"/>
        <w:ind w:left="0" w:firstLine="478"/>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东山水库保护范围：在工程管理范围边界线上、下游外延200m，两侧外延100m。水库保护范围：坝址以上，库区两岸土地征用线以上至第一道分水岭脊线之间的陆地。枢纽区及生产区的征地范围，包括对外交通、道路桥梁、通讯线路、临近大坝的上游库区均为本工程的管理范围，在管理范围内严禁外单位进行放炮、开山等生产性活动。在管理范围边界应设置明显的标志，生活区、枢纽区的各种机修、起重、交通运行、供电、用电设备等为管理单位所拥有。</w:t>
      </w:r>
    </w:p>
    <w:p w14:paraId="2FAC342C">
      <w:pPr>
        <w:keepNext w:val="0"/>
        <w:keepLines w:val="0"/>
        <w:pageBreakBefore w:val="0"/>
        <w:widowControl w:val="0"/>
        <w:overflowPunct/>
        <w:autoSpaceDE/>
        <w:autoSpaceDN/>
        <w:bidi w:val="0"/>
        <w:adjustRightInd/>
        <w:snapToGrid/>
        <w:spacing w:line="360" w:lineRule="auto"/>
        <w:ind w:left="0" w:firstLine="478"/>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东山水库坝址控制集雨面积13.3km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，另有枯水期外引集雨面积1.19km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。正常蓄水位67.50m，正常库容960.60万m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。校核洪水标准为1000年一遇，校核洪水位68.70m，相应库容1054.50万m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，死水位48.30m，相应库容92.00万m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。东山水库属中型水库，工程等别为III等，大坝、引水和汇洪建筑物等主要建筑物为3级建筑物，次要永久性建筑物为4级。</w:t>
      </w:r>
    </w:p>
    <w:p w14:paraId="7542E56A">
      <w:pPr>
        <w:keepNext w:val="0"/>
        <w:keepLines w:val="0"/>
        <w:pageBreakBefore w:val="0"/>
        <w:widowControl w:val="0"/>
        <w:overflowPunct/>
        <w:autoSpaceDE/>
        <w:autoSpaceDN/>
        <w:bidi w:val="0"/>
        <w:adjustRightInd/>
        <w:snapToGrid/>
        <w:spacing w:line="360" w:lineRule="auto"/>
        <w:ind w:left="0" w:firstLine="478"/>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枢纽工程由大坝、溢洪道、输水涵洞等永久性建筑物组成。大坝枢纽工程于1971年12月动工兴建，1974年冬枢纽工程基本竣工并蓄水运行。运行50余年来，在灌溉农田、减免下游洪灾损失、向城镇供水(年供水96万m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 xml:space="preserve">)等方面发挥了显著效益。 </w:t>
      </w:r>
    </w:p>
    <w:p w14:paraId="6D50EBD7">
      <w:pPr>
        <w:pStyle w:val="4"/>
        <w:bidi w:val="0"/>
        <w:rPr>
          <w:rFonts w:hint="default" w:ascii="Times New Roman" w:hAnsi="Times New Roman" w:cs="Times New Roman"/>
          <w:lang w:eastAsia="zh-CN"/>
        </w:rPr>
      </w:pPr>
      <w:bookmarkStart w:id="95" w:name="_Toc27380"/>
      <w:r>
        <w:rPr>
          <w:rFonts w:hint="default" w:ascii="Times New Roman" w:hAnsi="Times New Roman" w:cs="Times New Roman"/>
          <w:lang w:eastAsia="zh-CN"/>
        </w:rPr>
        <w:t>东山水库</w:t>
      </w:r>
      <w:r>
        <w:rPr>
          <w:rFonts w:hint="default" w:ascii="Times New Roman" w:hAnsi="Times New Roman" w:cs="Times New Roman"/>
          <w:lang w:val="en-US" w:eastAsia="zh-CN"/>
        </w:rPr>
        <w:t>现状</w:t>
      </w:r>
      <w:bookmarkEnd w:id="95"/>
    </w:p>
    <w:p w14:paraId="6A49609E">
      <w:pPr>
        <w:keepNext w:val="0"/>
        <w:keepLines w:val="0"/>
        <w:pageBreakBefore w:val="0"/>
        <w:widowControl w:val="0"/>
        <w:overflowPunct/>
        <w:autoSpaceDE/>
        <w:autoSpaceDN/>
        <w:bidi w:val="0"/>
        <w:adjustRightInd/>
        <w:snapToGrid/>
        <w:spacing w:line="360" w:lineRule="auto"/>
        <w:ind w:left="0" w:firstLine="478"/>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东山水库位于华容县东山镇境内，距S202省道3.5km，距华容县城25km；水库下游人口2.5万人，水库集雨面积13.3km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，正常库容960.6万m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；枢纽工程由大坝、溢洪道、输水涵洞等建筑物组成；大坝为粘土斜墙坝，坝顶高程71.10，最大坝高26.0m，坝顶轴长627m，坝顶宽5m，正常蓄水位为67.50，总库容1054.50万m3，正常蓄水位对应库容960.6万m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，死库容92.0万m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该水库是一座以灌溉为主，兼有防洪、养殖、供水等综合效益的中型水利工程。水库交通方便，附近杭瑞高速公路、蒙华铁路通过，大坝有乡道和省道S202相连，交通条件较好，该水库为中型水库，属Ⅲ等工程，主要建筑物级别为3级，次要建筑物级别为4级。其设计洪水标准为100年一遇，校核洪水标准为1000年一遇，溢洪道消能防冲标准为30年一遇。</w:t>
      </w:r>
    </w:p>
    <w:p w14:paraId="40B9E0F9">
      <w:pPr>
        <w:keepNext w:val="0"/>
        <w:keepLines w:val="0"/>
        <w:pageBreakBefore w:val="0"/>
        <w:widowControl w:val="0"/>
        <w:overflowPunct/>
        <w:autoSpaceDE/>
        <w:autoSpaceDN/>
        <w:bidi w:val="0"/>
        <w:adjustRightInd/>
        <w:snapToGrid/>
        <w:spacing w:line="360" w:lineRule="auto"/>
        <w:ind w:left="0" w:firstLine="478"/>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东山水库</w:t>
      </w:r>
      <w:r>
        <w:rPr>
          <w:rFonts w:hint="default" w:ascii="Times New Roman" w:hAnsi="Times New Roman" w:eastAsia="宋体" w:cs="Times New Roman"/>
          <w:caps w:val="0"/>
          <w:smallCaps w:val="0"/>
          <w:color w:val="auto"/>
          <w:spacing w:val="0"/>
          <w:w w:val="100"/>
          <w:kern w:val="0"/>
          <w:position w:val="0"/>
          <w:sz w:val="24"/>
          <w:szCs w:val="24"/>
          <w:u w:val="none" w:color="auto"/>
        </w:rPr>
        <w:t>工程特性表见表2.1-</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653ED1E5">
      <w:pPr>
        <w:pageBreakBefore w:val="0"/>
        <w:kinsoku w:val="0"/>
        <w:wordWrap w:val="0"/>
        <w:overflowPunct/>
        <w:topLinePunct/>
        <w:autoSpaceDE/>
        <w:autoSpaceDN/>
        <w:bidi w:val="0"/>
        <w:adjustRightInd w:val="0"/>
        <w:spacing w:line="240" w:lineRule="auto"/>
        <w:jc w:val="center"/>
        <w:rPr>
          <w:rFonts w:hint="default" w:ascii="Times New Roman" w:hAnsi="Times New Roman" w:eastAsia="宋体" w:cs="Times New Roman"/>
          <w:b/>
          <w:caps w:val="0"/>
          <w:smallCaps w:val="0"/>
          <w:color w:val="auto"/>
          <w:spacing w:val="0"/>
          <w:w w:val="100"/>
          <w:kern w:val="0"/>
          <w:position w:val="0"/>
          <w:sz w:val="24"/>
          <w:szCs w:val="24"/>
          <w:u w:val="none" w:color="auto"/>
        </w:rPr>
      </w:pPr>
      <w:r>
        <w:rPr>
          <w:rFonts w:hint="default" w:ascii="Times New Roman" w:hAnsi="Times New Roman" w:eastAsia="宋体" w:cs="Times New Roman"/>
          <w:b/>
          <w:caps w:val="0"/>
          <w:smallCaps w:val="0"/>
          <w:color w:val="auto"/>
          <w:spacing w:val="0"/>
          <w:w w:val="100"/>
          <w:kern w:val="0"/>
          <w:position w:val="0"/>
          <w:sz w:val="24"/>
          <w:szCs w:val="24"/>
          <w:u w:val="none" w:color="auto"/>
        </w:rPr>
        <w:t>表2.1-</w:t>
      </w: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1</w:t>
      </w:r>
      <w:r>
        <w:rPr>
          <w:rFonts w:hint="default" w:ascii="Times New Roman" w:hAnsi="Times New Roman" w:eastAsia="宋体" w:cs="Times New Roman"/>
          <w:b/>
          <w:caps w:val="0"/>
          <w:smallCaps w:val="0"/>
          <w:color w:val="auto"/>
          <w:spacing w:val="0"/>
          <w:w w:val="100"/>
          <w:kern w:val="0"/>
          <w:position w:val="0"/>
          <w:sz w:val="24"/>
          <w:szCs w:val="24"/>
          <w:u w:val="none" w:color="auto"/>
        </w:rPr>
        <w:t xml:space="preserve">  </w:t>
      </w:r>
      <w:r>
        <w:rPr>
          <w:rFonts w:hint="default" w:ascii="Times New Roman" w:hAnsi="Times New Roman" w:eastAsia="宋体" w:cs="Times New Roman"/>
          <w:b/>
          <w:caps w:val="0"/>
          <w:smallCaps w:val="0"/>
          <w:color w:val="auto"/>
          <w:spacing w:val="0"/>
          <w:w w:val="100"/>
          <w:kern w:val="0"/>
          <w:position w:val="0"/>
          <w:sz w:val="24"/>
          <w:szCs w:val="24"/>
          <w:u w:val="none" w:color="auto"/>
          <w:lang w:eastAsia="zh-CN"/>
        </w:rPr>
        <w:t>东山水库</w:t>
      </w:r>
      <w:r>
        <w:rPr>
          <w:rFonts w:hint="default" w:ascii="Times New Roman" w:hAnsi="Times New Roman" w:eastAsia="宋体" w:cs="Times New Roman"/>
          <w:b/>
          <w:caps w:val="0"/>
          <w:smallCaps w:val="0"/>
          <w:color w:val="auto"/>
          <w:spacing w:val="0"/>
          <w:w w:val="100"/>
          <w:kern w:val="0"/>
          <w:position w:val="0"/>
          <w:sz w:val="24"/>
          <w:szCs w:val="24"/>
          <w:u w:val="none" w:color="auto"/>
        </w:rPr>
        <w:t>工程特性表</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65"/>
        <w:gridCol w:w="2872"/>
        <w:gridCol w:w="832"/>
        <w:gridCol w:w="1559"/>
        <w:gridCol w:w="1250"/>
        <w:gridCol w:w="1252"/>
      </w:tblGrid>
      <w:tr w14:paraId="66C6878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tblHeader/>
          <w:jc w:val="center"/>
        </w:trPr>
        <w:tc>
          <w:tcPr>
            <w:tcW w:w="567" w:type="dxa"/>
            <w:tcBorders>
              <w:tl2br w:val="nil"/>
              <w:tr2bl w:val="nil"/>
            </w:tcBorders>
            <w:vAlign w:val="center"/>
          </w:tcPr>
          <w:p w14:paraId="790598D1">
            <w:pPr>
              <w:pageBreakBefore w:val="0"/>
              <w:kinsoku w:val="0"/>
              <w:wordWrap w:val="0"/>
              <w:overflowPunct/>
              <w:topLinePunct/>
              <w:autoSpaceDE/>
              <w:autoSpaceDN/>
              <w:bidi w:val="0"/>
              <w:adjustRightInd w:val="0"/>
              <w:spacing w:line="240" w:lineRule="auto"/>
              <w:jc w:val="center"/>
              <w:rPr>
                <w:rFonts w:hint="default" w:ascii="Times New Roman" w:hAnsi="Times New Roman" w:eastAsia="宋体" w:cs="Times New Roman"/>
                <w:b/>
                <w:bCs/>
                <w:spacing w:val="0"/>
                <w:w w:val="100"/>
                <w:position w:val="0"/>
                <w:sz w:val="21"/>
                <w:szCs w:val="21"/>
              </w:rPr>
            </w:pP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b/>
                <w:bCs/>
                <w:spacing w:val="0"/>
                <w:w w:val="100"/>
                <w:position w:val="0"/>
                <w:sz w:val="21"/>
                <w:szCs w:val="21"/>
              </w:rPr>
              <w:t>序号</w:t>
            </w:r>
          </w:p>
        </w:tc>
        <w:tc>
          <w:tcPr>
            <w:tcW w:w="2885" w:type="dxa"/>
            <w:tcBorders>
              <w:tl2br w:val="nil"/>
              <w:tr2bl w:val="nil"/>
            </w:tcBorders>
            <w:vAlign w:val="center"/>
          </w:tcPr>
          <w:p w14:paraId="61F66647">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b/>
                <w:bCs/>
                <w:spacing w:val="0"/>
                <w:w w:val="100"/>
                <w:position w:val="0"/>
                <w:sz w:val="21"/>
                <w:szCs w:val="21"/>
              </w:rPr>
            </w:pPr>
            <w:r>
              <w:rPr>
                <w:rFonts w:hint="default" w:ascii="Times New Roman" w:hAnsi="Times New Roman" w:eastAsia="宋体" w:cs="Times New Roman"/>
                <w:b/>
                <w:bCs/>
                <w:spacing w:val="0"/>
                <w:w w:val="100"/>
                <w:position w:val="0"/>
                <w:sz w:val="21"/>
                <w:szCs w:val="21"/>
              </w:rPr>
              <w:t>指标名称</w:t>
            </w:r>
          </w:p>
        </w:tc>
        <w:tc>
          <w:tcPr>
            <w:tcW w:w="836" w:type="dxa"/>
            <w:tcBorders>
              <w:tl2br w:val="nil"/>
              <w:tr2bl w:val="nil"/>
            </w:tcBorders>
            <w:vAlign w:val="center"/>
          </w:tcPr>
          <w:p w14:paraId="20981DAB">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b/>
                <w:bCs/>
                <w:spacing w:val="0"/>
                <w:w w:val="100"/>
                <w:position w:val="0"/>
                <w:sz w:val="21"/>
                <w:szCs w:val="21"/>
              </w:rPr>
            </w:pPr>
            <w:r>
              <w:rPr>
                <w:rFonts w:hint="default" w:ascii="Times New Roman" w:hAnsi="Times New Roman" w:eastAsia="宋体" w:cs="Times New Roman"/>
                <w:b/>
                <w:bCs/>
                <w:spacing w:val="0"/>
                <w:w w:val="100"/>
                <w:position w:val="0"/>
                <w:sz w:val="21"/>
                <w:szCs w:val="21"/>
              </w:rPr>
              <w:t>单位</w:t>
            </w:r>
          </w:p>
        </w:tc>
        <w:tc>
          <w:tcPr>
            <w:tcW w:w="1566" w:type="dxa"/>
            <w:tcBorders>
              <w:tl2br w:val="nil"/>
              <w:tr2bl w:val="nil"/>
            </w:tcBorders>
            <w:vAlign w:val="center"/>
          </w:tcPr>
          <w:p w14:paraId="5EB4B74C">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b/>
                <w:bCs/>
                <w:spacing w:val="0"/>
                <w:w w:val="100"/>
                <w:position w:val="0"/>
                <w:sz w:val="21"/>
                <w:szCs w:val="21"/>
              </w:rPr>
            </w:pPr>
            <w:r>
              <w:rPr>
                <w:rFonts w:hint="default" w:ascii="Times New Roman" w:hAnsi="Times New Roman" w:eastAsia="宋体" w:cs="Times New Roman"/>
                <w:b/>
                <w:bCs/>
                <w:spacing w:val="0"/>
                <w:w w:val="100"/>
                <w:position w:val="0"/>
                <w:sz w:val="21"/>
                <w:szCs w:val="21"/>
              </w:rPr>
              <w:t>2020年安全鉴定</w:t>
            </w:r>
          </w:p>
        </w:tc>
        <w:tc>
          <w:tcPr>
            <w:tcW w:w="1256" w:type="dxa"/>
            <w:tcBorders>
              <w:tl2br w:val="nil"/>
              <w:tr2bl w:val="nil"/>
            </w:tcBorders>
            <w:vAlign w:val="center"/>
          </w:tcPr>
          <w:p w14:paraId="0B6F9AF0">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b/>
                <w:bCs/>
                <w:spacing w:val="0"/>
                <w:w w:val="100"/>
                <w:position w:val="0"/>
                <w:sz w:val="21"/>
                <w:szCs w:val="21"/>
              </w:rPr>
            </w:pPr>
            <w:r>
              <w:rPr>
                <w:rFonts w:hint="default" w:ascii="Times New Roman" w:hAnsi="Times New Roman" w:eastAsia="宋体" w:cs="Times New Roman"/>
                <w:b/>
                <w:bCs/>
                <w:spacing w:val="0"/>
                <w:w w:val="100"/>
                <w:position w:val="0"/>
                <w:sz w:val="21"/>
                <w:szCs w:val="21"/>
              </w:rPr>
              <w:t>本次设计</w:t>
            </w:r>
          </w:p>
        </w:tc>
        <w:tc>
          <w:tcPr>
            <w:tcW w:w="1257" w:type="dxa"/>
            <w:tcBorders>
              <w:tl2br w:val="nil"/>
              <w:tr2bl w:val="nil"/>
            </w:tcBorders>
            <w:vAlign w:val="center"/>
          </w:tcPr>
          <w:p w14:paraId="083B50FA">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b/>
                <w:bCs/>
                <w:spacing w:val="0"/>
                <w:w w:val="100"/>
                <w:position w:val="0"/>
                <w:sz w:val="21"/>
                <w:szCs w:val="21"/>
              </w:rPr>
            </w:pPr>
            <w:r>
              <w:rPr>
                <w:rFonts w:hint="default" w:ascii="Times New Roman" w:hAnsi="Times New Roman" w:eastAsia="宋体" w:cs="Times New Roman"/>
                <w:b/>
                <w:bCs/>
                <w:spacing w:val="0"/>
                <w:w w:val="100"/>
                <w:position w:val="0"/>
                <w:sz w:val="21"/>
                <w:szCs w:val="21"/>
              </w:rPr>
              <w:t>备注</w:t>
            </w:r>
          </w:p>
        </w:tc>
      </w:tr>
      <w:tr w14:paraId="2BC4B7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093C8783">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一</w:t>
            </w:r>
          </w:p>
        </w:tc>
        <w:tc>
          <w:tcPr>
            <w:tcW w:w="2885" w:type="dxa"/>
            <w:tcBorders>
              <w:tl2br w:val="nil"/>
              <w:tr2bl w:val="nil"/>
            </w:tcBorders>
            <w:vAlign w:val="center"/>
          </w:tcPr>
          <w:p w14:paraId="6C3E0FB1">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水文</w:t>
            </w:r>
          </w:p>
        </w:tc>
        <w:tc>
          <w:tcPr>
            <w:tcW w:w="836" w:type="dxa"/>
            <w:tcBorders>
              <w:tl2br w:val="nil"/>
              <w:tr2bl w:val="nil"/>
            </w:tcBorders>
            <w:vAlign w:val="center"/>
          </w:tcPr>
          <w:p w14:paraId="17E9241D">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566" w:type="dxa"/>
            <w:tcBorders>
              <w:tl2br w:val="nil"/>
              <w:tr2bl w:val="nil"/>
            </w:tcBorders>
            <w:vAlign w:val="center"/>
          </w:tcPr>
          <w:p w14:paraId="54BA020D">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6" w:type="dxa"/>
            <w:tcBorders>
              <w:tl2br w:val="nil"/>
              <w:tr2bl w:val="nil"/>
            </w:tcBorders>
            <w:vAlign w:val="center"/>
          </w:tcPr>
          <w:p w14:paraId="288D1134">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7" w:type="dxa"/>
            <w:tcBorders>
              <w:tl2br w:val="nil"/>
              <w:tr2bl w:val="nil"/>
            </w:tcBorders>
            <w:vAlign w:val="center"/>
          </w:tcPr>
          <w:p w14:paraId="270F9813">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72A42E4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56F8352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w:t>
            </w:r>
          </w:p>
        </w:tc>
        <w:tc>
          <w:tcPr>
            <w:tcW w:w="2885" w:type="dxa"/>
            <w:tcBorders>
              <w:tl2br w:val="nil"/>
              <w:tr2bl w:val="nil"/>
            </w:tcBorders>
            <w:vAlign w:val="center"/>
          </w:tcPr>
          <w:p w14:paraId="00C70C2D">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坝址控制流域面积</w:t>
            </w:r>
          </w:p>
        </w:tc>
        <w:tc>
          <w:tcPr>
            <w:tcW w:w="836" w:type="dxa"/>
            <w:tcBorders>
              <w:tl2br w:val="nil"/>
              <w:tr2bl w:val="nil"/>
            </w:tcBorders>
            <w:vAlign w:val="top"/>
          </w:tcPr>
          <w:p w14:paraId="2149A4A2">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km</w:t>
            </w:r>
            <w:r>
              <w:rPr>
                <w:rFonts w:hint="default" w:ascii="Times New Roman" w:hAnsi="Times New Roman" w:eastAsia="宋体" w:cs="Times New Roman"/>
                <w:spacing w:val="0"/>
                <w:w w:val="100"/>
                <w:position w:val="0"/>
                <w:sz w:val="21"/>
                <w:szCs w:val="21"/>
                <w:vertAlign w:val="superscript"/>
              </w:rPr>
              <w:t>2</w:t>
            </w:r>
          </w:p>
        </w:tc>
        <w:tc>
          <w:tcPr>
            <w:tcW w:w="1566" w:type="dxa"/>
            <w:tcBorders>
              <w:tl2br w:val="nil"/>
              <w:tr2bl w:val="nil"/>
            </w:tcBorders>
            <w:vAlign w:val="center"/>
          </w:tcPr>
          <w:p w14:paraId="57C1DB71">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13.3</w:t>
            </w:r>
          </w:p>
        </w:tc>
        <w:tc>
          <w:tcPr>
            <w:tcW w:w="1256" w:type="dxa"/>
            <w:tcBorders>
              <w:tl2br w:val="nil"/>
              <w:tr2bl w:val="nil"/>
            </w:tcBorders>
            <w:vAlign w:val="center"/>
          </w:tcPr>
          <w:p w14:paraId="704C8B2B">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13.3</w:t>
            </w:r>
          </w:p>
        </w:tc>
        <w:tc>
          <w:tcPr>
            <w:tcW w:w="1257" w:type="dxa"/>
            <w:tcBorders>
              <w:tl2br w:val="nil"/>
              <w:tr2bl w:val="nil"/>
            </w:tcBorders>
            <w:vAlign w:val="center"/>
          </w:tcPr>
          <w:p w14:paraId="5801E05F">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229B29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43574E5D">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2</w:t>
            </w:r>
          </w:p>
        </w:tc>
        <w:tc>
          <w:tcPr>
            <w:tcW w:w="2885" w:type="dxa"/>
            <w:tcBorders>
              <w:tl2br w:val="nil"/>
              <w:tr2bl w:val="nil"/>
            </w:tcBorders>
            <w:vAlign w:val="center"/>
          </w:tcPr>
          <w:p w14:paraId="5B50B2D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外引集雨面积</w:t>
            </w:r>
          </w:p>
        </w:tc>
        <w:tc>
          <w:tcPr>
            <w:tcW w:w="836" w:type="dxa"/>
            <w:tcBorders>
              <w:tl2br w:val="nil"/>
              <w:tr2bl w:val="nil"/>
            </w:tcBorders>
            <w:vAlign w:val="top"/>
          </w:tcPr>
          <w:p w14:paraId="291C79A2">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km</w:t>
            </w:r>
            <w:r>
              <w:rPr>
                <w:rFonts w:hint="default" w:ascii="Times New Roman" w:hAnsi="Times New Roman" w:eastAsia="宋体" w:cs="Times New Roman"/>
                <w:spacing w:val="0"/>
                <w:w w:val="100"/>
                <w:position w:val="0"/>
                <w:sz w:val="21"/>
                <w:szCs w:val="21"/>
                <w:vertAlign w:val="superscript"/>
              </w:rPr>
              <w:t>2</w:t>
            </w:r>
          </w:p>
        </w:tc>
        <w:tc>
          <w:tcPr>
            <w:tcW w:w="1566" w:type="dxa"/>
            <w:tcBorders>
              <w:tl2br w:val="nil"/>
              <w:tr2bl w:val="nil"/>
            </w:tcBorders>
            <w:vAlign w:val="center"/>
          </w:tcPr>
          <w:p w14:paraId="6E5E7F7E">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1.19</w:t>
            </w:r>
          </w:p>
        </w:tc>
        <w:tc>
          <w:tcPr>
            <w:tcW w:w="1256" w:type="dxa"/>
            <w:tcBorders>
              <w:tl2br w:val="nil"/>
              <w:tr2bl w:val="nil"/>
            </w:tcBorders>
            <w:vAlign w:val="center"/>
          </w:tcPr>
          <w:p w14:paraId="1123DDF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1.19</w:t>
            </w:r>
          </w:p>
        </w:tc>
        <w:tc>
          <w:tcPr>
            <w:tcW w:w="1257" w:type="dxa"/>
            <w:tcBorders>
              <w:tl2br w:val="nil"/>
              <w:tr2bl w:val="nil"/>
            </w:tcBorders>
            <w:vAlign w:val="center"/>
          </w:tcPr>
          <w:p w14:paraId="1B62E1C1">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3BE1CE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20FB8202">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3</w:t>
            </w:r>
          </w:p>
        </w:tc>
        <w:tc>
          <w:tcPr>
            <w:tcW w:w="2885" w:type="dxa"/>
            <w:tcBorders>
              <w:tl2br w:val="nil"/>
              <w:tr2bl w:val="nil"/>
            </w:tcBorders>
            <w:vAlign w:val="center"/>
          </w:tcPr>
          <w:p w14:paraId="54D9CA74">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坝址以上干流长度</w:t>
            </w:r>
          </w:p>
        </w:tc>
        <w:tc>
          <w:tcPr>
            <w:tcW w:w="836" w:type="dxa"/>
            <w:tcBorders>
              <w:tl2br w:val="nil"/>
              <w:tr2bl w:val="nil"/>
            </w:tcBorders>
            <w:vAlign w:val="top"/>
          </w:tcPr>
          <w:p w14:paraId="6E5D792E">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km</w:t>
            </w:r>
          </w:p>
        </w:tc>
        <w:tc>
          <w:tcPr>
            <w:tcW w:w="1566" w:type="dxa"/>
            <w:tcBorders>
              <w:tl2br w:val="nil"/>
              <w:tr2bl w:val="nil"/>
            </w:tcBorders>
            <w:vAlign w:val="center"/>
          </w:tcPr>
          <w:p w14:paraId="5F8B417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5.28</w:t>
            </w:r>
          </w:p>
        </w:tc>
        <w:tc>
          <w:tcPr>
            <w:tcW w:w="1256" w:type="dxa"/>
            <w:tcBorders>
              <w:tl2br w:val="nil"/>
              <w:tr2bl w:val="nil"/>
            </w:tcBorders>
            <w:vAlign w:val="center"/>
          </w:tcPr>
          <w:p w14:paraId="7D6C6704">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5.28</w:t>
            </w:r>
          </w:p>
        </w:tc>
        <w:tc>
          <w:tcPr>
            <w:tcW w:w="1257" w:type="dxa"/>
            <w:tcBorders>
              <w:tl2br w:val="nil"/>
              <w:tr2bl w:val="nil"/>
            </w:tcBorders>
            <w:vAlign w:val="center"/>
          </w:tcPr>
          <w:p w14:paraId="5D3EDBAD">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1CD6C40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5BD2D81C">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4</w:t>
            </w:r>
          </w:p>
        </w:tc>
        <w:tc>
          <w:tcPr>
            <w:tcW w:w="2885" w:type="dxa"/>
            <w:tcBorders>
              <w:tl2br w:val="nil"/>
              <w:tr2bl w:val="nil"/>
            </w:tcBorders>
            <w:vAlign w:val="center"/>
          </w:tcPr>
          <w:p w14:paraId="014D4FC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干流平均坡降</w:t>
            </w:r>
          </w:p>
        </w:tc>
        <w:tc>
          <w:tcPr>
            <w:tcW w:w="836" w:type="dxa"/>
            <w:tcBorders>
              <w:tl2br w:val="nil"/>
              <w:tr2bl w:val="nil"/>
            </w:tcBorders>
            <w:vAlign w:val="top"/>
          </w:tcPr>
          <w:p w14:paraId="5F05B4B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w:t>
            </w:r>
          </w:p>
        </w:tc>
        <w:tc>
          <w:tcPr>
            <w:tcW w:w="1566" w:type="dxa"/>
            <w:tcBorders>
              <w:tl2br w:val="nil"/>
              <w:tr2bl w:val="nil"/>
            </w:tcBorders>
            <w:vAlign w:val="center"/>
          </w:tcPr>
          <w:p w14:paraId="6885789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43.1</w:t>
            </w:r>
          </w:p>
        </w:tc>
        <w:tc>
          <w:tcPr>
            <w:tcW w:w="1256" w:type="dxa"/>
            <w:tcBorders>
              <w:tl2br w:val="nil"/>
              <w:tr2bl w:val="nil"/>
            </w:tcBorders>
            <w:vAlign w:val="center"/>
          </w:tcPr>
          <w:p w14:paraId="4112C68D">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43.1</w:t>
            </w:r>
          </w:p>
        </w:tc>
        <w:tc>
          <w:tcPr>
            <w:tcW w:w="1257" w:type="dxa"/>
            <w:tcBorders>
              <w:tl2br w:val="nil"/>
              <w:tr2bl w:val="nil"/>
            </w:tcBorders>
            <w:vAlign w:val="center"/>
          </w:tcPr>
          <w:p w14:paraId="134A8244">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6BAAC91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05707EC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二</w:t>
            </w:r>
          </w:p>
        </w:tc>
        <w:tc>
          <w:tcPr>
            <w:tcW w:w="2885" w:type="dxa"/>
            <w:tcBorders>
              <w:tl2br w:val="nil"/>
              <w:tr2bl w:val="nil"/>
            </w:tcBorders>
            <w:vAlign w:val="center"/>
          </w:tcPr>
          <w:p w14:paraId="0748CF9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水库</w:t>
            </w:r>
          </w:p>
        </w:tc>
        <w:tc>
          <w:tcPr>
            <w:tcW w:w="836" w:type="dxa"/>
            <w:tcBorders>
              <w:tl2br w:val="nil"/>
              <w:tr2bl w:val="nil"/>
            </w:tcBorders>
            <w:vAlign w:val="top"/>
          </w:tcPr>
          <w:p w14:paraId="6AA28351">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566" w:type="dxa"/>
            <w:tcBorders>
              <w:tl2br w:val="nil"/>
              <w:tr2bl w:val="nil"/>
            </w:tcBorders>
            <w:vAlign w:val="center"/>
          </w:tcPr>
          <w:p w14:paraId="32D0C1C5">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6" w:type="dxa"/>
            <w:tcBorders>
              <w:tl2br w:val="nil"/>
              <w:tr2bl w:val="nil"/>
            </w:tcBorders>
            <w:vAlign w:val="center"/>
          </w:tcPr>
          <w:p w14:paraId="3C28E903">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7" w:type="dxa"/>
            <w:tcBorders>
              <w:tl2br w:val="nil"/>
              <w:tr2bl w:val="nil"/>
            </w:tcBorders>
            <w:vAlign w:val="center"/>
          </w:tcPr>
          <w:p w14:paraId="20F700A2">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5534A0F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3AA271D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w:t>
            </w:r>
          </w:p>
        </w:tc>
        <w:tc>
          <w:tcPr>
            <w:tcW w:w="2885" w:type="dxa"/>
            <w:tcBorders>
              <w:tl2br w:val="nil"/>
              <w:tr2bl w:val="nil"/>
            </w:tcBorders>
            <w:vAlign w:val="center"/>
          </w:tcPr>
          <w:p w14:paraId="756E13E4">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水库水位</w:t>
            </w:r>
          </w:p>
        </w:tc>
        <w:tc>
          <w:tcPr>
            <w:tcW w:w="836" w:type="dxa"/>
            <w:tcBorders>
              <w:tl2br w:val="nil"/>
              <w:tr2bl w:val="nil"/>
            </w:tcBorders>
            <w:vAlign w:val="top"/>
          </w:tcPr>
          <w:p w14:paraId="61227271">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566" w:type="dxa"/>
            <w:tcBorders>
              <w:tl2br w:val="nil"/>
              <w:tr2bl w:val="nil"/>
            </w:tcBorders>
            <w:vAlign w:val="center"/>
          </w:tcPr>
          <w:p w14:paraId="5EA63E43">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6" w:type="dxa"/>
            <w:tcBorders>
              <w:tl2br w:val="nil"/>
              <w:tr2bl w:val="nil"/>
            </w:tcBorders>
            <w:vAlign w:val="center"/>
          </w:tcPr>
          <w:p w14:paraId="5810604C">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7" w:type="dxa"/>
            <w:tcBorders>
              <w:tl2br w:val="nil"/>
              <w:tr2bl w:val="nil"/>
            </w:tcBorders>
            <w:vAlign w:val="center"/>
          </w:tcPr>
          <w:p w14:paraId="309F1DBE">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16BB8F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6651033D">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0279BFD2">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正常蓄水位</w:t>
            </w:r>
          </w:p>
        </w:tc>
        <w:tc>
          <w:tcPr>
            <w:tcW w:w="836" w:type="dxa"/>
            <w:tcBorders>
              <w:tl2br w:val="nil"/>
              <w:tr2bl w:val="nil"/>
            </w:tcBorders>
            <w:vAlign w:val="top"/>
          </w:tcPr>
          <w:p w14:paraId="59D6CCD1">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48BAE39D">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67.50</w:t>
            </w:r>
          </w:p>
        </w:tc>
        <w:tc>
          <w:tcPr>
            <w:tcW w:w="1256" w:type="dxa"/>
            <w:tcBorders>
              <w:tl2br w:val="nil"/>
              <w:tr2bl w:val="nil"/>
            </w:tcBorders>
            <w:vAlign w:val="center"/>
          </w:tcPr>
          <w:p w14:paraId="3BD297DE">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67.50</w:t>
            </w:r>
          </w:p>
        </w:tc>
        <w:tc>
          <w:tcPr>
            <w:tcW w:w="1257" w:type="dxa"/>
            <w:tcBorders>
              <w:tl2br w:val="nil"/>
              <w:tr2bl w:val="nil"/>
            </w:tcBorders>
            <w:vAlign w:val="center"/>
          </w:tcPr>
          <w:p w14:paraId="51F46FDF">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294E34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6C16D536">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070558D1">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设计洪水位</w:t>
            </w:r>
          </w:p>
        </w:tc>
        <w:tc>
          <w:tcPr>
            <w:tcW w:w="836" w:type="dxa"/>
            <w:tcBorders>
              <w:tl2br w:val="nil"/>
              <w:tr2bl w:val="nil"/>
            </w:tcBorders>
            <w:vAlign w:val="top"/>
          </w:tcPr>
          <w:p w14:paraId="78FCA5C9">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16297A5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68.33</w:t>
            </w:r>
          </w:p>
        </w:tc>
        <w:tc>
          <w:tcPr>
            <w:tcW w:w="1256" w:type="dxa"/>
            <w:tcBorders>
              <w:tl2br w:val="nil"/>
              <w:tr2bl w:val="nil"/>
            </w:tcBorders>
            <w:vAlign w:val="center"/>
          </w:tcPr>
          <w:p w14:paraId="4DA156BA">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68.38</w:t>
            </w:r>
          </w:p>
        </w:tc>
        <w:tc>
          <w:tcPr>
            <w:tcW w:w="1257" w:type="dxa"/>
            <w:tcBorders>
              <w:tl2br w:val="nil"/>
              <w:tr2bl w:val="nil"/>
            </w:tcBorders>
            <w:vAlign w:val="center"/>
          </w:tcPr>
          <w:p w14:paraId="501881A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（P=1%）</w:t>
            </w:r>
          </w:p>
        </w:tc>
      </w:tr>
      <w:tr w14:paraId="2B33BB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7BE94136">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72E2F5A1">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校核洪水位</w:t>
            </w:r>
          </w:p>
        </w:tc>
        <w:tc>
          <w:tcPr>
            <w:tcW w:w="836" w:type="dxa"/>
            <w:tcBorders>
              <w:tl2br w:val="nil"/>
              <w:tr2bl w:val="nil"/>
            </w:tcBorders>
            <w:vAlign w:val="top"/>
          </w:tcPr>
          <w:p w14:paraId="7C08DC83">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0641DFD7">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68.49</w:t>
            </w:r>
          </w:p>
        </w:tc>
        <w:tc>
          <w:tcPr>
            <w:tcW w:w="1256" w:type="dxa"/>
            <w:tcBorders>
              <w:tl2br w:val="nil"/>
              <w:tr2bl w:val="nil"/>
            </w:tcBorders>
            <w:vAlign w:val="center"/>
          </w:tcPr>
          <w:p w14:paraId="4A8869FE">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68.70</w:t>
            </w:r>
          </w:p>
        </w:tc>
        <w:tc>
          <w:tcPr>
            <w:tcW w:w="1257" w:type="dxa"/>
            <w:tcBorders>
              <w:tl2br w:val="nil"/>
              <w:tr2bl w:val="nil"/>
            </w:tcBorders>
            <w:vAlign w:val="center"/>
          </w:tcPr>
          <w:p w14:paraId="0000772A">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（P=0.1%）</w:t>
            </w:r>
          </w:p>
        </w:tc>
      </w:tr>
      <w:tr w14:paraId="1385E25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0B628F70">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26D5E90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死水位</w:t>
            </w:r>
          </w:p>
        </w:tc>
        <w:tc>
          <w:tcPr>
            <w:tcW w:w="836" w:type="dxa"/>
            <w:tcBorders>
              <w:tl2br w:val="nil"/>
              <w:tr2bl w:val="nil"/>
            </w:tcBorders>
            <w:vAlign w:val="top"/>
          </w:tcPr>
          <w:p w14:paraId="3C7E1C94">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714F0AD3">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48.30</w:t>
            </w:r>
          </w:p>
        </w:tc>
        <w:tc>
          <w:tcPr>
            <w:tcW w:w="1256" w:type="dxa"/>
            <w:tcBorders>
              <w:tl2br w:val="nil"/>
              <w:tr2bl w:val="nil"/>
            </w:tcBorders>
            <w:vAlign w:val="center"/>
          </w:tcPr>
          <w:p w14:paraId="603B935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48.30</w:t>
            </w:r>
          </w:p>
        </w:tc>
        <w:tc>
          <w:tcPr>
            <w:tcW w:w="1257" w:type="dxa"/>
            <w:tcBorders>
              <w:tl2br w:val="nil"/>
              <w:tr2bl w:val="nil"/>
            </w:tcBorders>
            <w:vAlign w:val="center"/>
          </w:tcPr>
          <w:p w14:paraId="4B460239">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6D2821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75BDD14D">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2</w:t>
            </w:r>
          </w:p>
        </w:tc>
        <w:tc>
          <w:tcPr>
            <w:tcW w:w="2885" w:type="dxa"/>
            <w:tcBorders>
              <w:tl2br w:val="nil"/>
              <w:tr2bl w:val="nil"/>
            </w:tcBorders>
            <w:vAlign w:val="center"/>
          </w:tcPr>
          <w:p w14:paraId="3E35C1E3">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库容</w:t>
            </w:r>
          </w:p>
        </w:tc>
        <w:tc>
          <w:tcPr>
            <w:tcW w:w="836" w:type="dxa"/>
            <w:tcBorders>
              <w:tl2br w:val="nil"/>
              <w:tr2bl w:val="nil"/>
            </w:tcBorders>
            <w:vAlign w:val="center"/>
          </w:tcPr>
          <w:p w14:paraId="22479914">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566" w:type="dxa"/>
            <w:tcBorders>
              <w:tl2br w:val="nil"/>
              <w:tr2bl w:val="nil"/>
            </w:tcBorders>
            <w:vAlign w:val="center"/>
          </w:tcPr>
          <w:p w14:paraId="2DE47588">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6" w:type="dxa"/>
            <w:tcBorders>
              <w:tl2br w:val="nil"/>
              <w:tr2bl w:val="nil"/>
            </w:tcBorders>
            <w:vAlign w:val="center"/>
          </w:tcPr>
          <w:p w14:paraId="6D0261F4">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7" w:type="dxa"/>
            <w:tcBorders>
              <w:tl2br w:val="nil"/>
              <w:tr2bl w:val="nil"/>
            </w:tcBorders>
            <w:vAlign w:val="center"/>
          </w:tcPr>
          <w:p w14:paraId="4D2205D1">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5EA56C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5E344058">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6BAD1B14">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总库容（校核洪水位以下）</w:t>
            </w:r>
          </w:p>
        </w:tc>
        <w:tc>
          <w:tcPr>
            <w:tcW w:w="836" w:type="dxa"/>
            <w:tcBorders>
              <w:tl2br w:val="nil"/>
              <w:tr2bl w:val="nil"/>
            </w:tcBorders>
            <w:vAlign w:val="center"/>
          </w:tcPr>
          <w:p w14:paraId="3CD5661E">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万m</w:t>
            </w:r>
            <w:r>
              <w:rPr>
                <w:rFonts w:hint="default" w:ascii="Times New Roman" w:hAnsi="Times New Roman" w:eastAsia="宋体" w:cs="Times New Roman"/>
                <w:spacing w:val="0"/>
                <w:w w:val="100"/>
                <w:position w:val="0"/>
                <w:sz w:val="21"/>
                <w:szCs w:val="21"/>
                <w:vertAlign w:val="superscript"/>
              </w:rPr>
              <w:t>3</w:t>
            </w:r>
          </w:p>
        </w:tc>
        <w:tc>
          <w:tcPr>
            <w:tcW w:w="1566" w:type="dxa"/>
            <w:tcBorders>
              <w:tl2br w:val="nil"/>
              <w:tr2bl w:val="nil"/>
            </w:tcBorders>
            <w:vAlign w:val="center"/>
          </w:tcPr>
          <w:p w14:paraId="006B18FA">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1045.0</w:t>
            </w:r>
          </w:p>
        </w:tc>
        <w:tc>
          <w:tcPr>
            <w:tcW w:w="1256" w:type="dxa"/>
            <w:tcBorders>
              <w:tl2br w:val="nil"/>
              <w:tr2bl w:val="nil"/>
            </w:tcBorders>
            <w:vAlign w:val="center"/>
          </w:tcPr>
          <w:p w14:paraId="1B0E5DC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1054.50</w:t>
            </w:r>
          </w:p>
        </w:tc>
        <w:tc>
          <w:tcPr>
            <w:tcW w:w="1257" w:type="dxa"/>
            <w:tcBorders>
              <w:tl2br w:val="nil"/>
              <w:tr2bl w:val="nil"/>
            </w:tcBorders>
            <w:vAlign w:val="center"/>
          </w:tcPr>
          <w:p w14:paraId="2B2109F9">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7BA884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03209F77">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4A1CA7F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正常库容</w:t>
            </w:r>
          </w:p>
        </w:tc>
        <w:tc>
          <w:tcPr>
            <w:tcW w:w="836" w:type="dxa"/>
            <w:tcBorders>
              <w:tl2br w:val="nil"/>
              <w:tr2bl w:val="nil"/>
            </w:tcBorders>
            <w:vAlign w:val="center"/>
          </w:tcPr>
          <w:p w14:paraId="0B68B624">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万m</w:t>
            </w:r>
            <w:r>
              <w:rPr>
                <w:rFonts w:hint="default" w:ascii="Times New Roman" w:hAnsi="Times New Roman" w:eastAsia="宋体" w:cs="Times New Roman"/>
                <w:spacing w:val="0"/>
                <w:w w:val="100"/>
                <w:position w:val="0"/>
                <w:sz w:val="21"/>
                <w:szCs w:val="21"/>
                <w:vertAlign w:val="superscript"/>
              </w:rPr>
              <w:t>3</w:t>
            </w:r>
          </w:p>
        </w:tc>
        <w:tc>
          <w:tcPr>
            <w:tcW w:w="1566" w:type="dxa"/>
            <w:tcBorders>
              <w:tl2br w:val="nil"/>
              <w:tr2bl w:val="nil"/>
            </w:tcBorders>
            <w:vAlign w:val="center"/>
          </w:tcPr>
          <w:p w14:paraId="00E4D9B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960.60</w:t>
            </w:r>
          </w:p>
        </w:tc>
        <w:tc>
          <w:tcPr>
            <w:tcW w:w="1256" w:type="dxa"/>
            <w:tcBorders>
              <w:tl2br w:val="nil"/>
              <w:tr2bl w:val="nil"/>
            </w:tcBorders>
            <w:vAlign w:val="center"/>
          </w:tcPr>
          <w:p w14:paraId="7D04C8B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960.60</w:t>
            </w:r>
          </w:p>
        </w:tc>
        <w:tc>
          <w:tcPr>
            <w:tcW w:w="1257" w:type="dxa"/>
            <w:tcBorders>
              <w:tl2br w:val="nil"/>
              <w:tr2bl w:val="nil"/>
            </w:tcBorders>
            <w:vAlign w:val="center"/>
          </w:tcPr>
          <w:p w14:paraId="5781AAE9">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14E2CD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43A3513F">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50BE43EE">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死库容</w:t>
            </w:r>
          </w:p>
        </w:tc>
        <w:tc>
          <w:tcPr>
            <w:tcW w:w="836" w:type="dxa"/>
            <w:tcBorders>
              <w:tl2br w:val="nil"/>
              <w:tr2bl w:val="nil"/>
            </w:tcBorders>
            <w:vAlign w:val="center"/>
          </w:tcPr>
          <w:p w14:paraId="442F65BB">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万m</w:t>
            </w:r>
            <w:r>
              <w:rPr>
                <w:rFonts w:hint="default" w:ascii="Times New Roman" w:hAnsi="Times New Roman" w:eastAsia="宋体" w:cs="Times New Roman"/>
                <w:spacing w:val="0"/>
                <w:w w:val="100"/>
                <w:position w:val="0"/>
                <w:sz w:val="21"/>
                <w:szCs w:val="21"/>
                <w:vertAlign w:val="superscript"/>
              </w:rPr>
              <w:t>3</w:t>
            </w:r>
          </w:p>
        </w:tc>
        <w:tc>
          <w:tcPr>
            <w:tcW w:w="1566" w:type="dxa"/>
            <w:tcBorders>
              <w:tl2br w:val="nil"/>
              <w:tr2bl w:val="nil"/>
            </w:tcBorders>
            <w:vAlign w:val="center"/>
          </w:tcPr>
          <w:p w14:paraId="4DD51F40">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92.0</w:t>
            </w:r>
          </w:p>
        </w:tc>
        <w:tc>
          <w:tcPr>
            <w:tcW w:w="1256" w:type="dxa"/>
            <w:tcBorders>
              <w:tl2br w:val="nil"/>
              <w:tr2bl w:val="nil"/>
            </w:tcBorders>
            <w:vAlign w:val="center"/>
          </w:tcPr>
          <w:p w14:paraId="32287EAE">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92.0</w:t>
            </w:r>
          </w:p>
        </w:tc>
        <w:tc>
          <w:tcPr>
            <w:tcW w:w="1257" w:type="dxa"/>
            <w:tcBorders>
              <w:tl2br w:val="nil"/>
              <w:tr2bl w:val="nil"/>
            </w:tcBorders>
            <w:vAlign w:val="center"/>
          </w:tcPr>
          <w:p w14:paraId="05A9DA0F">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3D6692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68989E72">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三</w:t>
            </w:r>
          </w:p>
        </w:tc>
        <w:tc>
          <w:tcPr>
            <w:tcW w:w="2885" w:type="dxa"/>
            <w:tcBorders>
              <w:tl2br w:val="nil"/>
              <w:tr2bl w:val="nil"/>
            </w:tcBorders>
            <w:vAlign w:val="center"/>
          </w:tcPr>
          <w:p w14:paraId="1684E8A2">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洪水</w:t>
            </w:r>
          </w:p>
        </w:tc>
        <w:tc>
          <w:tcPr>
            <w:tcW w:w="836" w:type="dxa"/>
            <w:tcBorders>
              <w:tl2br w:val="nil"/>
              <w:tr2bl w:val="nil"/>
            </w:tcBorders>
            <w:vAlign w:val="center"/>
          </w:tcPr>
          <w:p w14:paraId="170B59E9">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566" w:type="dxa"/>
            <w:tcBorders>
              <w:tl2br w:val="nil"/>
              <w:tr2bl w:val="nil"/>
            </w:tcBorders>
            <w:vAlign w:val="center"/>
          </w:tcPr>
          <w:p w14:paraId="0153FFC9">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6" w:type="dxa"/>
            <w:tcBorders>
              <w:tl2br w:val="nil"/>
              <w:tr2bl w:val="nil"/>
            </w:tcBorders>
            <w:vAlign w:val="center"/>
          </w:tcPr>
          <w:p w14:paraId="48EA55AA">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7" w:type="dxa"/>
            <w:tcBorders>
              <w:tl2br w:val="nil"/>
              <w:tr2bl w:val="nil"/>
            </w:tcBorders>
            <w:vAlign w:val="center"/>
          </w:tcPr>
          <w:p w14:paraId="1675CFBE">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0EFDAF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0AE3D558">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w:t>
            </w:r>
          </w:p>
        </w:tc>
        <w:tc>
          <w:tcPr>
            <w:tcW w:w="2885" w:type="dxa"/>
            <w:tcBorders>
              <w:tl2br w:val="nil"/>
              <w:tr2bl w:val="nil"/>
            </w:tcBorders>
            <w:vAlign w:val="center"/>
          </w:tcPr>
          <w:p w14:paraId="23DB47F7">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设计洪峰流量（P=1％）</w:t>
            </w:r>
          </w:p>
        </w:tc>
        <w:tc>
          <w:tcPr>
            <w:tcW w:w="836" w:type="dxa"/>
            <w:tcBorders>
              <w:tl2br w:val="nil"/>
              <w:tr2bl w:val="nil"/>
            </w:tcBorders>
            <w:vAlign w:val="center"/>
          </w:tcPr>
          <w:p w14:paraId="5C39D093">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r>
              <w:rPr>
                <w:rFonts w:hint="default" w:ascii="Times New Roman" w:hAnsi="Times New Roman" w:eastAsia="宋体" w:cs="Times New Roman"/>
                <w:spacing w:val="0"/>
                <w:w w:val="100"/>
                <w:position w:val="0"/>
                <w:sz w:val="21"/>
                <w:szCs w:val="21"/>
                <w:vertAlign w:val="superscript"/>
              </w:rPr>
              <w:t>3</w:t>
            </w:r>
            <w:r>
              <w:rPr>
                <w:rFonts w:hint="default" w:ascii="Times New Roman" w:hAnsi="Times New Roman" w:eastAsia="宋体" w:cs="Times New Roman"/>
                <w:spacing w:val="0"/>
                <w:w w:val="100"/>
                <w:position w:val="0"/>
                <w:sz w:val="21"/>
                <w:szCs w:val="21"/>
              </w:rPr>
              <w:t>/s</w:t>
            </w:r>
          </w:p>
        </w:tc>
        <w:tc>
          <w:tcPr>
            <w:tcW w:w="1566" w:type="dxa"/>
            <w:tcBorders>
              <w:tl2br w:val="nil"/>
              <w:tr2bl w:val="nil"/>
            </w:tcBorders>
            <w:vAlign w:val="center"/>
          </w:tcPr>
          <w:p w14:paraId="1F42426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119.70</w:t>
            </w:r>
          </w:p>
        </w:tc>
        <w:tc>
          <w:tcPr>
            <w:tcW w:w="1256" w:type="dxa"/>
            <w:tcBorders>
              <w:tl2br w:val="nil"/>
              <w:tr2bl w:val="nil"/>
            </w:tcBorders>
            <w:vAlign w:val="center"/>
          </w:tcPr>
          <w:p w14:paraId="521E76D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124.0</w:t>
            </w:r>
          </w:p>
        </w:tc>
        <w:tc>
          <w:tcPr>
            <w:tcW w:w="1257" w:type="dxa"/>
            <w:tcBorders>
              <w:tl2br w:val="nil"/>
              <w:tr2bl w:val="nil"/>
            </w:tcBorders>
            <w:vAlign w:val="center"/>
          </w:tcPr>
          <w:p w14:paraId="6890E72C">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6A5567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1F8D48F5">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17E7B2C9">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24h洪量（P=1％）</w:t>
            </w:r>
          </w:p>
        </w:tc>
        <w:tc>
          <w:tcPr>
            <w:tcW w:w="836" w:type="dxa"/>
            <w:tcBorders>
              <w:tl2br w:val="nil"/>
              <w:tr2bl w:val="nil"/>
            </w:tcBorders>
            <w:vAlign w:val="center"/>
          </w:tcPr>
          <w:p w14:paraId="5D5693A3">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万m</w:t>
            </w:r>
            <w:r>
              <w:rPr>
                <w:rFonts w:hint="default" w:ascii="Times New Roman" w:hAnsi="Times New Roman" w:eastAsia="宋体" w:cs="Times New Roman"/>
                <w:spacing w:val="0"/>
                <w:w w:val="100"/>
                <w:position w:val="0"/>
                <w:sz w:val="21"/>
                <w:szCs w:val="21"/>
                <w:vertAlign w:val="superscript"/>
              </w:rPr>
              <w:t>3</w:t>
            </w:r>
          </w:p>
        </w:tc>
        <w:tc>
          <w:tcPr>
            <w:tcW w:w="1566" w:type="dxa"/>
            <w:tcBorders>
              <w:tl2br w:val="nil"/>
              <w:tr2bl w:val="nil"/>
            </w:tcBorders>
            <w:vAlign w:val="center"/>
          </w:tcPr>
          <w:p w14:paraId="4E867EB1">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6" w:type="dxa"/>
            <w:tcBorders>
              <w:tl2br w:val="nil"/>
              <w:tr2bl w:val="nil"/>
            </w:tcBorders>
            <w:vAlign w:val="center"/>
          </w:tcPr>
          <w:p w14:paraId="6BC3A43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244</w:t>
            </w:r>
          </w:p>
        </w:tc>
        <w:tc>
          <w:tcPr>
            <w:tcW w:w="1257" w:type="dxa"/>
            <w:tcBorders>
              <w:tl2br w:val="nil"/>
              <w:tr2bl w:val="nil"/>
            </w:tcBorders>
            <w:vAlign w:val="center"/>
          </w:tcPr>
          <w:p w14:paraId="795209CE">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47776D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12CD5D23">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1C24F38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设计下泄流量</w:t>
            </w:r>
          </w:p>
        </w:tc>
        <w:tc>
          <w:tcPr>
            <w:tcW w:w="836" w:type="dxa"/>
            <w:tcBorders>
              <w:tl2br w:val="nil"/>
              <w:tr2bl w:val="nil"/>
            </w:tcBorders>
            <w:vAlign w:val="center"/>
          </w:tcPr>
          <w:p w14:paraId="3B426F0D">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m3/s</w:t>
            </w:r>
          </w:p>
        </w:tc>
        <w:tc>
          <w:tcPr>
            <w:tcW w:w="1566" w:type="dxa"/>
            <w:tcBorders>
              <w:tl2br w:val="nil"/>
              <w:tr2bl w:val="nil"/>
            </w:tcBorders>
            <w:vAlign w:val="center"/>
          </w:tcPr>
          <w:p w14:paraId="6ABAC5ED">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62.73</w:t>
            </w:r>
          </w:p>
        </w:tc>
        <w:tc>
          <w:tcPr>
            <w:tcW w:w="1256" w:type="dxa"/>
            <w:tcBorders>
              <w:tl2br w:val="nil"/>
              <w:tr2bl w:val="nil"/>
            </w:tcBorders>
            <w:vAlign w:val="center"/>
          </w:tcPr>
          <w:p w14:paraId="239BB89B">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54.0</w:t>
            </w:r>
          </w:p>
        </w:tc>
        <w:tc>
          <w:tcPr>
            <w:tcW w:w="1257" w:type="dxa"/>
            <w:tcBorders>
              <w:tl2br w:val="nil"/>
              <w:tr2bl w:val="nil"/>
            </w:tcBorders>
            <w:vAlign w:val="center"/>
          </w:tcPr>
          <w:p w14:paraId="0C0423DD">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79FE50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12CBD1B9">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2</w:t>
            </w:r>
          </w:p>
        </w:tc>
        <w:tc>
          <w:tcPr>
            <w:tcW w:w="2885" w:type="dxa"/>
            <w:tcBorders>
              <w:tl2br w:val="nil"/>
              <w:tr2bl w:val="nil"/>
            </w:tcBorders>
            <w:vAlign w:val="center"/>
          </w:tcPr>
          <w:p w14:paraId="689224E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校核泄峰流量（P=0.1%）</w:t>
            </w:r>
          </w:p>
        </w:tc>
        <w:tc>
          <w:tcPr>
            <w:tcW w:w="836" w:type="dxa"/>
            <w:tcBorders>
              <w:tl2br w:val="nil"/>
              <w:tr2bl w:val="nil"/>
            </w:tcBorders>
            <w:vAlign w:val="center"/>
          </w:tcPr>
          <w:p w14:paraId="12885227">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r>
              <w:rPr>
                <w:rFonts w:hint="default" w:ascii="Times New Roman" w:hAnsi="Times New Roman" w:eastAsia="宋体" w:cs="Times New Roman"/>
                <w:spacing w:val="0"/>
                <w:w w:val="100"/>
                <w:position w:val="0"/>
                <w:sz w:val="21"/>
                <w:szCs w:val="21"/>
                <w:vertAlign w:val="superscript"/>
              </w:rPr>
              <w:t>3</w:t>
            </w:r>
            <w:r>
              <w:rPr>
                <w:rFonts w:hint="default" w:ascii="Times New Roman" w:hAnsi="Times New Roman" w:eastAsia="宋体" w:cs="Times New Roman"/>
                <w:spacing w:val="0"/>
                <w:w w:val="100"/>
                <w:position w:val="0"/>
                <w:sz w:val="21"/>
                <w:szCs w:val="21"/>
              </w:rPr>
              <w:t>/s</w:t>
            </w:r>
          </w:p>
        </w:tc>
        <w:tc>
          <w:tcPr>
            <w:tcW w:w="1566" w:type="dxa"/>
            <w:tcBorders>
              <w:tl2br w:val="nil"/>
              <w:tr2bl w:val="nil"/>
            </w:tcBorders>
            <w:vAlign w:val="center"/>
          </w:tcPr>
          <w:p w14:paraId="15FBCE3B">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176.50</w:t>
            </w:r>
          </w:p>
        </w:tc>
        <w:tc>
          <w:tcPr>
            <w:tcW w:w="1256" w:type="dxa"/>
            <w:tcBorders>
              <w:tl2br w:val="nil"/>
              <w:tr2bl w:val="nil"/>
            </w:tcBorders>
            <w:vAlign w:val="center"/>
          </w:tcPr>
          <w:p w14:paraId="4AE4C4F8">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177.0</w:t>
            </w:r>
          </w:p>
        </w:tc>
        <w:tc>
          <w:tcPr>
            <w:tcW w:w="1257" w:type="dxa"/>
            <w:tcBorders>
              <w:tl2br w:val="nil"/>
              <w:tr2bl w:val="nil"/>
            </w:tcBorders>
            <w:vAlign w:val="center"/>
          </w:tcPr>
          <w:p w14:paraId="7FCF404C">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52B6E8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5638E67E">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18161F48">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24h洪量（P=0.1％）</w:t>
            </w:r>
          </w:p>
        </w:tc>
        <w:tc>
          <w:tcPr>
            <w:tcW w:w="836" w:type="dxa"/>
            <w:tcBorders>
              <w:tl2br w:val="nil"/>
              <w:tr2bl w:val="nil"/>
            </w:tcBorders>
            <w:vAlign w:val="center"/>
          </w:tcPr>
          <w:p w14:paraId="5DF19D2B">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万m</w:t>
            </w:r>
            <w:r>
              <w:rPr>
                <w:rFonts w:hint="default" w:ascii="Times New Roman" w:hAnsi="Times New Roman" w:eastAsia="宋体" w:cs="Times New Roman"/>
                <w:spacing w:val="0"/>
                <w:w w:val="100"/>
                <w:position w:val="0"/>
                <w:sz w:val="21"/>
                <w:szCs w:val="21"/>
                <w:vertAlign w:val="superscript"/>
              </w:rPr>
              <w:t>3</w:t>
            </w:r>
          </w:p>
        </w:tc>
        <w:tc>
          <w:tcPr>
            <w:tcW w:w="1566" w:type="dxa"/>
            <w:tcBorders>
              <w:tl2br w:val="nil"/>
              <w:tr2bl w:val="nil"/>
            </w:tcBorders>
            <w:vAlign w:val="center"/>
          </w:tcPr>
          <w:p w14:paraId="695D93B4">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6" w:type="dxa"/>
            <w:tcBorders>
              <w:tl2br w:val="nil"/>
              <w:tr2bl w:val="nil"/>
            </w:tcBorders>
            <w:vAlign w:val="center"/>
          </w:tcPr>
          <w:p w14:paraId="1D42FCE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351</w:t>
            </w:r>
          </w:p>
        </w:tc>
        <w:tc>
          <w:tcPr>
            <w:tcW w:w="1257" w:type="dxa"/>
            <w:tcBorders>
              <w:tl2br w:val="nil"/>
              <w:tr2bl w:val="nil"/>
            </w:tcBorders>
            <w:vAlign w:val="center"/>
          </w:tcPr>
          <w:p w14:paraId="4969599E">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47F96F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686A3271">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0224A481">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校核下泄流量</w:t>
            </w:r>
          </w:p>
        </w:tc>
        <w:tc>
          <w:tcPr>
            <w:tcW w:w="836" w:type="dxa"/>
            <w:tcBorders>
              <w:tl2br w:val="nil"/>
              <w:tr2bl w:val="nil"/>
            </w:tcBorders>
            <w:vAlign w:val="center"/>
          </w:tcPr>
          <w:p w14:paraId="75D9FF88">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r>
              <w:rPr>
                <w:rFonts w:hint="default" w:ascii="Times New Roman" w:hAnsi="Times New Roman" w:eastAsia="宋体" w:cs="Times New Roman"/>
                <w:spacing w:val="0"/>
                <w:w w:val="100"/>
                <w:position w:val="0"/>
                <w:sz w:val="21"/>
                <w:szCs w:val="21"/>
                <w:vertAlign w:val="superscript"/>
              </w:rPr>
              <w:t>3</w:t>
            </w:r>
            <w:r>
              <w:rPr>
                <w:rFonts w:hint="default" w:ascii="Times New Roman" w:hAnsi="Times New Roman" w:eastAsia="宋体" w:cs="Times New Roman"/>
                <w:spacing w:val="0"/>
                <w:w w:val="100"/>
                <w:position w:val="0"/>
                <w:sz w:val="21"/>
                <w:szCs w:val="21"/>
              </w:rPr>
              <w:t>/s</w:t>
            </w:r>
          </w:p>
        </w:tc>
        <w:tc>
          <w:tcPr>
            <w:tcW w:w="1566" w:type="dxa"/>
            <w:tcBorders>
              <w:tl2br w:val="nil"/>
              <w:tr2bl w:val="nil"/>
            </w:tcBorders>
            <w:vAlign w:val="center"/>
          </w:tcPr>
          <w:p w14:paraId="428D8B5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98.80</w:t>
            </w:r>
          </w:p>
        </w:tc>
        <w:tc>
          <w:tcPr>
            <w:tcW w:w="1256" w:type="dxa"/>
            <w:tcBorders>
              <w:tl2br w:val="nil"/>
              <w:tr2bl w:val="nil"/>
            </w:tcBorders>
            <w:vAlign w:val="center"/>
          </w:tcPr>
          <w:p w14:paraId="28EC4DEC">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88.0</w:t>
            </w:r>
          </w:p>
        </w:tc>
        <w:tc>
          <w:tcPr>
            <w:tcW w:w="1257" w:type="dxa"/>
            <w:tcBorders>
              <w:tl2br w:val="nil"/>
              <w:tr2bl w:val="nil"/>
            </w:tcBorders>
            <w:vAlign w:val="center"/>
          </w:tcPr>
          <w:p w14:paraId="3E30C478">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72D2E8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599491B3">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四</w:t>
            </w:r>
          </w:p>
        </w:tc>
        <w:tc>
          <w:tcPr>
            <w:tcW w:w="2885" w:type="dxa"/>
            <w:tcBorders>
              <w:tl2br w:val="nil"/>
              <w:tr2bl w:val="nil"/>
            </w:tcBorders>
            <w:vAlign w:val="center"/>
          </w:tcPr>
          <w:p w14:paraId="77A88277">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主要建筑物</w:t>
            </w:r>
          </w:p>
        </w:tc>
        <w:tc>
          <w:tcPr>
            <w:tcW w:w="836" w:type="dxa"/>
            <w:tcBorders>
              <w:tl2br w:val="nil"/>
              <w:tr2bl w:val="nil"/>
            </w:tcBorders>
            <w:vAlign w:val="center"/>
          </w:tcPr>
          <w:p w14:paraId="3F730E2D">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566" w:type="dxa"/>
            <w:tcBorders>
              <w:tl2br w:val="nil"/>
              <w:tr2bl w:val="nil"/>
            </w:tcBorders>
            <w:vAlign w:val="center"/>
          </w:tcPr>
          <w:p w14:paraId="028329CB">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6" w:type="dxa"/>
            <w:tcBorders>
              <w:tl2br w:val="nil"/>
              <w:tr2bl w:val="nil"/>
            </w:tcBorders>
            <w:vAlign w:val="center"/>
          </w:tcPr>
          <w:p w14:paraId="55CC3394">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7" w:type="dxa"/>
            <w:tcBorders>
              <w:tl2br w:val="nil"/>
              <w:tr2bl w:val="nil"/>
            </w:tcBorders>
            <w:vAlign w:val="center"/>
          </w:tcPr>
          <w:p w14:paraId="2FCB58AC">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774FBD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0EC287B7">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4E07C0E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大坝</w:t>
            </w:r>
          </w:p>
        </w:tc>
        <w:tc>
          <w:tcPr>
            <w:tcW w:w="836" w:type="dxa"/>
            <w:tcBorders>
              <w:tl2br w:val="nil"/>
              <w:tr2bl w:val="nil"/>
            </w:tcBorders>
            <w:vAlign w:val="center"/>
          </w:tcPr>
          <w:p w14:paraId="74ADD89C">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566" w:type="dxa"/>
            <w:tcBorders>
              <w:tl2br w:val="nil"/>
              <w:tr2bl w:val="nil"/>
            </w:tcBorders>
            <w:vAlign w:val="center"/>
          </w:tcPr>
          <w:p w14:paraId="6A13F92A">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6" w:type="dxa"/>
            <w:tcBorders>
              <w:tl2br w:val="nil"/>
              <w:tr2bl w:val="nil"/>
            </w:tcBorders>
            <w:vAlign w:val="center"/>
          </w:tcPr>
          <w:p w14:paraId="33951298">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7" w:type="dxa"/>
            <w:tcBorders>
              <w:tl2br w:val="nil"/>
              <w:tr2bl w:val="nil"/>
            </w:tcBorders>
            <w:vAlign w:val="center"/>
          </w:tcPr>
          <w:p w14:paraId="42A7BEE5">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138655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214C5DDF">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55A4A394">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型式</w:t>
            </w:r>
          </w:p>
        </w:tc>
        <w:tc>
          <w:tcPr>
            <w:tcW w:w="836" w:type="dxa"/>
            <w:tcBorders>
              <w:tl2br w:val="nil"/>
              <w:tr2bl w:val="nil"/>
            </w:tcBorders>
            <w:vAlign w:val="center"/>
          </w:tcPr>
          <w:p w14:paraId="6BFB7441">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566" w:type="dxa"/>
            <w:tcBorders>
              <w:tl2br w:val="nil"/>
              <w:tr2bl w:val="nil"/>
            </w:tcBorders>
            <w:vAlign w:val="center"/>
          </w:tcPr>
          <w:p w14:paraId="762CA0FE">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土工膜斜墙坝</w:t>
            </w:r>
          </w:p>
        </w:tc>
        <w:tc>
          <w:tcPr>
            <w:tcW w:w="1256" w:type="dxa"/>
            <w:tcBorders>
              <w:tl2br w:val="nil"/>
              <w:tr2bl w:val="nil"/>
            </w:tcBorders>
            <w:vAlign w:val="center"/>
          </w:tcPr>
          <w:p w14:paraId="33FAEF28">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心墙坝</w:t>
            </w:r>
          </w:p>
        </w:tc>
        <w:tc>
          <w:tcPr>
            <w:tcW w:w="1257" w:type="dxa"/>
            <w:tcBorders>
              <w:tl2br w:val="nil"/>
              <w:tr2bl w:val="nil"/>
            </w:tcBorders>
            <w:vAlign w:val="center"/>
          </w:tcPr>
          <w:p w14:paraId="0E5555AD">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6CB05AD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1B9A27ED">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328AEDE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坝顶高程</w:t>
            </w:r>
          </w:p>
        </w:tc>
        <w:tc>
          <w:tcPr>
            <w:tcW w:w="836" w:type="dxa"/>
            <w:tcBorders>
              <w:tl2br w:val="nil"/>
              <w:tr2bl w:val="nil"/>
            </w:tcBorders>
            <w:vAlign w:val="center"/>
          </w:tcPr>
          <w:p w14:paraId="153F189D">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684011A8">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71.1</w:t>
            </w:r>
          </w:p>
        </w:tc>
        <w:tc>
          <w:tcPr>
            <w:tcW w:w="1256" w:type="dxa"/>
            <w:tcBorders>
              <w:tl2br w:val="nil"/>
              <w:tr2bl w:val="nil"/>
            </w:tcBorders>
            <w:vAlign w:val="center"/>
          </w:tcPr>
          <w:p w14:paraId="2963FED7">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71.1</w:t>
            </w:r>
          </w:p>
        </w:tc>
        <w:tc>
          <w:tcPr>
            <w:tcW w:w="1257" w:type="dxa"/>
            <w:tcBorders>
              <w:tl2br w:val="nil"/>
              <w:tr2bl w:val="nil"/>
            </w:tcBorders>
            <w:vAlign w:val="center"/>
          </w:tcPr>
          <w:p w14:paraId="45C2CDA9">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17286E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177A24F4">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75254CD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最大坝高</w:t>
            </w:r>
          </w:p>
        </w:tc>
        <w:tc>
          <w:tcPr>
            <w:tcW w:w="836" w:type="dxa"/>
            <w:tcBorders>
              <w:tl2br w:val="nil"/>
              <w:tr2bl w:val="nil"/>
            </w:tcBorders>
            <w:vAlign w:val="center"/>
          </w:tcPr>
          <w:p w14:paraId="66FB6AC8">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35849B5D">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26.0</w:t>
            </w:r>
          </w:p>
        </w:tc>
        <w:tc>
          <w:tcPr>
            <w:tcW w:w="1256" w:type="dxa"/>
            <w:tcBorders>
              <w:tl2br w:val="nil"/>
              <w:tr2bl w:val="nil"/>
            </w:tcBorders>
            <w:vAlign w:val="center"/>
          </w:tcPr>
          <w:p w14:paraId="3556EF2C">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26.0</w:t>
            </w:r>
          </w:p>
        </w:tc>
        <w:tc>
          <w:tcPr>
            <w:tcW w:w="1257" w:type="dxa"/>
            <w:tcBorders>
              <w:tl2br w:val="nil"/>
              <w:tr2bl w:val="nil"/>
            </w:tcBorders>
            <w:vAlign w:val="center"/>
          </w:tcPr>
          <w:p w14:paraId="78872786">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082FC5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46C12532">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7B311A38">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坝顶宽</w:t>
            </w:r>
          </w:p>
        </w:tc>
        <w:tc>
          <w:tcPr>
            <w:tcW w:w="836" w:type="dxa"/>
            <w:tcBorders>
              <w:tl2br w:val="nil"/>
              <w:tr2bl w:val="nil"/>
            </w:tcBorders>
            <w:vAlign w:val="center"/>
          </w:tcPr>
          <w:p w14:paraId="0DA1B6FC">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570039A4">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5.0</w:t>
            </w:r>
          </w:p>
        </w:tc>
        <w:tc>
          <w:tcPr>
            <w:tcW w:w="1256" w:type="dxa"/>
            <w:tcBorders>
              <w:tl2br w:val="nil"/>
              <w:tr2bl w:val="nil"/>
            </w:tcBorders>
            <w:vAlign w:val="center"/>
          </w:tcPr>
          <w:p w14:paraId="5E5B0B1E">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5.0</w:t>
            </w:r>
          </w:p>
        </w:tc>
        <w:tc>
          <w:tcPr>
            <w:tcW w:w="1257" w:type="dxa"/>
            <w:tcBorders>
              <w:tl2br w:val="nil"/>
              <w:tr2bl w:val="nil"/>
            </w:tcBorders>
            <w:vAlign w:val="center"/>
          </w:tcPr>
          <w:p w14:paraId="5473FDD7">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52DBAA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7AC3A01B">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3C91BAD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坝顶轴长</w:t>
            </w:r>
          </w:p>
        </w:tc>
        <w:tc>
          <w:tcPr>
            <w:tcW w:w="836" w:type="dxa"/>
            <w:tcBorders>
              <w:tl2br w:val="nil"/>
              <w:tr2bl w:val="nil"/>
            </w:tcBorders>
            <w:vAlign w:val="center"/>
          </w:tcPr>
          <w:p w14:paraId="3A406681">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362AE52D">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627.0</w:t>
            </w:r>
          </w:p>
        </w:tc>
        <w:tc>
          <w:tcPr>
            <w:tcW w:w="1256" w:type="dxa"/>
            <w:tcBorders>
              <w:tl2br w:val="nil"/>
              <w:tr2bl w:val="nil"/>
            </w:tcBorders>
            <w:vAlign w:val="center"/>
          </w:tcPr>
          <w:p w14:paraId="02F8E064">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627.0</w:t>
            </w:r>
          </w:p>
        </w:tc>
        <w:tc>
          <w:tcPr>
            <w:tcW w:w="1257" w:type="dxa"/>
            <w:tcBorders>
              <w:tl2br w:val="nil"/>
              <w:tr2bl w:val="nil"/>
            </w:tcBorders>
            <w:vAlign w:val="center"/>
          </w:tcPr>
          <w:p w14:paraId="22369897">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54C055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7E0B6113">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2</w:t>
            </w:r>
          </w:p>
        </w:tc>
        <w:tc>
          <w:tcPr>
            <w:tcW w:w="2885" w:type="dxa"/>
            <w:tcBorders>
              <w:tl2br w:val="nil"/>
              <w:tr2bl w:val="nil"/>
            </w:tcBorders>
            <w:vAlign w:val="center"/>
          </w:tcPr>
          <w:p w14:paraId="65E83A40">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溢洪道长度</w:t>
            </w:r>
          </w:p>
        </w:tc>
        <w:tc>
          <w:tcPr>
            <w:tcW w:w="836" w:type="dxa"/>
            <w:tcBorders>
              <w:tl2br w:val="nil"/>
              <w:tr2bl w:val="nil"/>
            </w:tcBorders>
            <w:vAlign w:val="center"/>
          </w:tcPr>
          <w:p w14:paraId="1B429C8A">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566" w:type="dxa"/>
            <w:tcBorders>
              <w:tl2br w:val="nil"/>
              <w:tr2bl w:val="nil"/>
            </w:tcBorders>
            <w:vAlign w:val="center"/>
          </w:tcPr>
          <w:p w14:paraId="254A119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78.625</w:t>
            </w:r>
          </w:p>
        </w:tc>
        <w:tc>
          <w:tcPr>
            <w:tcW w:w="1256" w:type="dxa"/>
            <w:tcBorders>
              <w:tl2br w:val="nil"/>
              <w:tr2bl w:val="nil"/>
            </w:tcBorders>
            <w:vAlign w:val="center"/>
          </w:tcPr>
          <w:p w14:paraId="5D58372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78.625</w:t>
            </w:r>
          </w:p>
        </w:tc>
        <w:tc>
          <w:tcPr>
            <w:tcW w:w="1257" w:type="dxa"/>
            <w:tcBorders>
              <w:tl2br w:val="nil"/>
              <w:tr2bl w:val="nil"/>
            </w:tcBorders>
            <w:vAlign w:val="center"/>
          </w:tcPr>
          <w:p w14:paraId="7CE8F0B1">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777B70C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7281DAA6">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6DC6A02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型式</w:t>
            </w:r>
          </w:p>
        </w:tc>
        <w:tc>
          <w:tcPr>
            <w:tcW w:w="836" w:type="dxa"/>
            <w:tcBorders>
              <w:tl2br w:val="nil"/>
              <w:tr2bl w:val="nil"/>
            </w:tcBorders>
            <w:vAlign w:val="center"/>
          </w:tcPr>
          <w:p w14:paraId="08746A4E">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22" w:type="dxa"/>
            <w:gridSpan w:val="2"/>
            <w:tcBorders>
              <w:tl2br w:val="nil"/>
              <w:tr2bl w:val="nil"/>
            </w:tcBorders>
            <w:vAlign w:val="center"/>
          </w:tcPr>
          <w:p w14:paraId="3FB8EDCA">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宽顶堰</w:t>
            </w:r>
          </w:p>
        </w:tc>
        <w:tc>
          <w:tcPr>
            <w:tcW w:w="1257" w:type="dxa"/>
            <w:tcBorders>
              <w:tl2br w:val="nil"/>
              <w:tr2bl w:val="nil"/>
            </w:tcBorders>
            <w:vAlign w:val="center"/>
          </w:tcPr>
          <w:p w14:paraId="50AA31EE">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467D2D6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0D614E93">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2883B1F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溢流堰顶高程</w:t>
            </w:r>
          </w:p>
        </w:tc>
        <w:tc>
          <w:tcPr>
            <w:tcW w:w="836" w:type="dxa"/>
            <w:tcBorders>
              <w:tl2br w:val="nil"/>
              <w:tr2bl w:val="nil"/>
            </w:tcBorders>
            <w:vAlign w:val="center"/>
          </w:tcPr>
          <w:p w14:paraId="48533B49">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18249BA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67.50</w:t>
            </w:r>
          </w:p>
        </w:tc>
        <w:tc>
          <w:tcPr>
            <w:tcW w:w="1256" w:type="dxa"/>
            <w:tcBorders>
              <w:tl2br w:val="nil"/>
              <w:tr2bl w:val="nil"/>
            </w:tcBorders>
            <w:vAlign w:val="center"/>
          </w:tcPr>
          <w:p w14:paraId="4617457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67.50</w:t>
            </w:r>
          </w:p>
        </w:tc>
        <w:tc>
          <w:tcPr>
            <w:tcW w:w="1257" w:type="dxa"/>
            <w:tcBorders>
              <w:tl2br w:val="nil"/>
              <w:tr2bl w:val="nil"/>
            </w:tcBorders>
            <w:vAlign w:val="center"/>
          </w:tcPr>
          <w:p w14:paraId="5E143FE2">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4FA5E4C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32C09435">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641C064D">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堰流孔口数量</w:t>
            </w:r>
          </w:p>
        </w:tc>
        <w:tc>
          <w:tcPr>
            <w:tcW w:w="836" w:type="dxa"/>
            <w:tcBorders>
              <w:tl2br w:val="nil"/>
              <w:tr2bl w:val="nil"/>
            </w:tcBorders>
            <w:vAlign w:val="center"/>
          </w:tcPr>
          <w:p w14:paraId="1866584D">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孔</w:t>
            </w:r>
          </w:p>
        </w:tc>
        <w:tc>
          <w:tcPr>
            <w:tcW w:w="1566" w:type="dxa"/>
            <w:tcBorders>
              <w:tl2br w:val="nil"/>
              <w:tr2bl w:val="nil"/>
            </w:tcBorders>
            <w:vAlign w:val="center"/>
          </w:tcPr>
          <w:p w14:paraId="20443C89">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w:t>
            </w:r>
          </w:p>
        </w:tc>
        <w:tc>
          <w:tcPr>
            <w:tcW w:w="1256" w:type="dxa"/>
            <w:tcBorders>
              <w:tl2br w:val="nil"/>
              <w:tr2bl w:val="nil"/>
            </w:tcBorders>
            <w:vAlign w:val="center"/>
          </w:tcPr>
          <w:p w14:paraId="767FC97C">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5</w:t>
            </w:r>
          </w:p>
        </w:tc>
        <w:tc>
          <w:tcPr>
            <w:tcW w:w="1257" w:type="dxa"/>
            <w:tcBorders>
              <w:tl2br w:val="nil"/>
              <w:tr2bl w:val="nil"/>
            </w:tcBorders>
            <w:vAlign w:val="center"/>
          </w:tcPr>
          <w:p w14:paraId="7DD1C9B6">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490E46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3AB87A47">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783CC090">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堰流孔口宽度</w:t>
            </w:r>
          </w:p>
        </w:tc>
        <w:tc>
          <w:tcPr>
            <w:tcW w:w="836" w:type="dxa"/>
            <w:tcBorders>
              <w:tl2br w:val="nil"/>
              <w:tr2bl w:val="nil"/>
            </w:tcBorders>
            <w:vAlign w:val="center"/>
          </w:tcPr>
          <w:p w14:paraId="067B9CB8">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79176083">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45.0</w:t>
            </w:r>
          </w:p>
        </w:tc>
        <w:tc>
          <w:tcPr>
            <w:tcW w:w="1256" w:type="dxa"/>
            <w:tcBorders>
              <w:tl2br w:val="nil"/>
              <w:tr2bl w:val="nil"/>
            </w:tcBorders>
            <w:vAlign w:val="center"/>
          </w:tcPr>
          <w:p w14:paraId="58B5781C">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5×9</w:t>
            </w:r>
          </w:p>
        </w:tc>
        <w:tc>
          <w:tcPr>
            <w:tcW w:w="1257" w:type="dxa"/>
            <w:tcBorders>
              <w:tl2br w:val="nil"/>
              <w:tr2bl w:val="nil"/>
            </w:tcBorders>
            <w:vAlign w:val="center"/>
          </w:tcPr>
          <w:p w14:paraId="4C27F87E">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桥孔</w:t>
            </w:r>
          </w:p>
        </w:tc>
      </w:tr>
      <w:tr w14:paraId="413731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1FF9DDE3">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234FFF1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消能方式</w:t>
            </w:r>
          </w:p>
        </w:tc>
        <w:tc>
          <w:tcPr>
            <w:tcW w:w="836" w:type="dxa"/>
            <w:tcBorders>
              <w:tl2br w:val="nil"/>
              <w:tr2bl w:val="nil"/>
            </w:tcBorders>
            <w:vAlign w:val="center"/>
          </w:tcPr>
          <w:p w14:paraId="6CA7E97C">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566" w:type="dxa"/>
            <w:tcBorders>
              <w:tl2br w:val="nil"/>
              <w:tr2bl w:val="nil"/>
            </w:tcBorders>
            <w:vAlign w:val="center"/>
          </w:tcPr>
          <w:p w14:paraId="47E09E9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底流消能</w:t>
            </w:r>
          </w:p>
        </w:tc>
        <w:tc>
          <w:tcPr>
            <w:tcW w:w="1256" w:type="dxa"/>
            <w:tcBorders>
              <w:tl2br w:val="nil"/>
              <w:tr2bl w:val="nil"/>
            </w:tcBorders>
            <w:vAlign w:val="center"/>
          </w:tcPr>
          <w:p w14:paraId="3D26EAC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底流消能</w:t>
            </w:r>
          </w:p>
        </w:tc>
        <w:tc>
          <w:tcPr>
            <w:tcW w:w="1257" w:type="dxa"/>
            <w:tcBorders>
              <w:tl2br w:val="nil"/>
              <w:tr2bl w:val="nil"/>
            </w:tcBorders>
            <w:vAlign w:val="center"/>
          </w:tcPr>
          <w:p w14:paraId="0A392242">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4A41EA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783909B2">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57BC6347">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消力池长</w:t>
            </w:r>
          </w:p>
        </w:tc>
        <w:tc>
          <w:tcPr>
            <w:tcW w:w="836" w:type="dxa"/>
            <w:tcBorders>
              <w:tl2br w:val="nil"/>
              <w:tr2bl w:val="nil"/>
            </w:tcBorders>
            <w:vAlign w:val="center"/>
          </w:tcPr>
          <w:p w14:paraId="3A780E37">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39B01AF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17.0</w:t>
            </w:r>
          </w:p>
        </w:tc>
        <w:tc>
          <w:tcPr>
            <w:tcW w:w="1256" w:type="dxa"/>
            <w:tcBorders>
              <w:tl2br w:val="nil"/>
              <w:tr2bl w:val="nil"/>
            </w:tcBorders>
            <w:vAlign w:val="center"/>
          </w:tcPr>
          <w:p w14:paraId="3B708A28">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17.0</w:t>
            </w:r>
          </w:p>
        </w:tc>
        <w:tc>
          <w:tcPr>
            <w:tcW w:w="1257" w:type="dxa"/>
            <w:tcBorders>
              <w:tl2br w:val="nil"/>
              <w:tr2bl w:val="nil"/>
            </w:tcBorders>
            <w:vAlign w:val="center"/>
          </w:tcPr>
          <w:p w14:paraId="62F5D760">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432CF23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5B05C523">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26B8113D">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消力池深</w:t>
            </w:r>
          </w:p>
        </w:tc>
        <w:tc>
          <w:tcPr>
            <w:tcW w:w="836" w:type="dxa"/>
            <w:tcBorders>
              <w:tl2br w:val="nil"/>
              <w:tr2bl w:val="nil"/>
            </w:tcBorders>
            <w:vAlign w:val="center"/>
          </w:tcPr>
          <w:p w14:paraId="4D8B8599">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74712172">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1.2</w:t>
            </w:r>
          </w:p>
        </w:tc>
        <w:tc>
          <w:tcPr>
            <w:tcW w:w="1256" w:type="dxa"/>
            <w:tcBorders>
              <w:tl2br w:val="nil"/>
              <w:tr2bl w:val="nil"/>
            </w:tcBorders>
            <w:vAlign w:val="center"/>
          </w:tcPr>
          <w:p w14:paraId="27634CE3">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1.2</w:t>
            </w:r>
          </w:p>
        </w:tc>
        <w:tc>
          <w:tcPr>
            <w:tcW w:w="1257" w:type="dxa"/>
            <w:tcBorders>
              <w:tl2br w:val="nil"/>
              <w:tr2bl w:val="nil"/>
            </w:tcBorders>
            <w:vAlign w:val="center"/>
          </w:tcPr>
          <w:p w14:paraId="66DE3F24">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5D763D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518BE3EF">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630F4062">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池底高程</w:t>
            </w:r>
          </w:p>
        </w:tc>
        <w:tc>
          <w:tcPr>
            <w:tcW w:w="836" w:type="dxa"/>
            <w:tcBorders>
              <w:tl2br w:val="nil"/>
              <w:tr2bl w:val="nil"/>
            </w:tcBorders>
            <w:vAlign w:val="center"/>
          </w:tcPr>
          <w:p w14:paraId="1E955033">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338ACCD8">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56.00</w:t>
            </w:r>
          </w:p>
        </w:tc>
        <w:tc>
          <w:tcPr>
            <w:tcW w:w="1256" w:type="dxa"/>
            <w:tcBorders>
              <w:tl2br w:val="nil"/>
              <w:tr2bl w:val="nil"/>
            </w:tcBorders>
            <w:vAlign w:val="center"/>
          </w:tcPr>
          <w:p w14:paraId="775219CE">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56.00</w:t>
            </w:r>
          </w:p>
        </w:tc>
        <w:tc>
          <w:tcPr>
            <w:tcW w:w="1257" w:type="dxa"/>
            <w:tcBorders>
              <w:tl2br w:val="nil"/>
              <w:tr2bl w:val="nil"/>
            </w:tcBorders>
            <w:vAlign w:val="center"/>
          </w:tcPr>
          <w:p w14:paraId="6882F9E7">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6EC32A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4695F36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3</w:t>
            </w:r>
          </w:p>
        </w:tc>
        <w:tc>
          <w:tcPr>
            <w:tcW w:w="2885" w:type="dxa"/>
            <w:tcBorders>
              <w:tl2br w:val="nil"/>
              <w:tr2bl w:val="nil"/>
            </w:tcBorders>
            <w:vAlign w:val="center"/>
          </w:tcPr>
          <w:p w14:paraId="3DACE70C">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输水建筑物</w:t>
            </w:r>
          </w:p>
        </w:tc>
        <w:tc>
          <w:tcPr>
            <w:tcW w:w="836" w:type="dxa"/>
            <w:tcBorders>
              <w:tl2br w:val="nil"/>
              <w:tr2bl w:val="nil"/>
            </w:tcBorders>
            <w:vAlign w:val="center"/>
          </w:tcPr>
          <w:p w14:paraId="48DAA0EE">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566" w:type="dxa"/>
            <w:tcBorders>
              <w:tl2br w:val="nil"/>
              <w:tr2bl w:val="nil"/>
            </w:tcBorders>
            <w:vAlign w:val="center"/>
          </w:tcPr>
          <w:p w14:paraId="32351998">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6" w:type="dxa"/>
            <w:tcBorders>
              <w:tl2br w:val="nil"/>
              <w:tr2bl w:val="nil"/>
            </w:tcBorders>
            <w:vAlign w:val="center"/>
          </w:tcPr>
          <w:p w14:paraId="5B67678C">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7" w:type="dxa"/>
            <w:tcBorders>
              <w:tl2br w:val="nil"/>
              <w:tr2bl w:val="nil"/>
            </w:tcBorders>
            <w:vAlign w:val="center"/>
          </w:tcPr>
          <w:p w14:paraId="490F8D63">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08EE6D9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28FE58CE">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3.1</w:t>
            </w:r>
          </w:p>
        </w:tc>
        <w:tc>
          <w:tcPr>
            <w:tcW w:w="2885" w:type="dxa"/>
            <w:tcBorders>
              <w:tl2br w:val="nil"/>
              <w:tr2bl w:val="nil"/>
            </w:tcBorders>
            <w:vAlign w:val="center"/>
          </w:tcPr>
          <w:p w14:paraId="0F6D3A0A">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输水隧洞</w:t>
            </w:r>
          </w:p>
        </w:tc>
        <w:tc>
          <w:tcPr>
            <w:tcW w:w="836" w:type="dxa"/>
            <w:tcBorders>
              <w:tl2br w:val="nil"/>
              <w:tr2bl w:val="nil"/>
            </w:tcBorders>
            <w:vAlign w:val="center"/>
          </w:tcPr>
          <w:p w14:paraId="6DFE706C">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566" w:type="dxa"/>
            <w:tcBorders>
              <w:tl2br w:val="nil"/>
              <w:tr2bl w:val="nil"/>
            </w:tcBorders>
            <w:vAlign w:val="center"/>
          </w:tcPr>
          <w:p w14:paraId="10028E55">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6" w:type="dxa"/>
            <w:tcBorders>
              <w:tl2br w:val="nil"/>
              <w:tr2bl w:val="nil"/>
            </w:tcBorders>
            <w:vAlign w:val="center"/>
          </w:tcPr>
          <w:p w14:paraId="78C60ADB">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7" w:type="dxa"/>
            <w:tcBorders>
              <w:tl2br w:val="nil"/>
              <w:tr2bl w:val="nil"/>
            </w:tcBorders>
            <w:vAlign w:val="center"/>
          </w:tcPr>
          <w:p w14:paraId="66C48C7F">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5D6EBDF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780F361E">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2493D779">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型式</w:t>
            </w:r>
          </w:p>
        </w:tc>
        <w:tc>
          <w:tcPr>
            <w:tcW w:w="836" w:type="dxa"/>
            <w:tcBorders>
              <w:tl2br w:val="nil"/>
              <w:tr2bl w:val="nil"/>
            </w:tcBorders>
            <w:vAlign w:val="center"/>
          </w:tcPr>
          <w:p w14:paraId="5727E824">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566" w:type="dxa"/>
            <w:tcBorders>
              <w:tl2br w:val="nil"/>
              <w:tr2bl w:val="nil"/>
            </w:tcBorders>
            <w:vAlign w:val="center"/>
          </w:tcPr>
          <w:p w14:paraId="40125D6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钢筋砼圆涵</w:t>
            </w:r>
          </w:p>
        </w:tc>
        <w:tc>
          <w:tcPr>
            <w:tcW w:w="1256" w:type="dxa"/>
            <w:tcBorders>
              <w:tl2br w:val="nil"/>
              <w:tr2bl w:val="nil"/>
            </w:tcBorders>
            <w:vAlign w:val="center"/>
          </w:tcPr>
          <w:p w14:paraId="79F2659E">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钢筋砼圆涵</w:t>
            </w:r>
          </w:p>
        </w:tc>
        <w:tc>
          <w:tcPr>
            <w:tcW w:w="1257" w:type="dxa"/>
            <w:tcBorders>
              <w:tl2br w:val="nil"/>
              <w:tr2bl w:val="nil"/>
            </w:tcBorders>
            <w:vAlign w:val="center"/>
          </w:tcPr>
          <w:p w14:paraId="7A5A3F4E">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74DBB6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6B8F3098">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581317D2">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断面尺寸</w:t>
            </w:r>
          </w:p>
        </w:tc>
        <w:tc>
          <w:tcPr>
            <w:tcW w:w="836" w:type="dxa"/>
            <w:tcBorders>
              <w:tl2br w:val="nil"/>
              <w:tr2bl w:val="nil"/>
            </w:tcBorders>
            <w:vAlign w:val="center"/>
          </w:tcPr>
          <w:p w14:paraId="004402BB">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769B6DD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φ1.50</w:t>
            </w:r>
          </w:p>
        </w:tc>
        <w:tc>
          <w:tcPr>
            <w:tcW w:w="1256" w:type="dxa"/>
            <w:tcBorders>
              <w:tl2br w:val="nil"/>
              <w:tr2bl w:val="nil"/>
            </w:tcBorders>
            <w:vAlign w:val="center"/>
          </w:tcPr>
          <w:p w14:paraId="45349931">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φ1.5</w:t>
            </w:r>
          </w:p>
        </w:tc>
        <w:tc>
          <w:tcPr>
            <w:tcW w:w="1257" w:type="dxa"/>
            <w:tcBorders>
              <w:tl2br w:val="nil"/>
              <w:tr2bl w:val="nil"/>
            </w:tcBorders>
            <w:vAlign w:val="center"/>
          </w:tcPr>
          <w:p w14:paraId="79CB2556">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6DF1DC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240BC5C6">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262EF8F0">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长度</w:t>
            </w:r>
          </w:p>
        </w:tc>
        <w:tc>
          <w:tcPr>
            <w:tcW w:w="836" w:type="dxa"/>
            <w:tcBorders>
              <w:tl2br w:val="nil"/>
              <w:tr2bl w:val="nil"/>
            </w:tcBorders>
            <w:vAlign w:val="center"/>
          </w:tcPr>
          <w:p w14:paraId="02DA497C">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620658AD">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113.0</w:t>
            </w:r>
          </w:p>
        </w:tc>
        <w:tc>
          <w:tcPr>
            <w:tcW w:w="1256" w:type="dxa"/>
            <w:tcBorders>
              <w:tl2br w:val="nil"/>
              <w:tr2bl w:val="nil"/>
            </w:tcBorders>
            <w:vAlign w:val="center"/>
          </w:tcPr>
          <w:p w14:paraId="015254B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113.0</w:t>
            </w:r>
          </w:p>
        </w:tc>
        <w:tc>
          <w:tcPr>
            <w:tcW w:w="1257" w:type="dxa"/>
            <w:tcBorders>
              <w:tl2br w:val="nil"/>
              <w:tr2bl w:val="nil"/>
            </w:tcBorders>
            <w:vAlign w:val="center"/>
          </w:tcPr>
          <w:p w14:paraId="51170187">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7EFA00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68B40FA9">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08042157">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进口底板高程</w:t>
            </w:r>
          </w:p>
        </w:tc>
        <w:tc>
          <w:tcPr>
            <w:tcW w:w="836" w:type="dxa"/>
            <w:tcBorders>
              <w:tl2br w:val="nil"/>
              <w:tr2bl w:val="nil"/>
            </w:tcBorders>
            <w:vAlign w:val="center"/>
          </w:tcPr>
          <w:p w14:paraId="37DF10F9">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5949048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48.3</w:t>
            </w:r>
          </w:p>
        </w:tc>
        <w:tc>
          <w:tcPr>
            <w:tcW w:w="1256" w:type="dxa"/>
            <w:tcBorders>
              <w:tl2br w:val="nil"/>
              <w:tr2bl w:val="nil"/>
            </w:tcBorders>
            <w:vAlign w:val="center"/>
          </w:tcPr>
          <w:p w14:paraId="2A41ADEA">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48.3</w:t>
            </w:r>
          </w:p>
        </w:tc>
        <w:tc>
          <w:tcPr>
            <w:tcW w:w="1257" w:type="dxa"/>
            <w:tcBorders>
              <w:tl2br w:val="nil"/>
              <w:tr2bl w:val="nil"/>
            </w:tcBorders>
            <w:vAlign w:val="center"/>
          </w:tcPr>
          <w:p w14:paraId="4ED4A956">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74E4ED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3F25C302">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3A04D732">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设计流量</w:t>
            </w:r>
          </w:p>
        </w:tc>
        <w:tc>
          <w:tcPr>
            <w:tcW w:w="836" w:type="dxa"/>
            <w:tcBorders>
              <w:tl2br w:val="nil"/>
              <w:tr2bl w:val="nil"/>
            </w:tcBorders>
            <w:vAlign w:val="center"/>
          </w:tcPr>
          <w:p w14:paraId="5C420187">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r>
              <w:rPr>
                <w:rFonts w:hint="default" w:ascii="Times New Roman" w:hAnsi="Times New Roman" w:eastAsia="宋体" w:cs="Times New Roman"/>
                <w:spacing w:val="0"/>
                <w:w w:val="100"/>
                <w:position w:val="0"/>
                <w:sz w:val="21"/>
                <w:szCs w:val="21"/>
                <w:vertAlign w:val="superscript"/>
              </w:rPr>
              <w:t>3</w:t>
            </w:r>
            <w:r>
              <w:rPr>
                <w:rFonts w:hint="default" w:ascii="Times New Roman" w:hAnsi="Times New Roman" w:eastAsia="宋体" w:cs="Times New Roman"/>
                <w:spacing w:val="0"/>
                <w:w w:val="100"/>
                <w:position w:val="0"/>
                <w:sz w:val="21"/>
                <w:szCs w:val="21"/>
              </w:rPr>
              <w:t>/s</w:t>
            </w:r>
          </w:p>
        </w:tc>
        <w:tc>
          <w:tcPr>
            <w:tcW w:w="1566" w:type="dxa"/>
            <w:tcBorders>
              <w:tl2br w:val="nil"/>
              <w:tr2bl w:val="nil"/>
            </w:tcBorders>
            <w:vAlign w:val="center"/>
          </w:tcPr>
          <w:p w14:paraId="60F1E84A">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2.5</w:t>
            </w:r>
          </w:p>
        </w:tc>
        <w:tc>
          <w:tcPr>
            <w:tcW w:w="1256" w:type="dxa"/>
            <w:tcBorders>
              <w:tl2br w:val="nil"/>
              <w:tr2bl w:val="nil"/>
            </w:tcBorders>
            <w:vAlign w:val="center"/>
          </w:tcPr>
          <w:p w14:paraId="151D97CB">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2.5</w:t>
            </w:r>
          </w:p>
        </w:tc>
        <w:tc>
          <w:tcPr>
            <w:tcW w:w="1257" w:type="dxa"/>
            <w:tcBorders>
              <w:tl2br w:val="nil"/>
              <w:tr2bl w:val="nil"/>
            </w:tcBorders>
            <w:vAlign w:val="center"/>
          </w:tcPr>
          <w:p w14:paraId="6C8DB7A9">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1F8EF55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64BF278A">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112FE2C2">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工作闸门尺寸</w:t>
            </w:r>
          </w:p>
        </w:tc>
        <w:tc>
          <w:tcPr>
            <w:tcW w:w="836" w:type="dxa"/>
            <w:tcBorders>
              <w:tl2br w:val="nil"/>
              <w:tr2bl w:val="nil"/>
            </w:tcBorders>
            <w:vAlign w:val="center"/>
          </w:tcPr>
          <w:p w14:paraId="0A90DF89">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7BEB361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1.8×2.2</w:t>
            </w:r>
          </w:p>
        </w:tc>
        <w:tc>
          <w:tcPr>
            <w:tcW w:w="1256" w:type="dxa"/>
            <w:tcBorders>
              <w:tl2br w:val="nil"/>
              <w:tr2bl w:val="nil"/>
            </w:tcBorders>
            <w:vAlign w:val="center"/>
          </w:tcPr>
          <w:p w14:paraId="2609902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1.8×2.2</w:t>
            </w:r>
          </w:p>
        </w:tc>
        <w:tc>
          <w:tcPr>
            <w:tcW w:w="1257" w:type="dxa"/>
            <w:tcBorders>
              <w:tl2br w:val="nil"/>
              <w:tr2bl w:val="nil"/>
            </w:tcBorders>
            <w:vAlign w:val="center"/>
          </w:tcPr>
          <w:p w14:paraId="2C6E6E99">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267710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47C85D66">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3A7362C7">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检修闸门尺寸</w:t>
            </w:r>
          </w:p>
        </w:tc>
        <w:tc>
          <w:tcPr>
            <w:tcW w:w="836" w:type="dxa"/>
            <w:tcBorders>
              <w:tl2br w:val="nil"/>
              <w:tr2bl w:val="nil"/>
            </w:tcBorders>
            <w:vAlign w:val="center"/>
          </w:tcPr>
          <w:p w14:paraId="7929A438">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5987CC72">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3.5×3.8</w:t>
            </w:r>
          </w:p>
        </w:tc>
        <w:tc>
          <w:tcPr>
            <w:tcW w:w="1256" w:type="dxa"/>
            <w:tcBorders>
              <w:tl2br w:val="nil"/>
              <w:tr2bl w:val="nil"/>
            </w:tcBorders>
            <w:vAlign w:val="center"/>
          </w:tcPr>
          <w:p w14:paraId="7DFBA8A7">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3.5×3.8</w:t>
            </w:r>
          </w:p>
        </w:tc>
        <w:tc>
          <w:tcPr>
            <w:tcW w:w="1257" w:type="dxa"/>
            <w:tcBorders>
              <w:tl2br w:val="nil"/>
              <w:tr2bl w:val="nil"/>
            </w:tcBorders>
            <w:vAlign w:val="center"/>
          </w:tcPr>
          <w:p w14:paraId="6DA0E493">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599A9C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06EFDA5F">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775BD89A">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检修平台高程</w:t>
            </w:r>
          </w:p>
        </w:tc>
        <w:tc>
          <w:tcPr>
            <w:tcW w:w="836" w:type="dxa"/>
            <w:tcBorders>
              <w:tl2br w:val="nil"/>
              <w:tr2bl w:val="nil"/>
            </w:tcBorders>
            <w:vAlign w:val="center"/>
          </w:tcPr>
          <w:p w14:paraId="0A768E27">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4A6B219B">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70.0</w:t>
            </w:r>
          </w:p>
        </w:tc>
        <w:tc>
          <w:tcPr>
            <w:tcW w:w="1256" w:type="dxa"/>
            <w:tcBorders>
              <w:tl2br w:val="nil"/>
              <w:tr2bl w:val="nil"/>
            </w:tcBorders>
            <w:vAlign w:val="center"/>
          </w:tcPr>
          <w:p w14:paraId="270953EB">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70.0</w:t>
            </w:r>
          </w:p>
        </w:tc>
        <w:tc>
          <w:tcPr>
            <w:tcW w:w="1257" w:type="dxa"/>
            <w:tcBorders>
              <w:tl2br w:val="nil"/>
              <w:tr2bl w:val="nil"/>
            </w:tcBorders>
            <w:vAlign w:val="center"/>
          </w:tcPr>
          <w:p w14:paraId="64DF197B">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56AEF3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62BF198F">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54A3BF28">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启闭平台高程</w:t>
            </w:r>
          </w:p>
        </w:tc>
        <w:tc>
          <w:tcPr>
            <w:tcW w:w="836" w:type="dxa"/>
            <w:tcBorders>
              <w:tl2br w:val="nil"/>
              <w:tr2bl w:val="nil"/>
            </w:tcBorders>
            <w:vAlign w:val="center"/>
          </w:tcPr>
          <w:p w14:paraId="7F53FCA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78A516B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75.5</w:t>
            </w:r>
          </w:p>
        </w:tc>
        <w:tc>
          <w:tcPr>
            <w:tcW w:w="1256" w:type="dxa"/>
            <w:tcBorders>
              <w:tl2br w:val="nil"/>
              <w:tr2bl w:val="nil"/>
            </w:tcBorders>
            <w:vAlign w:val="center"/>
          </w:tcPr>
          <w:p w14:paraId="1C86196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75.5</w:t>
            </w:r>
          </w:p>
        </w:tc>
        <w:tc>
          <w:tcPr>
            <w:tcW w:w="1257" w:type="dxa"/>
            <w:tcBorders>
              <w:tl2br w:val="nil"/>
              <w:tr2bl w:val="nil"/>
            </w:tcBorders>
            <w:vAlign w:val="center"/>
          </w:tcPr>
          <w:p w14:paraId="07E6BFFF">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302BF6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1AB07244">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69E92DBB">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人行桥面高程</w:t>
            </w:r>
          </w:p>
        </w:tc>
        <w:tc>
          <w:tcPr>
            <w:tcW w:w="836" w:type="dxa"/>
            <w:tcBorders>
              <w:tl2br w:val="nil"/>
              <w:tr2bl w:val="nil"/>
            </w:tcBorders>
            <w:vAlign w:val="center"/>
          </w:tcPr>
          <w:p w14:paraId="2B03FA6A">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1293379A">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70.0</w:t>
            </w:r>
          </w:p>
        </w:tc>
        <w:tc>
          <w:tcPr>
            <w:tcW w:w="1256" w:type="dxa"/>
            <w:tcBorders>
              <w:tl2br w:val="nil"/>
              <w:tr2bl w:val="nil"/>
            </w:tcBorders>
            <w:vAlign w:val="center"/>
          </w:tcPr>
          <w:p w14:paraId="76BBE994">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72.5</w:t>
            </w:r>
          </w:p>
        </w:tc>
        <w:tc>
          <w:tcPr>
            <w:tcW w:w="1257" w:type="dxa"/>
            <w:tcBorders>
              <w:tl2br w:val="nil"/>
              <w:tr2bl w:val="nil"/>
            </w:tcBorders>
            <w:vAlign w:val="center"/>
          </w:tcPr>
          <w:p w14:paraId="07D5BDA1">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4833CA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45A25B2A">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3.2</w:t>
            </w:r>
          </w:p>
        </w:tc>
        <w:tc>
          <w:tcPr>
            <w:tcW w:w="2885" w:type="dxa"/>
            <w:tcBorders>
              <w:tl2br w:val="nil"/>
              <w:tr2bl w:val="nil"/>
            </w:tcBorders>
            <w:vAlign w:val="center"/>
          </w:tcPr>
          <w:p w14:paraId="7B0EBD5C">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输水隧洞出口暗涵</w:t>
            </w:r>
          </w:p>
        </w:tc>
        <w:tc>
          <w:tcPr>
            <w:tcW w:w="836" w:type="dxa"/>
            <w:tcBorders>
              <w:tl2br w:val="nil"/>
              <w:tr2bl w:val="nil"/>
            </w:tcBorders>
            <w:vAlign w:val="center"/>
          </w:tcPr>
          <w:p w14:paraId="0D046C68">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566" w:type="dxa"/>
            <w:tcBorders>
              <w:tl2br w:val="nil"/>
              <w:tr2bl w:val="nil"/>
            </w:tcBorders>
            <w:vAlign w:val="center"/>
          </w:tcPr>
          <w:p w14:paraId="0F418547">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6" w:type="dxa"/>
            <w:tcBorders>
              <w:tl2br w:val="nil"/>
              <w:tr2bl w:val="nil"/>
            </w:tcBorders>
            <w:vAlign w:val="center"/>
          </w:tcPr>
          <w:p w14:paraId="10836DF8">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7" w:type="dxa"/>
            <w:tcBorders>
              <w:tl2br w:val="nil"/>
              <w:tr2bl w:val="nil"/>
            </w:tcBorders>
            <w:vAlign w:val="center"/>
          </w:tcPr>
          <w:p w14:paraId="5AC9E759">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324B43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5DBF5C0A">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6626B120">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型式</w:t>
            </w:r>
          </w:p>
        </w:tc>
        <w:tc>
          <w:tcPr>
            <w:tcW w:w="836" w:type="dxa"/>
            <w:tcBorders>
              <w:tl2br w:val="nil"/>
              <w:tr2bl w:val="nil"/>
            </w:tcBorders>
            <w:vAlign w:val="center"/>
          </w:tcPr>
          <w:p w14:paraId="031EBBD5">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566" w:type="dxa"/>
            <w:tcBorders>
              <w:tl2br w:val="nil"/>
              <w:tr2bl w:val="nil"/>
            </w:tcBorders>
            <w:vAlign w:val="center"/>
          </w:tcPr>
          <w:p w14:paraId="2979C618">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钢筋砼圆涵</w:t>
            </w:r>
          </w:p>
        </w:tc>
        <w:tc>
          <w:tcPr>
            <w:tcW w:w="1256" w:type="dxa"/>
            <w:tcBorders>
              <w:tl2br w:val="nil"/>
              <w:tr2bl w:val="nil"/>
            </w:tcBorders>
            <w:vAlign w:val="center"/>
          </w:tcPr>
          <w:p w14:paraId="27021990">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钢筋砼箱涵</w:t>
            </w:r>
          </w:p>
        </w:tc>
        <w:tc>
          <w:tcPr>
            <w:tcW w:w="1257" w:type="dxa"/>
            <w:tcBorders>
              <w:tl2br w:val="nil"/>
              <w:tr2bl w:val="nil"/>
            </w:tcBorders>
            <w:vAlign w:val="center"/>
          </w:tcPr>
          <w:p w14:paraId="69BE782C">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5EC5E6D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103282AF">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0452E70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断面尺寸</w:t>
            </w:r>
          </w:p>
        </w:tc>
        <w:tc>
          <w:tcPr>
            <w:tcW w:w="836" w:type="dxa"/>
            <w:tcBorders>
              <w:tl2br w:val="nil"/>
              <w:tr2bl w:val="nil"/>
            </w:tcBorders>
            <w:vAlign w:val="center"/>
          </w:tcPr>
          <w:p w14:paraId="61ABEBCE">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2B64E17A">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φ1.0</w:t>
            </w:r>
          </w:p>
        </w:tc>
        <w:tc>
          <w:tcPr>
            <w:tcW w:w="1256" w:type="dxa"/>
            <w:tcBorders>
              <w:tl2br w:val="nil"/>
              <w:tr2bl w:val="nil"/>
            </w:tcBorders>
            <w:vAlign w:val="center"/>
          </w:tcPr>
          <w:p w14:paraId="5229F6DE">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1.2×1.8</w:t>
            </w:r>
          </w:p>
        </w:tc>
        <w:tc>
          <w:tcPr>
            <w:tcW w:w="1257" w:type="dxa"/>
            <w:tcBorders>
              <w:tl2br w:val="nil"/>
              <w:tr2bl w:val="nil"/>
            </w:tcBorders>
            <w:vAlign w:val="center"/>
          </w:tcPr>
          <w:p w14:paraId="4EAB1E44">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590AB0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5B8E01E2">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0EBDB699">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长度</w:t>
            </w:r>
          </w:p>
        </w:tc>
        <w:tc>
          <w:tcPr>
            <w:tcW w:w="836" w:type="dxa"/>
            <w:tcBorders>
              <w:tl2br w:val="nil"/>
              <w:tr2bl w:val="nil"/>
            </w:tcBorders>
            <w:vAlign w:val="center"/>
          </w:tcPr>
          <w:p w14:paraId="7BAD412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70827790">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125.0</w:t>
            </w:r>
          </w:p>
        </w:tc>
        <w:tc>
          <w:tcPr>
            <w:tcW w:w="1256" w:type="dxa"/>
            <w:tcBorders>
              <w:tl2br w:val="nil"/>
              <w:tr2bl w:val="nil"/>
            </w:tcBorders>
            <w:vAlign w:val="center"/>
          </w:tcPr>
          <w:p w14:paraId="250E675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109.50</w:t>
            </w:r>
          </w:p>
        </w:tc>
        <w:tc>
          <w:tcPr>
            <w:tcW w:w="1257" w:type="dxa"/>
            <w:tcBorders>
              <w:tl2br w:val="nil"/>
              <w:tr2bl w:val="nil"/>
            </w:tcBorders>
            <w:vAlign w:val="center"/>
          </w:tcPr>
          <w:p w14:paraId="5479AEE6">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0F5390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43D4DE5E">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597DD388">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进口底板高程</w:t>
            </w:r>
          </w:p>
        </w:tc>
        <w:tc>
          <w:tcPr>
            <w:tcW w:w="836" w:type="dxa"/>
            <w:tcBorders>
              <w:tl2br w:val="nil"/>
              <w:tr2bl w:val="nil"/>
            </w:tcBorders>
            <w:vAlign w:val="center"/>
          </w:tcPr>
          <w:p w14:paraId="2FF39461">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p>
        </w:tc>
        <w:tc>
          <w:tcPr>
            <w:tcW w:w="1566" w:type="dxa"/>
            <w:tcBorders>
              <w:tl2br w:val="nil"/>
              <w:tr2bl w:val="nil"/>
            </w:tcBorders>
            <w:vAlign w:val="center"/>
          </w:tcPr>
          <w:p w14:paraId="7E5152D0">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48.3</w:t>
            </w:r>
          </w:p>
        </w:tc>
        <w:tc>
          <w:tcPr>
            <w:tcW w:w="1256" w:type="dxa"/>
            <w:tcBorders>
              <w:tl2br w:val="nil"/>
              <w:tr2bl w:val="nil"/>
            </w:tcBorders>
            <w:vAlign w:val="center"/>
          </w:tcPr>
          <w:p w14:paraId="3E40CE94">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50.50</w:t>
            </w:r>
          </w:p>
        </w:tc>
        <w:tc>
          <w:tcPr>
            <w:tcW w:w="1257" w:type="dxa"/>
            <w:tcBorders>
              <w:tl2br w:val="nil"/>
              <w:tr2bl w:val="nil"/>
            </w:tcBorders>
            <w:vAlign w:val="center"/>
          </w:tcPr>
          <w:p w14:paraId="0E053C81">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5CA7F7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1473ACE8">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211CF207">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设计流量</w:t>
            </w:r>
          </w:p>
        </w:tc>
        <w:tc>
          <w:tcPr>
            <w:tcW w:w="836" w:type="dxa"/>
            <w:tcBorders>
              <w:tl2br w:val="nil"/>
              <w:tr2bl w:val="nil"/>
            </w:tcBorders>
            <w:vAlign w:val="center"/>
          </w:tcPr>
          <w:p w14:paraId="32FA6EB8">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m</w:t>
            </w:r>
            <w:r>
              <w:rPr>
                <w:rFonts w:hint="default" w:ascii="Times New Roman" w:hAnsi="Times New Roman" w:eastAsia="宋体" w:cs="Times New Roman"/>
                <w:spacing w:val="0"/>
                <w:w w:val="100"/>
                <w:position w:val="0"/>
                <w:sz w:val="21"/>
                <w:szCs w:val="21"/>
                <w:vertAlign w:val="superscript"/>
              </w:rPr>
              <w:t>3</w:t>
            </w:r>
            <w:r>
              <w:rPr>
                <w:rFonts w:hint="default" w:ascii="Times New Roman" w:hAnsi="Times New Roman" w:eastAsia="宋体" w:cs="Times New Roman"/>
                <w:spacing w:val="0"/>
                <w:w w:val="100"/>
                <w:position w:val="0"/>
                <w:sz w:val="21"/>
                <w:szCs w:val="21"/>
              </w:rPr>
              <w:t>/s</w:t>
            </w:r>
          </w:p>
        </w:tc>
        <w:tc>
          <w:tcPr>
            <w:tcW w:w="1566" w:type="dxa"/>
            <w:tcBorders>
              <w:tl2br w:val="nil"/>
              <w:tr2bl w:val="nil"/>
            </w:tcBorders>
            <w:vAlign w:val="center"/>
          </w:tcPr>
          <w:p w14:paraId="7CF4B8CD">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2.5</w:t>
            </w:r>
          </w:p>
        </w:tc>
        <w:tc>
          <w:tcPr>
            <w:tcW w:w="1256" w:type="dxa"/>
            <w:tcBorders>
              <w:tl2br w:val="nil"/>
              <w:tr2bl w:val="nil"/>
            </w:tcBorders>
            <w:vAlign w:val="center"/>
          </w:tcPr>
          <w:p w14:paraId="3861210B">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2.5</w:t>
            </w:r>
          </w:p>
        </w:tc>
        <w:tc>
          <w:tcPr>
            <w:tcW w:w="1257" w:type="dxa"/>
            <w:tcBorders>
              <w:tl2br w:val="nil"/>
              <w:tr2bl w:val="nil"/>
            </w:tcBorders>
            <w:vAlign w:val="center"/>
          </w:tcPr>
          <w:p w14:paraId="04D428E4">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4A28A4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20510AE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五</w:t>
            </w:r>
          </w:p>
        </w:tc>
        <w:tc>
          <w:tcPr>
            <w:tcW w:w="2885" w:type="dxa"/>
            <w:tcBorders>
              <w:tl2br w:val="nil"/>
              <w:tr2bl w:val="nil"/>
            </w:tcBorders>
            <w:vAlign w:val="center"/>
          </w:tcPr>
          <w:p w14:paraId="3ED53723">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工程效益</w:t>
            </w:r>
          </w:p>
        </w:tc>
        <w:tc>
          <w:tcPr>
            <w:tcW w:w="836" w:type="dxa"/>
            <w:tcBorders>
              <w:tl2br w:val="nil"/>
              <w:tr2bl w:val="nil"/>
            </w:tcBorders>
            <w:vAlign w:val="center"/>
          </w:tcPr>
          <w:p w14:paraId="34DF5F52">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566" w:type="dxa"/>
            <w:tcBorders>
              <w:tl2br w:val="nil"/>
              <w:tr2bl w:val="nil"/>
            </w:tcBorders>
            <w:vAlign w:val="center"/>
          </w:tcPr>
          <w:p w14:paraId="72E49EA0">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6" w:type="dxa"/>
            <w:tcBorders>
              <w:tl2br w:val="nil"/>
              <w:tr2bl w:val="nil"/>
            </w:tcBorders>
            <w:vAlign w:val="center"/>
          </w:tcPr>
          <w:p w14:paraId="7B467EF0">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1257" w:type="dxa"/>
            <w:tcBorders>
              <w:tl2br w:val="nil"/>
              <w:tr2bl w:val="nil"/>
            </w:tcBorders>
            <w:vAlign w:val="center"/>
          </w:tcPr>
          <w:p w14:paraId="1B4A154B">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2209327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4F8C0ED3">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1ECB13C6">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设计灌溉面积</w:t>
            </w:r>
          </w:p>
        </w:tc>
        <w:tc>
          <w:tcPr>
            <w:tcW w:w="836" w:type="dxa"/>
            <w:tcBorders>
              <w:tl2br w:val="nil"/>
              <w:tr2bl w:val="nil"/>
            </w:tcBorders>
            <w:vAlign w:val="center"/>
          </w:tcPr>
          <w:p w14:paraId="3376B5C4">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万亩</w:t>
            </w:r>
          </w:p>
        </w:tc>
        <w:tc>
          <w:tcPr>
            <w:tcW w:w="1566" w:type="dxa"/>
            <w:tcBorders>
              <w:tl2br w:val="nil"/>
              <w:tr2bl w:val="nil"/>
            </w:tcBorders>
            <w:vAlign w:val="center"/>
          </w:tcPr>
          <w:p w14:paraId="48226BF4">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3.1</w:t>
            </w:r>
          </w:p>
        </w:tc>
        <w:tc>
          <w:tcPr>
            <w:tcW w:w="1256" w:type="dxa"/>
            <w:tcBorders>
              <w:tl2br w:val="nil"/>
              <w:tr2bl w:val="nil"/>
            </w:tcBorders>
            <w:vAlign w:val="center"/>
          </w:tcPr>
          <w:p w14:paraId="722B29BC">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3.1</w:t>
            </w:r>
          </w:p>
        </w:tc>
        <w:tc>
          <w:tcPr>
            <w:tcW w:w="1257" w:type="dxa"/>
            <w:tcBorders>
              <w:tl2br w:val="nil"/>
              <w:tr2bl w:val="nil"/>
            </w:tcBorders>
            <w:vAlign w:val="center"/>
          </w:tcPr>
          <w:p w14:paraId="4ABDE708">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301F55B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0401CB2D">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3ABA3B4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年供水量</w:t>
            </w:r>
          </w:p>
        </w:tc>
        <w:tc>
          <w:tcPr>
            <w:tcW w:w="836" w:type="dxa"/>
            <w:tcBorders>
              <w:tl2br w:val="nil"/>
              <w:tr2bl w:val="nil"/>
            </w:tcBorders>
            <w:vAlign w:val="center"/>
          </w:tcPr>
          <w:p w14:paraId="344D26DF">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万m</w:t>
            </w:r>
            <w:r>
              <w:rPr>
                <w:rFonts w:hint="default" w:ascii="Times New Roman" w:hAnsi="Times New Roman" w:eastAsia="宋体" w:cs="Times New Roman"/>
                <w:spacing w:val="0"/>
                <w:w w:val="100"/>
                <w:position w:val="0"/>
                <w:sz w:val="21"/>
                <w:szCs w:val="21"/>
                <w:vertAlign w:val="superscript"/>
              </w:rPr>
              <w:t>3</w:t>
            </w:r>
          </w:p>
        </w:tc>
        <w:tc>
          <w:tcPr>
            <w:tcW w:w="1566" w:type="dxa"/>
            <w:tcBorders>
              <w:tl2br w:val="nil"/>
              <w:tr2bl w:val="nil"/>
            </w:tcBorders>
            <w:vAlign w:val="center"/>
          </w:tcPr>
          <w:p w14:paraId="21B1E249">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96.0</w:t>
            </w:r>
          </w:p>
        </w:tc>
        <w:tc>
          <w:tcPr>
            <w:tcW w:w="1256" w:type="dxa"/>
            <w:tcBorders>
              <w:tl2br w:val="nil"/>
              <w:tr2bl w:val="nil"/>
            </w:tcBorders>
            <w:vAlign w:val="center"/>
          </w:tcPr>
          <w:p w14:paraId="4CC351E9">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96.0</w:t>
            </w:r>
          </w:p>
        </w:tc>
        <w:tc>
          <w:tcPr>
            <w:tcW w:w="1257" w:type="dxa"/>
            <w:tcBorders>
              <w:tl2br w:val="nil"/>
              <w:tr2bl w:val="nil"/>
            </w:tcBorders>
            <w:vAlign w:val="center"/>
          </w:tcPr>
          <w:p w14:paraId="52CAE5AE">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r w14:paraId="58B3BA7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exact"/>
          <w:jc w:val="center"/>
        </w:trPr>
        <w:tc>
          <w:tcPr>
            <w:tcW w:w="567" w:type="dxa"/>
            <w:tcBorders>
              <w:tl2br w:val="nil"/>
              <w:tr2bl w:val="nil"/>
            </w:tcBorders>
            <w:vAlign w:val="center"/>
          </w:tcPr>
          <w:p w14:paraId="4860F1A6">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c>
          <w:tcPr>
            <w:tcW w:w="2885" w:type="dxa"/>
            <w:tcBorders>
              <w:tl2br w:val="nil"/>
              <w:tr2bl w:val="nil"/>
            </w:tcBorders>
            <w:vAlign w:val="center"/>
          </w:tcPr>
          <w:p w14:paraId="45E96705">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保护人口</w:t>
            </w:r>
          </w:p>
        </w:tc>
        <w:tc>
          <w:tcPr>
            <w:tcW w:w="836" w:type="dxa"/>
            <w:tcBorders>
              <w:tl2br w:val="nil"/>
              <w:tr2bl w:val="nil"/>
            </w:tcBorders>
            <w:vAlign w:val="center"/>
          </w:tcPr>
          <w:p w14:paraId="2465DDE0">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万人</w:t>
            </w:r>
          </w:p>
        </w:tc>
        <w:tc>
          <w:tcPr>
            <w:tcW w:w="1566" w:type="dxa"/>
            <w:tcBorders>
              <w:tl2br w:val="nil"/>
              <w:tr2bl w:val="nil"/>
            </w:tcBorders>
            <w:vAlign w:val="center"/>
          </w:tcPr>
          <w:p w14:paraId="7DF2F584">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3.0</w:t>
            </w:r>
          </w:p>
        </w:tc>
        <w:tc>
          <w:tcPr>
            <w:tcW w:w="1256" w:type="dxa"/>
            <w:tcBorders>
              <w:tl2br w:val="nil"/>
              <w:tr2bl w:val="nil"/>
            </w:tcBorders>
            <w:vAlign w:val="center"/>
          </w:tcPr>
          <w:p w14:paraId="4E649C30">
            <w:pPr>
              <w:keepNext w:val="0"/>
              <w:keepLines w:val="0"/>
              <w:pageBreakBefore w:val="0"/>
              <w:widowControl w:val="0"/>
              <w:kinsoku/>
              <w:wordWrap/>
              <w:overflowPunct/>
              <w:topLinePunct w:val="0"/>
              <w:autoSpaceDE/>
              <w:autoSpaceDN/>
              <w:bidi w:val="0"/>
              <w:adjustRightInd/>
              <w:snapToGrid w:val="0"/>
              <w:spacing w:after="0" w:line="240" w:lineRule="auto"/>
              <w:ind w:left="0" w:right="0"/>
              <w:jc w:val="center"/>
              <w:textAlignment w:val="auto"/>
              <w:rPr>
                <w:rFonts w:hint="default" w:ascii="Times New Roman" w:hAnsi="Times New Roman" w:eastAsia="宋体" w:cs="Times New Roman"/>
                <w:spacing w:val="0"/>
                <w:w w:val="100"/>
                <w:position w:val="0"/>
                <w:sz w:val="21"/>
                <w:szCs w:val="21"/>
              </w:rPr>
            </w:pPr>
            <w:r>
              <w:rPr>
                <w:rFonts w:hint="default" w:ascii="Times New Roman" w:hAnsi="Times New Roman" w:eastAsia="宋体" w:cs="Times New Roman"/>
                <w:spacing w:val="0"/>
                <w:w w:val="100"/>
                <w:position w:val="0"/>
                <w:sz w:val="21"/>
                <w:szCs w:val="21"/>
              </w:rPr>
              <w:t>3.0</w:t>
            </w:r>
          </w:p>
        </w:tc>
        <w:tc>
          <w:tcPr>
            <w:tcW w:w="1257" w:type="dxa"/>
            <w:tcBorders>
              <w:tl2br w:val="nil"/>
              <w:tr2bl w:val="nil"/>
            </w:tcBorders>
            <w:vAlign w:val="center"/>
          </w:tcPr>
          <w:p w14:paraId="4F5FDDCF">
            <w:pPr>
              <w:keepNext w:val="0"/>
              <w:keepLines w:val="0"/>
              <w:pageBreakBefore w:val="0"/>
              <w:widowControl w:val="0"/>
              <w:kinsoku/>
              <w:wordWrap/>
              <w:overflowPunct/>
              <w:topLinePunct w:val="0"/>
              <w:autoSpaceDE/>
              <w:autoSpaceDN/>
              <w:bidi w:val="0"/>
              <w:adjustRightInd/>
              <w:snapToGrid w:val="0"/>
              <w:spacing w:line="240" w:lineRule="auto"/>
              <w:ind w:left="0" w:right="0"/>
              <w:jc w:val="center"/>
              <w:textAlignment w:val="auto"/>
              <w:rPr>
                <w:rFonts w:hint="default" w:ascii="Times New Roman" w:hAnsi="Times New Roman" w:eastAsia="宋体" w:cs="Times New Roman"/>
                <w:spacing w:val="0"/>
                <w:w w:val="100"/>
                <w:position w:val="0"/>
                <w:sz w:val="21"/>
                <w:szCs w:val="21"/>
              </w:rPr>
            </w:pPr>
          </w:p>
        </w:tc>
      </w:tr>
    </w:tbl>
    <w:p w14:paraId="1B5F8798">
      <w:pPr>
        <w:pStyle w:val="5"/>
        <w:bidi w:val="0"/>
        <w:rPr>
          <w:rFonts w:hint="default" w:ascii="Times New Roman" w:hAnsi="Times New Roman" w:cs="Times New Roman"/>
        </w:rPr>
      </w:pPr>
      <w:r>
        <w:rPr>
          <w:rFonts w:hint="default" w:ascii="Times New Roman" w:hAnsi="Times New Roman" w:cs="Times New Roman"/>
        </w:rPr>
        <w:t>大坝</w:t>
      </w:r>
    </w:p>
    <w:p w14:paraId="0B76EA6D">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大坝原设计为粘土斜墙坝，坝顶高程71.10m，最大坝高26.0m，大坝全长627m</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坝顶宽5.</w:t>
      </w:r>
      <w:r>
        <w:rPr>
          <w:rFonts w:hint="default" w:ascii="Times New Roman" w:hAnsi="Times New Roman" w:eastAsia="宋体" w:cs="Times New Roman"/>
          <w:color w:val="auto"/>
          <w:spacing w:val="0"/>
          <w:w w:val="100"/>
          <w:position w:val="0"/>
          <w:sz w:val="24"/>
          <w:szCs w:val="24"/>
          <w:u w:val="none" w:color="auto"/>
          <w:lang w:val="en-US" w:eastAsia="zh-CN"/>
        </w:rPr>
        <w:t>0</w:t>
      </w:r>
      <w:r>
        <w:rPr>
          <w:rFonts w:hint="default" w:ascii="Times New Roman" w:hAnsi="Times New Roman" w:eastAsia="宋体" w:cs="Times New Roman"/>
          <w:color w:val="auto"/>
          <w:spacing w:val="0"/>
          <w:w w:val="100"/>
          <w:position w:val="0"/>
          <w:sz w:val="24"/>
          <w:szCs w:val="24"/>
          <w:u w:val="none" w:color="auto"/>
        </w:rPr>
        <w:t>m，坝顶采用C30混凝土硬化处理，厚0.2m。大坝迎水坡分两级，坡比自上而下分别为1</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2.7、1</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3.0，在高程61.30m处设有宽2.</w:t>
      </w:r>
      <w:r>
        <w:rPr>
          <w:rFonts w:hint="default" w:ascii="Times New Roman" w:hAnsi="Times New Roman" w:eastAsia="宋体" w:cs="Times New Roman"/>
          <w:color w:val="auto"/>
          <w:spacing w:val="0"/>
          <w:w w:val="100"/>
          <w:position w:val="0"/>
          <w:sz w:val="24"/>
          <w:szCs w:val="24"/>
          <w:u w:val="none" w:color="auto"/>
          <w:lang w:val="en-US" w:eastAsia="zh-CN"/>
        </w:rPr>
        <w:t>0</w:t>
      </w:r>
      <w:r>
        <w:rPr>
          <w:rFonts w:hint="default" w:ascii="Times New Roman" w:hAnsi="Times New Roman" w:eastAsia="宋体" w:cs="Times New Roman"/>
          <w:color w:val="auto"/>
          <w:spacing w:val="0"/>
          <w:w w:val="100"/>
          <w:position w:val="0"/>
          <w:sz w:val="24"/>
          <w:szCs w:val="24"/>
          <w:u w:val="none" w:color="auto"/>
        </w:rPr>
        <w:t>m的马道，平台高程以上为浆砌六边形预制砼块护坡，以下为干砌块石护坡。大坝背水坡分三级，坡比自上而下分别为1</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2.0、1</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2.5、1</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2.5，在高程65.10m与高程57.10m处均设有宽2.0m的马道，高程51.60m以上为草皮护坡，高程51.60m以下为压浸平台。2009年在大坝迎水坡高程61.30m马道处平行坝轴线方向设有高压摆喷桩防渗墙及防渗帷幕(单排布置)</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高程61.30m以上坝坡修整后敷设复合土工膜防渗层，形成大坝新的防渗系统。</w:t>
      </w:r>
    </w:p>
    <w:p w14:paraId="1BA626ED">
      <w:pPr>
        <w:pStyle w:val="5"/>
        <w:bidi w:val="0"/>
        <w:rPr>
          <w:rFonts w:hint="default" w:ascii="Times New Roman" w:hAnsi="Times New Roman" w:cs="Times New Roman"/>
        </w:rPr>
      </w:pPr>
      <w:r>
        <w:rPr>
          <w:rFonts w:hint="default" w:ascii="Times New Roman" w:hAnsi="Times New Roman" w:cs="Times New Roman"/>
        </w:rPr>
        <w:t>溢洪道</w:t>
      </w:r>
    </w:p>
    <w:p w14:paraId="14E92349">
      <w:pPr>
        <w:keepNext w:val="0"/>
        <w:keepLines w:val="0"/>
        <w:pageBreakBefore w:val="0"/>
        <w:widowControl w:val="0"/>
        <w:overflowPunct/>
        <w:autoSpaceDE/>
        <w:autoSpaceDN/>
        <w:bidi w:val="0"/>
        <w:snapToGrid/>
        <w:spacing w:line="360" w:lineRule="auto"/>
        <w:ind w:left="0" w:right="0" w:firstLine="56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溢洪道位于大坝右岸原冲沟处，总长78.625m</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原设计为无闸门控制的开敞式宽顶堰，堰顶高程67.50m，堰顶宽45m</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根据本次现状测量断面数据，控制段内设有0.6m高小坎。泄槽分两段，第一段泄槽收缩段，宽度由45m收缩至36.16m，长4.95米，底坡i=0.1</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第二段泄槽收缩段</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宽度由36.16m收缩至31.5m</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长36.99m</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底坡i=0.35</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泄槽底板为C20钢筋混凝土结构，厚30cm，泄槽后接消力池，池深1.2m，长17.0m</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宽31m，池底高程56.00m。消力池的出水渠末端接入下游渠道排走。</w:t>
      </w:r>
    </w:p>
    <w:p w14:paraId="0C677EC3">
      <w:pPr>
        <w:pStyle w:val="5"/>
        <w:bidi w:val="0"/>
        <w:rPr>
          <w:rFonts w:hint="default" w:ascii="Times New Roman" w:hAnsi="Times New Roman" w:cs="Times New Roman"/>
        </w:rPr>
      </w:pPr>
      <w:r>
        <w:rPr>
          <w:rFonts w:hint="default" w:ascii="Times New Roman" w:hAnsi="Times New Roman" w:cs="Times New Roman"/>
        </w:rPr>
        <w:t>输水设施</w:t>
      </w:r>
    </w:p>
    <w:p w14:paraId="12DEF26A">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东山水库原设计输水涵洞已于2009年除险加固时封堵废弃，原涵洞出口处存在坍塌、崩坡及渗漏等现象。新建输水隧洞位于大坝左岸，总长为113m，进口底板高程为48.30m，出口底板高程为48.30m，内径为1.5m</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采用厚300mm钢筋混凝土衬砌设计流量为2.5m/s。</w:t>
      </w:r>
    </w:p>
    <w:p w14:paraId="2699A552">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隧洞进口闸室喇叭口设有检修闸门，尺寸为3.8</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3.5m(宽</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高)，工作闸门尺寸为1.8</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2.2m(宽</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高)</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拦污栅为“7”字形固定在闸室入口位置。启闭机房位于进水口闸墩上，闸墩顶部高程为70.0m，启闭机平台高程为72.7m，启闭机房平面尺寸为5.65</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4.65m(长</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宽)，启闭机房排架柱共6个，断面尺寸为0.6</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0.5m(长</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宽)。启闭台与对外交通采用工作桥连接，桥长27.2m，桥面宽1.3m，布置3跨。</w:t>
      </w:r>
    </w:p>
    <w:p w14:paraId="59A4F7A6">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隧洞出口接抬升井，尺寸为2.0</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3.0m，深11.3m，顶部采用5块预制活动盖板遮盖</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抬升井后与暗涵相连，该暗涵为直径1.</w:t>
      </w:r>
      <w:r>
        <w:rPr>
          <w:rFonts w:hint="default" w:ascii="Times New Roman" w:hAnsi="Times New Roman" w:eastAsia="宋体" w:cs="Times New Roman"/>
          <w:color w:val="auto"/>
          <w:spacing w:val="0"/>
          <w:w w:val="100"/>
          <w:position w:val="0"/>
          <w:sz w:val="24"/>
          <w:szCs w:val="24"/>
          <w:u w:val="none" w:color="auto"/>
          <w:lang w:val="en-US" w:eastAsia="zh-CN"/>
        </w:rPr>
        <w:t>0</w:t>
      </w:r>
      <w:r>
        <w:rPr>
          <w:rFonts w:hint="default" w:ascii="Times New Roman" w:hAnsi="Times New Roman" w:eastAsia="宋体" w:cs="Times New Roman"/>
          <w:color w:val="auto"/>
          <w:spacing w:val="0"/>
          <w:w w:val="100"/>
          <w:position w:val="0"/>
          <w:sz w:val="24"/>
          <w:szCs w:val="24"/>
          <w:u w:val="none" w:color="auto"/>
        </w:rPr>
        <w:t>m的预制砼圆涵，总长125m。暗涵出口接高低渠分水闸，开启闸门水便直接流入低渠，当关闭分水闸，抬高水位，则可使水流进入高渠。</w:t>
      </w:r>
    </w:p>
    <w:p w14:paraId="4A11C432">
      <w:pPr>
        <w:pStyle w:val="5"/>
        <w:bidi w:val="0"/>
        <w:rPr>
          <w:rFonts w:hint="default" w:ascii="Times New Roman" w:hAnsi="Times New Roman" w:cs="Times New Roman"/>
          <w:lang w:val="en-US" w:eastAsia="zh-CN"/>
        </w:rPr>
      </w:pPr>
      <w:r>
        <w:rPr>
          <w:rFonts w:hint="default" w:ascii="Times New Roman" w:hAnsi="Times New Roman" w:cs="Times New Roman"/>
          <w:lang w:eastAsia="zh-CN"/>
        </w:rPr>
        <w:t>引水设施</w:t>
      </w:r>
    </w:p>
    <w:p w14:paraId="78C88A27">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为确保水库蓄水能力和蓄水安全，1974年在右岸库区距离大坝200m处设有引水渠，外引集雨面积1.19km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2</w:t>
      </w:r>
      <w:r>
        <w:rPr>
          <w:rFonts w:hint="default" w:ascii="Times New Roman" w:hAnsi="Times New Roman" w:eastAsia="宋体" w:cs="Times New Roman"/>
          <w:color w:val="auto"/>
          <w:spacing w:val="0"/>
          <w:w w:val="100"/>
          <w:position w:val="0"/>
          <w:sz w:val="24"/>
          <w:szCs w:val="24"/>
          <w:u w:val="none" w:color="auto"/>
        </w:rPr>
        <w:t>。引水渠于1974年建成，为半挖半填土渠，同时具有引水与排坡面山洪的功能，引水渠引水流量为1.0m</w:t>
      </w:r>
      <w:r>
        <w:rPr>
          <w:rFonts w:hint="default" w:ascii="Times New Roman" w:hAnsi="Times New Roman" w:eastAsia="宋体" w:cs="Times New Roman"/>
          <w:color w:val="auto"/>
          <w:spacing w:val="0"/>
          <w:w w:val="100"/>
          <w:position w:val="0"/>
          <w:sz w:val="24"/>
          <w:szCs w:val="24"/>
          <w:u w:val="none" w:color="auto"/>
          <w:vertAlign w:val="superscript"/>
        </w:rPr>
        <w:t>2</w:t>
      </w:r>
      <w:r>
        <w:rPr>
          <w:rFonts w:hint="default" w:ascii="Times New Roman" w:hAnsi="Times New Roman" w:eastAsia="宋体" w:cs="Times New Roman"/>
          <w:color w:val="auto"/>
          <w:spacing w:val="0"/>
          <w:w w:val="100"/>
          <w:position w:val="0"/>
          <w:sz w:val="24"/>
          <w:szCs w:val="24"/>
          <w:u w:val="none" w:color="auto"/>
        </w:rPr>
        <w:t>/s，长度为851m，其中暗涵长92.0m。引水渠在分水岭处设有钢筋混凝土节制闸1.2</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1.2m(宽</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高)，外引集雨面积区设有钢筋混凝土泄洪闸1.2</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1.2m(宽</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高)。根据水库调度原则，洪水期间，需将引水渠节制闸关闭并打开泄洪闸，使外引集雨面积及坡面洪水不入库，以保证水库安全，非洪水期间，开启节制闸门并关闭泄洪闸门，将引水入库。</w:t>
      </w:r>
    </w:p>
    <w:p w14:paraId="35CD4971">
      <w:pPr>
        <w:pStyle w:val="5"/>
        <w:bidi w:val="0"/>
        <w:rPr>
          <w:rFonts w:hint="default" w:ascii="Times New Roman" w:hAnsi="Times New Roman" w:cs="Times New Roman"/>
        </w:rPr>
      </w:pPr>
      <w:r>
        <w:rPr>
          <w:rFonts w:hint="default" w:ascii="Times New Roman" w:hAnsi="Times New Roman" w:cs="Times New Roman"/>
        </w:rPr>
        <w:t>防汛道路</w:t>
      </w:r>
    </w:p>
    <w:p w14:paraId="5FFAE246">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val="en-US" w:eastAsia="zh-CN"/>
        </w:rPr>
        <w:t>东山水库管理所担负东山水库及外引的战备水库、高山水库两个小（2）型水库和灌区各项职能管理任务。目前管理所至库内两处外引水库现有简易防汛道路，防汛公路盘山而行，路面宽度2～3.5m，全长1.278km。</w:t>
      </w:r>
    </w:p>
    <w:p w14:paraId="1866FBD2">
      <w:pPr>
        <w:pStyle w:val="5"/>
        <w:bidi w:val="0"/>
        <w:rPr>
          <w:rFonts w:hint="default" w:ascii="Times New Roman" w:hAnsi="Times New Roman" w:cs="Times New Roman"/>
        </w:rPr>
      </w:pPr>
      <w:r>
        <w:rPr>
          <w:rFonts w:hint="default" w:ascii="Times New Roman" w:hAnsi="Times New Roman" w:cs="Times New Roman"/>
        </w:rPr>
        <w:t>管理房</w:t>
      </w:r>
    </w:p>
    <w:p w14:paraId="01795571">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管理用房位于大坝左坝肩，长25m、宽10m，建筑面积为500m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2</w:t>
      </w:r>
      <w:r>
        <w:rPr>
          <w:rFonts w:hint="default" w:ascii="Times New Roman" w:hAnsi="Times New Roman" w:eastAsia="宋体" w:cs="Times New Roman"/>
          <w:color w:val="auto"/>
          <w:spacing w:val="0"/>
          <w:w w:val="100"/>
          <w:position w:val="0"/>
          <w:sz w:val="24"/>
          <w:szCs w:val="24"/>
          <w:u w:val="none" w:color="auto"/>
          <w:lang w:val="en-US" w:eastAsia="zh-CN"/>
        </w:rPr>
        <w:t>，为两层砖混结构楼房，设有办公室、卧室、厨房、厕所等，因使用年限已达四十余年，房屋结构不同程度发现裂缝、脱块、蜂窝、麻面等现象，柱子和梁局部存在粗骨料外露现象，管理用房已鉴定为D级，房屋承重结构承载力已不能满足正常使用要求，房屋整体出现险情，构成整幢危房。</w:t>
      </w:r>
    </w:p>
    <w:p w14:paraId="524DE288">
      <w:pPr>
        <w:pStyle w:val="4"/>
        <w:bidi w:val="0"/>
        <w:rPr>
          <w:rFonts w:hint="default" w:ascii="Times New Roman" w:hAnsi="Times New Roman" w:cs="Times New Roman"/>
          <w:lang w:eastAsia="zh-CN"/>
        </w:rPr>
      </w:pPr>
      <w:bookmarkStart w:id="96" w:name="_Toc10942"/>
      <w:r>
        <w:rPr>
          <w:rFonts w:hint="default" w:ascii="Times New Roman" w:hAnsi="Times New Roman" w:cs="Times New Roman"/>
          <w:lang w:eastAsia="zh-CN"/>
        </w:rPr>
        <w:t>东山水库历年安全鉴定及除险加固情况</w:t>
      </w:r>
      <w:bookmarkEnd w:id="96"/>
    </w:p>
    <w:p w14:paraId="07B84A7F">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东山水库大坝新建之初为典型的“三边”工程，即边勘测、边设计、边施工，大坝1971年动工，1974年竣工。</w:t>
      </w:r>
    </w:p>
    <w:p w14:paraId="00D726ED">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水库建成蓄水运行后，在1982年对大坝进行整修，迎水面补填1.5m~3m厚的黏土斜墙，在后续一定时期内从一定程度上缓解了坝体渗漏问题。</w:t>
      </w:r>
    </w:p>
    <w:p w14:paraId="7BCB69EC">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1997年3月在下游坝脚加修了长400m、宽30m的压浸平台，但运行至今大坝变形较大和渗漏问题仍未彻底解决。</w:t>
      </w:r>
    </w:p>
    <w:p w14:paraId="310B9D57">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2007年湖南南方水利水电勘测设计院受业主委托对大坝进行安全评价，编制完成了《湖南省华容县东山水库大坝安全鉴定报告》，主要结论为：①大坝基础处理未将砂砾石层进行全部清除，未对坝基进行帷幕灌浆处理，两岸坝肩清基工作不彻底，坝基及坝肩存在一定的渗漏；②坝体填筑质量未达到设计要求；③排水棱体没有设置反滤层，风化严重，排水不畅；④溢洪道未达到设计要求，未对溢洪道进行帷幕灌浆处理，溢洪道侧墙、底板破损严重。⑤坝坡及管理房存在白蚁危害。</w:t>
      </w:r>
    </w:p>
    <w:p w14:paraId="20F780AC">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2007年5月湖南省水利厅对东山水库大坝进行安全鉴定，2008年3月经水利部大坝安全管理中心核查确认为“三类坝”（坝函【2008】679号）。存在的主要病险有：大坝坝体、坝基渗漏，大坝上游护坡块石风化破损，溢洪道的基础及堰体渗漏，输水涵洞多处裂缝、渗漏严重，大坝监测设施缺乏，防汛公路、管理所危房改造等。</w:t>
      </w:r>
    </w:p>
    <w:p w14:paraId="004B82E7">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2007年7月湖南南方水利水电勘测设计院完成了大坝除险加固工程初步设计，湖南省水利厅以《关于湖南省华容县东山水库除险加固工程初步设计的批复》（湘水建管【2008】130号）文件，批复了该水库除险加固工程初步设计。</w:t>
      </w:r>
    </w:p>
    <w:p w14:paraId="43D21AEC">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2008年9月，水利部长江委以《关于湖南省病险水库除险加固工程初步设计复核意见的函》（长规计【2008】518号）文件，复核了该水库除险加固工程初步设计。</w:t>
      </w:r>
    </w:p>
    <w:p w14:paraId="3EF9E754">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初设批复的主要内容：①坝基帷幕灌浆；②在上游坝坡平台高程61.30m进行坝体高压摆喷灌浆；③大坝上游平台高程61.30m以上坝坡采用土工膜防渗并做砼预制块护坡；④大坝下游草皮护坡和坡脚冲抓导渗井、排水沟导渗；⑤溢洪道堰体基础进行帷幕灌浆，拆除原浆砌石实用堰，采用C20砼浇筑堰体和部分泄槽底板，重建消力池和出水渠护砌；⑥新建输水隧洞113m及安装125m预制涵管；⑦原输水暗涵封堵；⑧引水渠泄洪闸、节制闸改造；⑨防汛公路改造2.5km；⑩金属结构制作及安装等项目。</w:t>
      </w:r>
    </w:p>
    <w:p w14:paraId="355EF879">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2009年4月，湖南省水利厅组织专家对《华容县东山水库除险加固工程初步设计报告》进行了审查并批复同意实施。</w:t>
      </w:r>
    </w:p>
    <w:p w14:paraId="381CCC28">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2009年11月东山水库大坝除险加固工程开工，于2010年10月完工。主要加固工作内容为：上游进行六方砖护面、帷幕灌浆，重修溢洪道以及下游护脚，经过加固后，大坝工作条件有一定程度改善，但没有解决根本问题。其施工过程为：</w:t>
      </w:r>
    </w:p>
    <w:p w14:paraId="734F2B40">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坝基和坝体灌浆工程：2009年11月8日坝基帷幕灌浆和坝体高压摆喷灌浆开始施工，2010年1月30日完成。</w:t>
      </w:r>
    </w:p>
    <w:p w14:paraId="24657AA1">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上游护坡改造工程：2009年11月12日开工，2010年7月20日完工。下游护坡改造工程：2010年3月10日开工，2010年7月20日完工。输水隧洞改造工程：2009年11月20日开工，2010年6月28日完工。溢洪道改造工程：2009年11月开工，2010年7月完工。金属结构改造工程：2009年12月22日开工，2010年6月完工。防汛公路工程：2009年8月10日开工，同年10月10日完工。</w:t>
      </w:r>
    </w:p>
    <w:p w14:paraId="7C4C0148">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根据2010年10月《湖南省华容县东山水库除险加固工程竣工验收鉴定书》中，本工程项目划分为1个单位工程，8个分部工程，经验收工作组评定全部合格，合格率100%，工程质量等级为合格。岳阳市水利局关于印发华容县东山水库、北汊水库除险加固工程竣工验收鉴定书的通知（岳市水利函【2019】107号）。</w:t>
      </w:r>
    </w:p>
    <w:p w14:paraId="322754BF">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东山水库除险加固完工已近10年，期间未对大坝及其他主要建筑物做过安全评价工作。目前大坝出现不同程度的渗漏、坝顶混凝土路面产生沿坝轴线方向的结构性裂缝等不利情况。根据《水库大坝安全鉴定办法》的相关规定，湖南省东山水库管理所于2020年4月，委托水发规划设计有限公司承担水库大坝安全评价工作。</w:t>
      </w:r>
    </w:p>
    <w:p w14:paraId="4F4C0B80">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2020年5月，水发规划设计有限公司对东山水库进行安全评价工作，其主要结论为：</w:t>
      </w:r>
    </w:p>
    <w:p w14:paraId="39C371AD">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(1)根据《中国地震动参数区划图》(GB18306-2015)，区内基本地震动峰值加速度为0.05g，基本地震动反应谱特征周期为0.35s，对应的地震基本烈度为VI度，可不进行地震安全复核。</w:t>
      </w:r>
    </w:p>
    <w:p w14:paraId="416D4BA7">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(2)坝体填筑成分复杂，均匀性差、碾压不均匀，渗透性不能满足土坝的要求；</w:t>
      </w:r>
    </w:p>
    <w:p w14:paraId="280C9E47">
      <w:pPr>
        <w:keepNext w:val="0"/>
        <w:keepLines w:val="0"/>
        <w:pageBreakBefore w:val="0"/>
        <w:widowControl w:val="0"/>
        <w:numPr>
          <w:ilvl w:val="0"/>
          <w:numId w:val="0"/>
        </w:numPr>
        <w:kinsoku/>
        <w:wordWrap w:val="0"/>
        <w:overflowPunct/>
        <w:topLinePunct/>
        <w:autoSpaceDE/>
        <w:autoSpaceDN/>
        <w:bidi w:val="0"/>
        <w:adjustRightInd w:val="0"/>
        <w:snapToGrid/>
        <w:spacing w:after="0" w:line="360" w:lineRule="auto"/>
        <w:ind w:firstLine="480" w:firstLineChars="20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(3)高压摆喷灌浆局部搭接存在缺陷，未能形成连续有效的防渗墙，上部土工膜多处出现小孔并破坏，且经过长时间的运行出现老化，防渗效果差。因此大坝未能完成有效连续封闭的防渗体系。</w:t>
      </w:r>
    </w:p>
    <w:p w14:paraId="16D31949">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(4)大坝两岸山坡稳定性较好。 </w:t>
      </w:r>
    </w:p>
    <w:p w14:paraId="647FDE42">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b/>
          <w:caps w:val="0"/>
          <w:smallCaps w:val="0"/>
          <w:color w:val="auto"/>
          <w:spacing w:val="0"/>
          <w:w w:val="100"/>
          <w:position w:val="0"/>
          <w:sz w:val="28"/>
          <w:szCs w:val="28"/>
          <w:u w:val="none" w:color="auto"/>
          <w:lang w:eastAsia="zh-CN"/>
        </w:rPr>
      </w:pPr>
      <w:r>
        <w:rPr>
          <w:rFonts w:hint="default" w:ascii="Times New Roman" w:hAnsi="Times New Roman" w:eastAsia="宋体" w:cs="Times New Roman"/>
          <w:b/>
          <w:caps w:val="0"/>
          <w:smallCaps w:val="0"/>
          <w:color w:val="auto"/>
          <w:spacing w:val="0"/>
          <w:w w:val="100"/>
          <w:position w:val="0"/>
          <w:sz w:val="28"/>
          <w:szCs w:val="28"/>
          <w:u w:val="none" w:color="auto"/>
          <w:lang w:eastAsia="zh-CN"/>
        </w:rPr>
        <w:t>2.1.</w:t>
      </w:r>
      <w:r>
        <w:rPr>
          <w:rFonts w:hint="default" w:ascii="Times New Roman" w:hAnsi="Times New Roman" w:eastAsia="宋体" w:cs="Times New Roman"/>
          <w:b/>
          <w:caps w:val="0"/>
          <w:smallCaps w:val="0"/>
          <w:color w:val="auto"/>
          <w:spacing w:val="0"/>
          <w:w w:val="100"/>
          <w:position w:val="0"/>
          <w:sz w:val="28"/>
          <w:szCs w:val="28"/>
          <w:u w:val="none" w:color="auto"/>
          <w:lang w:val="en-US" w:eastAsia="zh-CN"/>
        </w:rPr>
        <w:t>4</w:t>
      </w:r>
      <w:r>
        <w:rPr>
          <w:rFonts w:hint="default" w:ascii="Times New Roman" w:hAnsi="Times New Roman" w:eastAsia="宋体" w:cs="Times New Roman"/>
          <w:b/>
          <w:caps w:val="0"/>
          <w:smallCaps w:val="0"/>
          <w:color w:val="auto"/>
          <w:spacing w:val="0"/>
          <w:w w:val="100"/>
          <w:position w:val="0"/>
          <w:sz w:val="28"/>
          <w:szCs w:val="28"/>
          <w:u w:val="none" w:color="auto"/>
        </w:rPr>
        <w:t xml:space="preserve"> </w:t>
      </w:r>
      <w:r>
        <w:rPr>
          <w:rFonts w:hint="default" w:ascii="Times New Roman" w:hAnsi="Times New Roman" w:eastAsia="宋体" w:cs="Times New Roman"/>
          <w:b/>
          <w:caps w:val="0"/>
          <w:smallCaps w:val="0"/>
          <w:color w:val="auto"/>
          <w:spacing w:val="0"/>
          <w:w w:val="100"/>
          <w:position w:val="0"/>
          <w:sz w:val="28"/>
          <w:szCs w:val="28"/>
          <w:u w:val="none" w:color="auto"/>
          <w:lang w:eastAsia="zh-CN"/>
        </w:rPr>
        <w:t>东山水库存在的问题</w:t>
      </w:r>
    </w:p>
    <w:p w14:paraId="2F266A52">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2020年4月，水发规划设计有限公司承担东山水库大坝安全评价工作，于2020年8完成了《湖南省华容县东山水库大坝安全评价报告》，发现的主要问题有：</w:t>
      </w:r>
    </w:p>
    <w:p w14:paraId="738FA8DC">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（1）大坝</w:t>
      </w:r>
    </w:p>
    <w:p w14:paraId="00C9C70B">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①大坝坝顶裂缝</w:t>
      </w:r>
    </w:p>
    <w:p w14:paraId="117B6034">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大坝.上部为防讯公路，砼路面，运行多年，坝顶多处发育的纵向裂缝几近贯通，见照片1，坝顶整体平整度一般，局部存在坍塌、隆起、宽裂缝现象，宽裂缝沿坝轴线方向分布，总长为250. 9m，根据勘察探坑开挖显示，大坝路面厚度不一，最厚的部分达30cm，最薄的部位，厚度约10cm，路面以下为20cm碎石层和20cm灰土层，碎石层主要为碎石土、砂等组成，厚度不均一，松散，未碾压密实；灰土层灰黑色，灰色，较密实，裂缝主要分布于砼路面，碎石层由于比较松散，未能发现明显的裂缝，灰土层部分能见微裂纹。</w:t>
      </w:r>
    </w:p>
    <w:p w14:paraId="41DB296F">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在坝顶裂缝处进行了4处探槽，深度0.1~0. 5m，仅TK1土体裂缝，大致垂直，裂缝呈闭合状，裂缝发育深度约为0. 4m，其他探坑均仅表部砼见裂缝，未见向坝体下部延伸。据水管部门反映，浇筑大坝防汛公路时，未对上部碎石层进行平整和压实，因此造成砼路面厚薄不一，下部存在架空等现象。见照片。</w:t>
      </w:r>
    </w:p>
    <w:p w14:paraId="2F2932C3">
      <w:pPr>
        <w:keepNext w:val="0"/>
        <w:keepLines w:val="0"/>
        <w:pageBreakBefore w:val="0"/>
        <w:widowControl w:val="0"/>
        <w:kinsoku/>
        <w:wordWrap/>
        <w:overflowPunct/>
        <w:topLinePunct w:val="0"/>
        <w:autoSpaceDE/>
        <w:autoSpaceDN/>
        <w:bidi w:val="0"/>
        <w:adjustRightInd/>
        <w:snapToGrid/>
        <w:spacing w:line="360" w:lineRule="auto"/>
        <w:ind w:right="0" w:firstLine="420" w:firstLineChars="200"/>
        <w:jc w:val="left"/>
        <w:textAlignment w:val="auto"/>
        <w:rPr>
          <w:rFonts w:hint="default" w:ascii="Times New Roman" w:hAnsi="Times New Roman" w:cs="Times New Roman"/>
          <w:lang w:val="en-US" w:eastAsia="zh-CN"/>
        </w:rPr>
      </w:pPr>
      <w:r>
        <w:rPr>
          <w:rFonts w:hint="default" w:ascii="Times New Roman" w:hAnsi="Times New Roman" w:cs="Times New Roman"/>
        </w:rPr>
        <w:drawing>
          <wp:inline distT="0" distB="0" distL="114300" distR="114300">
            <wp:extent cx="4776470" cy="3768090"/>
            <wp:effectExtent l="0" t="0" r="8890" b="11430"/>
            <wp:docPr id="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1"/>
                    </pic:cNvPicPr>
                  </pic:nvPicPr>
                  <pic:blipFill>
                    <a:blip r:embed="rId30"/>
                    <a:srcRect b="724"/>
                    <a:stretch>
                      <a:fillRect/>
                    </a:stretch>
                  </pic:blipFill>
                  <pic:spPr>
                    <a:xfrm>
                      <a:off x="0" y="0"/>
                      <a:ext cx="4776470" cy="3768090"/>
                    </a:xfrm>
                    <a:prstGeom prst="rect">
                      <a:avLst/>
                    </a:prstGeom>
                    <a:noFill/>
                    <a:ln>
                      <a:noFill/>
                    </a:ln>
                  </pic:spPr>
                </pic:pic>
              </a:graphicData>
            </a:graphic>
          </wp:inline>
        </w:drawing>
      </w:r>
      <w:r>
        <w:rPr>
          <w:rFonts w:hint="default" w:ascii="Times New Roman" w:hAnsi="Times New Roman" w:cs="Times New Roman"/>
          <w:lang w:val="en-US" w:eastAsia="zh-CN"/>
        </w:rPr>
        <w:t xml:space="preserve">         </w:t>
      </w:r>
    </w:p>
    <w:p w14:paraId="6201B86D">
      <w:pPr>
        <w:keepNext w:val="0"/>
        <w:keepLines w:val="0"/>
        <w:pageBreakBefore w:val="0"/>
        <w:widowControl w:val="0"/>
        <w:kinsoku/>
        <w:wordWrap/>
        <w:overflowPunct/>
        <w:topLinePunct w:val="0"/>
        <w:autoSpaceDE/>
        <w:autoSpaceDN/>
        <w:bidi w:val="0"/>
        <w:adjustRightInd/>
        <w:snapToGrid/>
        <w:spacing w:line="360" w:lineRule="auto"/>
        <w:ind w:right="0" w:firstLine="420" w:firstLineChars="200"/>
        <w:jc w:val="left"/>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cs="Times New Roman"/>
          <w:lang w:val="en-US" w:eastAsia="zh-CN"/>
        </w:rPr>
        <w:t xml:space="preserve">             </w:t>
      </w:r>
      <w:r>
        <w:rPr>
          <w:rFonts w:hint="default" w:ascii="Times New Roman" w:hAnsi="Times New Roman" w:cs="Times New Roman"/>
        </w:rPr>
        <w:drawing>
          <wp:inline distT="0" distB="0" distL="114300" distR="114300">
            <wp:extent cx="2819400" cy="3147060"/>
            <wp:effectExtent l="0" t="0" r="0" b="7620"/>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pic:cNvPicPr>
                      <a:picLocks noChangeAspect="1"/>
                    </pic:cNvPicPr>
                  </pic:nvPicPr>
                  <pic:blipFill>
                    <a:blip r:embed="rId31"/>
                    <a:stretch>
                      <a:fillRect/>
                    </a:stretch>
                  </pic:blipFill>
                  <pic:spPr>
                    <a:xfrm>
                      <a:off x="0" y="0"/>
                      <a:ext cx="2819400" cy="3147060"/>
                    </a:xfrm>
                    <a:prstGeom prst="rect">
                      <a:avLst/>
                    </a:prstGeom>
                    <a:noFill/>
                    <a:ln>
                      <a:noFill/>
                    </a:ln>
                  </pic:spPr>
                </pic:pic>
              </a:graphicData>
            </a:graphic>
          </wp:inline>
        </w:drawing>
      </w:r>
    </w:p>
    <w:p w14:paraId="3EAD059D">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②坝体渗漏</w:t>
      </w:r>
    </w:p>
    <w:p w14:paraId="7CA40553">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由于坝体填筑不均匀，局部含有碎石、中细砂，结构松散，坝体填筑土渗透系数为K=5.94</w:t>
      </w:r>
      <w:r>
        <w:rPr>
          <w:rFonts w:hint="default" w:ascii="Times New Roman" w:hAnsi="Times New Roman" w:eastAsia="微软雅黑" w:cs="Times New Roman"/>
          <w:b w:val="0"/>
          <w:bCs/>
          <w:caps w:val="0"/>
          <w:smallCaps w:val="0"/>
          <w:color w:val="auto"/>
          <w:spacing w:val="0"/>
          <w:w w:val="100"/>
          <w:position w:val="0"/>
          <w:sz w:val="24"/>
          <w:szCs w:val="24"/>
          <w:u w:val="none" w:color="auto"/>
          <w:lang w:val="en-US" w:eastAsia="zh-CN"/>
        </w:rPr>
        <w:t>×</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10</w:t>
      </w:r>
      <w:r>
        <w:rPr>
          <w:rFonts w:hint="default" w:ascii="Times New Roman" w:hAnsi="Times New Roman" w:eastAsia="宋体" w:cs="Times New Roman"/>
          <w:b w:val="0"/>
          <w:bCs/>
          <w:caps w:val="0"/>
          <w:smallCaps w:val="0"/>
          <w:color w:val="auto"/>
          <w:spacing w:val="0"/>
          <w:w w:val="100"/>
          <w:position w:val="0"/>
          <w:sz w:val="24"/>
          <w:szCs w:val="24"/>
          <w:u w:val="none" w:color="auto"/>
          <w:vertAlign w:val="superscript"/>
          <w:lang w:val="en-US" w:eastAsia="zh-CN"/>
        </w:rPr>
        <w:t>-5</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~3.24</w:t>
      </w:r>
      <w:r>
        <w:rPr>
          <w:rFonts w:hint="default" w:ascii="Times New Roman" w:hAnsi="Times New Roman" w:eastAsia="微软雅黑" w:cs="Times New Roman"/>
          <w:b w:val="0"/>
          <w:bCs/>
          <w:caps w:val="0"/>
          <w:smallCaps w:val="0"/>
          <w:color w:val="auto"/>
          <w:spacing w:val="0"/>
          <w:w w:val="100"/>
          <w:position w:val="0"/>
          <w:sz w:val="24"/>
          <w:szCs w:val="24"/>
          <w:u w:val="none" w:color="auto"/>
          <w:lang w:val="en-US" w:eastAsia="zh-CN"/>
        </w:rPr>
        <w:t>×</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10</w:t>
      </w:r>
      <w:r>
        <w:rPr>
          <w:rFonts w:hint="default" w:ascii="Times New Roman" w:hAnsi="Times New Roman" w:eastAsia="宋体" w:cs="Times New Roman"/>
          <w:b w:val="0"/>
          <w:bCs/>
          <w:caps w:val="0"/>
          <w:smallCaps w:val="0"/>
          <w:color w:val="auto"/>
          <w:spacing w:val="0"/>
          <w:w w:val="100"/>
          <w:position w:val="0"/>
          <w:sz w:val="24"/>
          <w:szCs w:val="24"/>
          <w:u w:val="none" w:color="auto"/>
          <w:vertAlign w:val="superscript"/>
          <w:lang w:val="en-US" w:eastAsia="zh-CN"/>
        </w:rPr>
        <w:t>-3</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cm/s，属弱~中等透水性，坝体填士所用土料土质较差，成分杂乱，夯压不均匀，且部分地段以中细砂为主，结构松散，渗透性好，属弱~中等透水带，对抗渗不利：粘土斜墙心墙区填土粗颗粒含量局部偏高，干密度偏低，孔隙比偏大，具有中等压缩性，透水性偏高，属中等透水带： 2010 年，对斜墙上部采用土工膜防渗，上部铺设六方块护坡，施工过程中，土工膜垫层土料未进行严格的碾压平整，局部存在尖硬的碎石，土工膜容易被刺破，土工膜多处出现小孔并破坏，且出现严重老化问题，难以起到防渗要求。</w:t>
      </w:r>
    </w:p>
    <w:p w14:paraId="0C86A296">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大坝外坡面局部沉陷、变形，杂草丛生：高水位时坝体散浸，由于常年湿润作用，此处土里潮湿，且生长喜湿植物，见照片。大坝坝体填筑土最大渗透坡降与下游坝坡溢出点最大渗透比降均大于其允许水力坡降，易发生渗透破坏。</w:t>
      </w:r>
    </w:p>
    <w:p w14:paraId="1973863D">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③坝基渗漏</w:t>
      </w:r>
    </w:p>
    <w:p w14:paraId="301AD994">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坝基主要为砂砾石层和花岗岩，砂砾石层厚度较大，透水性较好，上部为砂 砾石磨圆度较差，多呈棱角状，含大量粗砂，砾石粒径2~6cm，最大可达8cm，结构松散，渗透系数k=2.43×10</w:t>
      </w:r>
      <w:r>
        <w:rPr>
          <w:rFonts w:hint="default" w:ascii="Times New Roman" w:hAnsi="Times New Roman" w:eastAsia="宋体" w:cs="Times New Roman"/>
          <w:b w:val="0"/>
          <w:bCs/>
          <w:caps w:val="0"/>
          <w:smallCaps w:val="0"/>
          <w:color w:val="auto"/>
          <w:spacing w:val="0"/>
          <w:w w:val="100"/>
          <w:position w:val="0"/>
          <w:sz w:val="24"/>
          <w:szCs w:val="24"/>
          <w:u w:val="none" w:color="auto"/>
          <w:vertAlign w:val="superscript"/>
          <w:lang w:val="en-US" w:eastAsia="zh-CN"/>
        </w:rPr>
        <w:t>-4</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~5.5×10</w:t>
      </w:r>
      <w:r>
        <w:rPr>
          <w:rFonts w:hint="default" w:ascii="Times New Roman" w:hAnsi="Times New Roman" w:eastAsia="宋体" w:cs="Times New Roman"/>
          <w:b w:val="0"/>
          <w:bCs/>
          <w:caps w:val="0"/>
          <w:smallCaps w:val="0"/>
          <w:color w:val="auto"/>
          <w:spacing w:val="0"/>
          <w:w w:val="100"/>
          <w:position w:val="0"/>
          <w:sz w:val="24"/>
          <w:szCs w:val="24"/>
          <w:u w:val="none" w:color="auto"/>
          <w:vertAlign w:val="superscript"/>
          <w:lang w:val="en-US" w:eastAsia="zh-CN"/>
        </w:rPr>
        <w:t>-3</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cm/s，呈中等透水性。强风化层岩体破碎，节理裂隙发育，贯通性较好，为库水渗漏的良好通道，抗渗能力差，难以满足坝基渗透性要求。</w:t>
      </w:r>
    </w:p>
    <w:p w14:paraId="01D7DDFB">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坝体外坡脚存在1处集中渗漏点，一般渗漏量0. 05L/s，渗漏量随库内水位上升渗漏量增大，据水管部门反映，最大可达0.1L/s。大坝下游存在3处散浸点，第一处位于大坝左侧公路下平台，散浸面积约170m</w:t>
      </w:r>
      <w:r>
        <w:rPr>
          <w:rFonts w:hint="default" w:ascii="Times New Roman" w:hAnsi="Times New Roman" w:eastAsia="宋体" w:cs="Times New Roman"/>
          <w:b w:val="0"/>
          <w:bCs/>
          <w:caps w:val="0"/>
          <w:smallCaps w:val="0"/>
          <w:color w:val="auto"/>
          <w:spacing w:val="0"/>
          <w:w w:val="100"/>
          <w:position w:val="0"/>
          <w:sz w:val="24"/>
          <w:szCs w:val="24"/>
          <w:u w:val="none" w:color="auto"/>
          <w:vertAlign w:val="superscript"/>
          <w:lang w:val="en-US" w:eastAsia="zh-CN"/>
        </w:rPr>
        <w:t>2</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，散浸区内常年积水：第二处位于大坝中部平台处，散浸面积约500m</w:t>
      </w:r>
      <w:r>
        <w:rPr>
          <w:rFonts w:hint="default" w:ascii="Times New Roman" w:hAnsi="Times New Roman" w:eastAsia="宋体" w:cs="Times New Roman"/>
          <w:b w:val="0"/>
          <w:bCs/>
          <w:caps w:val="0"/>
          <w:smallCaps w:val="0"/>
          <w:color w:val="auto"/>
          <w:spacing w:val="0"/>
          <w:w w:val="100"/>
          <w:position w:val="0"/>
          <w:sz w:val="24"/>
          <w:szCs w:val="24"/>
          <w:u w:val="none" w:color="auto"/>
          <w:vertAlign w:val="superscript"/>
          <w:lang w:val="en-US" w:eastAsia="zh-CN"/>
        </w:rPr>
        <w:t>2</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；第三处位于坝脚处，散浸面积约为2600m</w:t>
      </w:r>
      <w:r>
        <w:rPr>
          <w:rFonts w:hint="default" w:ascii="Times New Roman" w:hAnsi="Times New Roman" w:eastAsia="宋体" w:cs="Times New Roman"/>
          <w:b w:val="0"/>
          <w:bCs/>
          <w:caps w:val="0"/>
          <w:smallCaps w:val="0"/>
          <w:color w:val="auto"/>
          <w:spacing w:val="0"/>
          <w:w w:val="100"/>
          <w:position w:val="0"/>
          <w:sz w:val="24"/>
          <w:szCs w:val="24"/>
          <w:u w:val="none" w:color="auto"/>
          <w:vertAlign w:val="superscript"/>
          <w:lang w:val="en-US" w:eastAsia="zh-CN"/>
        </w:rPr>
        <w:t>2</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，下游常年湿润，生长喜湿植物。见照片。</w:t>
      </w:r>
    </w:p>
    <w:p w14:paraId="3330B3F6">
      <w:pPr>
        <w:keepNext w:val="0"/>
        <w:keepLines w:val="0"/>
        <w:pageBreakBefore w:val="0"/>
        <w:widowControl w:val="0"/>
        <w:kinsoku/>
        <w:wordWrap/>
        <w:overflowPunct/>
        <w:topLinePunct w:val="0"/>
        <w:autoSpaceDE/>
        <w:autoSpaceDN/>
        <w:bidi w:val="0"/>
        <w:adjustRightInd/>
        <w:snapToGrid/>
        <w:spacing w:line="360" w:lineRule="auto"/>
        <w:ind w:right="0" w:firstLine="420" w:firstLineChars="200"/>
        <w:textAlignment w:val="auto"/>
        <w:rPr>
          <w:rFonts w:hint="default" w:ascii="Times New Roman" w:hAnsi="Times New Roman" w:eastAsia="宋体" w:cs="Times New Roman"/>
          <w:b/>
          <w:bCs w:val="0"/>
          <w:caps w:val="0"/>
          <w:smallCaps w:val="0"/>
          <w:color w:val="auto"/>
          <w:spacing w:val="0"/>
          <w:w w:val="100"/>
          <w:position w:val="0"/>
          <w:sz w:val="24"/>
          <w:szCs w:val="24"/>
          <w:u w:val="none" w:color="auto"/>
          <w:lang w:val="en-US" w:eastAsia="zh-CN"/>
        </w:rPr>
      </w:pPr>
      <w:r>
        <w:rPr>
          <w:rFonts w:hint="default" w:ascii="Times New Roman" w:hAnsi="Times New Roman" w:cs="Times New Roman"/>
        </w:rPr>
        <w:drawing>
          <wp:inline distT="0" distB="0" distL="114300" distR="114300">
            <wp:extent cx="5295900" cy="1878330"/>
            <wp:effectExtent l="0" t="0" r="7620" b="11430"/>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32">
                      <a:lum contrast="6000"/>
                    </a:blip>
                    <a:stretch>
                      <a:fillRect/>
                    </a:stretch>
                  </pic:blipFill>
                  <pic:spPr>
                    <a:xfrm>
                      <a:off x="0" y="0"/>
                      <a:ext cx="5295900" cy="1878330"/>
                    </a:xfrm>
                    <a:prstGeom prst="rect">
                      <a:avLst/>
                    </a:prstGeom>
                    <a:noFill/>
                    <a:ln>
                      <a:noFill/>
                    </a:ln>
                  </pic:spPr>
                </pic:pic>
              </a:graphicData>
            </a:graphic>
          </wp:inline>
        </w:drawing>
      </w:r>
    </w:p>
    <w:p w14:paraId="3DCA8035">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根据现场勘查及压水试验表示，大坝高压摆喷灌浆防渗体局部存在搭接缺陷，未能形成有效封闭防渗体；防渗帷幕深度未至相对不透水层，坝基存在渗透通道。</w:t>
      </w:r>
    </w:p>
    <w:p w14:paraId="3A0EA58F">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④上游坝坡淘刷问题</w:t>
      </w:r>
    </w:p>
    <w:p w14:paraId="181623A1">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上游平台以下干砌块石护坡较破碎，局部存在坍塌、块石下滑现象，大坝上游砼预制块护坡错位、塌陷严重，占总面积的45%；上游坝面踏步侧梁裂缝，土工膜局部损坏；上游块石护坡坡面大约130m×25m范围存在块石摆置不稳不实，块石下滑造成粘土坡面外露，浪蚀严重，约1800m</w:t>
      </w:r>
      <w:r>
        <w:rPr>
          <w:rFonts w:hint="default" w:ascii="Times New Roman" w:hAnsi="Times New Roman" w:eastAsia="宋体" w:cs="Times New Roman"/>
          <w:b w:val="0"/>
          <w:bCs/>
          <w:caps w:val="0"/>
          <w:smallCaps w:val="0"/>
          <w:color w:val="auto"/>
          <w:spacing w:val="0"/>
          <w:w w:val="100"/>
          <w:position w:val="0"/>
          <w:sz w:val="24"/>
          <w:szCs w:val="24"/>
          <w:u w:val="none" w:color="auto"/>
          <w:vertAlign w:val="superscript"/>
          <w:lang w:val="en-US" w:eastAsia="zh-CN"/>
        </w:rPr>
        <w:t>2</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护坡块石破碎风化或粘土表露，直接浪蚀粘土坡面，造成马道临水侧基础梁底部局部被水流冲刷掏空架空现象，长度约200m。</w:t>
      </w:r>
    </w:p>
    <w:p w14:paraId="27407FCD">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启闭塔周围隧洞进水口周围护坡范围不够，经水流和风浪冲刷，已破坏原来护坡部位。</w:t>
      </w:r>
    </w:p>
    <w:p w14:paraId="7032F120">
      <w:pPr>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jc w:val="center"/>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cs="Times New Roman"/>
        </w:rPr>
        <w:drawing>
          <wp:inline distT="0" distB="0" distL="114300" distR="114300">
            <wp:extent cx="4130040" cy="5966460"/>
            <wp:effectExtent l="0" t="0" r="0" b="7620"/>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33"/>
                    <a:stretch>
                      <a:fillRect/>
                    </a:stretch>
                  </pic:blipFill>
                  <pic:spPr>
                    <a:xfrm>
                      <a:off x="0" y="0"/>
                      <a:ext cx="4130040" cy="596646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3893820" cy="1866900"/>
            <wp:effectExtent l="0" t="0" r="7620" b="7620"/>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34"/>
                    <a:stretch>
                      <a:fillRect/>
                    </a:stretch>
                  </pic:blipFill>
                  <pic:spPr>
                    <a:xfrm>
                      <a:off x="0" y="0"/>
                      <a:ext cx="3893820" cy="1866900"/>
                    </a:xfrm>
                    <a:prstGeom prst="rect">
                      <a:avLst/>
                    </a:prstGeom>
                    <a:noFill/>
                    <a:ln>
                      <a:noFill/>
                    </a:ln>
                  </pic:spPr>
                </pic:pic>
              </a:graphicData>
            </a:graphic>
          </wp:inline>
        </w:drawing>
      </w:r>
    </w:p>
    <w:p w14:paraId="3D67298F">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微软雅黑" w:cs="Times New Roman"/>
          <w:b w:val="0"/>
          <w:bCs/>
          <w:caps w:val="0"/>
          <w:smallCaps w:val="0"/>
          <w:color w:val="auto"/>
          <w:spacing w:val="0"/>
          <w:w w:val="100"/>
          <w:position w:val="0"/>
          <w:sz w:val="24"/>
          <w:szCs w:val="24"/>
          <w:u w:val="none" w:color="auto"/>
          <w:lang w:val="en-US" w:eastAsia="zh-CN"/>
        </w:rPr>
        <w:t>⑤</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下游坝坡冲刷问题</w:t>
      </w:r>
    </w:p>
    <w:p w14:paraId="4D768015">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大坝下游坡面采用草皮护坡，整体结构完整，平整度尚好，但局部区存在隆起、杂草灌木丛生等现象；下游坡马道未做硬化处理，不便日常巡视检查，马道处埋设的PVC排水暗管破损，坡面因管道破裂受雨水冲刷已形成冲沟，淤泥淤积、杂草灌木覆盖等现象，影响雨期正常排水。</w:t>
      </w:r>
    </w:p>
    <w:p w14:paraId="07E3CE09">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下游坝坡压浸平台整体结构较完整，压浸平台下游侧局部存在积水现象，且杂草异常茂盛，推测压浸平台有渗漏迹象。</w:t>
      </w:r>
    </w:p>
    <w:p w14:paraId="383055FD">
      <w:pPr>
        <w:keepNext w:val="0"/>
        <w:keepLines w:val="0"/>
        <w:pageBreakBefore w:val="0"/>
        <w:widowControl w:val="0"/>
        <w:kinsoku/>
        <w:wordWrap/>
        <w:overflowPunct/>
        <w:topLinePunct w:val="0"/>
        <w:autoSpaceDE/>
        <w:autoSpaceDN/>
        <w:bidi w:val="0"/>
        <w:adjustRightInd/>
        <w:snapToGrid/>
        <w:spacing w:line="360" w:lineRule="auto"/>
        <w:ind w:left="0" w:leftChars="0" w:right="0" w:firstLine="420" w:firstLineChars="200"/>
        <w:jc w:val="center"/>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cs="Times New Roman"/>
        </w:rPr>
        <w:drawing>
          <wp:inline distT="0" distB="0" distL="114300" distR="114300">
            <wp:extent cx="4076700" cy="1760220"/>
            <wp:effectExtent l="0" t="0" r="7620" b="7620"/>
            <wp:docPr id="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pic:cNvPicPr>
                      <a:picLocks noChangeAspect="1"/>
                    </pic:cNvPicPr>
                  </pic:nvPicPr>
                  <pic:blipFill>
                    <a:blip r:embed="rId35"/>
                    <a:stretch>
                      <a:fillRect/>
                    </a:stretch>
                  </pic:blipFill>
                  <pic:spPr>
                    <a:xfrm>
                      <a:off x="0" y="0"/>
                      <a:ext cx="4076700" cy="1760220"/>
                    </a:xfrm>
                    <a:prstGeom prst="rect">
                      <a:avLst/>
                    </a:prstGeom>
                    <a:noFill/>
                    <a:ln>
                      <a:noFill/>
                    </a:ln>
                  </pic:spPr>
                </pic:pic>
              </a:graphicData>
            </a:graphic>
          </wp:inline>
        </w:drawing>
      </w:r>
    </w:p>
    <w:p w14:paraId="3F1EF067">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⑤坝坡及管理房存在白蚁危害</w:t>
      </w:r>
    </w:p>
    <w:p w14:paraId="7729D694">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坝壳料表层裸露，经长年运行，部分已风化呈泥，加之表部草皮发育，环境湿润，两岸坝肩部位和管理所区域产生了大了白蚁洞穴，蚁穴发育深度约为1.0~1. 3m，危及坝体安全，对大坝及建筑物危害非常大。在大坝背水坡草皮护坡及管理房发现有白蚁危害，建议采取防治白蚁措施。大坝竣工至今没有进行过白蚁防治措施。</w:t>
      </w:r>
    </w:p>
    <w:p w14:paraId="7A0BB1AA">
      <w:pPr>
        <w:keepNext w:val="0"/>
        <w:keepLines w:val="0"/>
        <w:pageBreakBefore w:val="0"/>
        <w:widowControl w:val="0"/>
        <w:kinsoku/>
        <w:wordWrap/>
        <w:overflowPunct/>
        <w:topLinePunct w:val="0"/>
        <w:autoSpaceDE/>
        <w:autoSpaceDN/>
        <w:bidi w:val="0"/>
        <w:adjustRightInd/>
        <w:snapToGrid/>
        <w:spacing w:line="360" w:lineRule="auto"/>
        <w:ind w:left="0" w:leftChars="0" w:right="0" w:firstLine="420" w:firstLineChars="200"/>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4411980" cy="4358640"/>
            <wp:effectExtent l="0" t="0" r="7620" b="0"/>
            <wp:docPr id="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5"/>
                    <pic:cNvPicPr>
                      <a:picLocks noChangeAspect="1"/>
                    </pic:cNvPicPr>
                  </pic:nvPicPr>
                  <pic:blipFill>
                    <a:blip r:embed="rId36"/>
                    <a:stretch>
                      <a:fillRect/>
                    </a:stretch>
                  </pic:blipFill>
                  <pic:spPr>
                    <a:xfrm>
                      <a:off x="0" y="0"/>
                      <a:ext cx="4411980" cy="4358640"/>
                    </a:xfrm>
                    <a:prstGeom prst="rect">
                      <a:avLst/>
                    </a:prstGeom>
                    <a:noFill/>
                    <a:ln>
                      <a:noFill/>
                    </a:ln>
                  </pic:spPr>
                </pic:pic>
              </a:graphicData>
            </a:graphic>
          </wp:inline>
        </w:drawing>
      </w:r>
    </w:p>
    <w:p w14:paraId="6021C623">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(2)溢洪道</w:t>
      </w:r>
    </w:p>
    <w:p w14:paraId="424477E4">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溢洪道及消力池整体结构较完整，未见明显塌陷、裂缝等现象，局部底板存在蜂：窝、麻面、粗骨料外露等现象。两侧浆砌石边墙整体结构较完整，未见明显崩塌、块石脱落破损等现象，但局部存在勾缝脱落长有杂草灌木等植物现象。泄槽底板混凝土推定强度不满足设计强度要求，消力池及下游泄洪渠淤积情况严重，泄洪渠过流断面小，影响溢洪道泄洪。大坝右岸原有提水泵站已废弃，目前溢洪道上无防汛检修通道至大坝右岸。</w:t>
      </w:r>
    </w:p>
    <w:p w14:paraId="1F72764F">
      <w:pPr>
        <w:keepNext w:val="0"/>
        <w:keepLines w:val="0"/>
        <w:pageBreakBefore w:val="0"/>
        <w:widowControl w:val="0"/>
        <w:kinsoku/>
        <w:wordWrap/>
        <w:overflowPunct/>
        <w:topLinePunct w:val="0"/>
        <w:autoSpaceDE/>
        <w:autoSpaceDN/>
        <w:bidi w:val="0"/>
        <w:adjustRightInd/>
        <w:snapToGrid/>
        <w:spacing w:line="360" w:lineRule="auto"/>
        <w:ind w:left="0" w:leftChars="0" w:right="0" w:firstLine="420" w:firstLineChars="200"/>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4091940" cy="3558540"/>
            <wp:effectExtent l="0" t="0" r="7620" b="7620"/>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37"/>
                    <a:stretch>
                      <a:fillRect/>
                    </a:stretch>
                  </pic:blipFill>
                  <pic:spPr>
                    <a:xfrm>
                      <a:off x="0" y="0"/>
                      <a:ext cx="4091940" cy="3558540"/>
                    </a:xfrm>
                    <a:prstGeom prst="rect">
                      <a:avLst/>
                    </a:prstGeom>
                    <a:noFill/>
                    <a:ln>
                      <a:noFill/>
                    </a:ln>
                  </pic:spPr>
                </pic:pic>
              </a:graphicData>
            </a:graphic>
          </wp:inline>
        </w:drawing>
      </w:r>
    </w:p>
    <w:p w14:paraId="7D7011C9">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(3)输水隧洞</w:t>
      </w:r>
    </w:p>
    <w:p w14:paraId="454F8632">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东山水库原坝内输水涵洞已于2009年除险加固时封堵废弃，原涵洞出口处存在坍塌、崩坡及渗漏等现象。新建输水隧洞位于大坝左岸，总长为113.0m，纵坡i=0. 01，进口底板高程为48.30m，出口底板高程为48. 30m，内径为1.5m；设计流量为2.5m</w:t>
      </w:r>
      <w:r>
        <w:rPr>
          <w:rFonts w:hint="default" w:ascii="Times New Roman" w:hAnsi="Times New Roman" w:eastAsia="宋体" w:cs="Times New Roman"/>
          <w:b w:val="0"/>
          <w:bCs/>
          <w:caps w:val="0"/>
          <w:smallCaps w:val="0"/>
          <w:color w:val="auto"/>
          <w:spacing w:val="0"/>
          <w:w w:val="100"/>
          <w:position w:val="0"/>
          <w:sz w:val="24"/>
          <w:szCs w:val="24"/>
          <w:u w:val="none" w:color="auto"/>
          <w:vertAlign w:val="superscript"/>
          <w:lang w:val="en-US" w:eastAsia="zh-CN"/>
        </w:rPr>
        <w:t>3</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/s。隧洞出口接抬升井，尺寸为2.0</w:t>
      </w:r>
      <w:r>
        <w:rPr>
          <w:rFonts w:hint="default" w:ascii="Times New Roman" w:hAnsi="Times New Roman" w:eastAsia="微软雅黑" w:cs="Times New Roman"/>
          <w:b w:val="0"/>
          <w:bCs/>
          <w:caps w:val="0"/>
          <w:smallCaps w:val="0"/>
          <w:color w:val="auto"/>
          <w:spacing w:val="0"/>
          <w:w w:val="100"/>
          <w:position w:val="0"/>
          <w:sz w:val="24"/>
          <w:szCs w:val="24"/>
          <w:u w:val="none" w:color="auto"/>
          <w:lang w:val="en-US" w:eastAsia="zh-CN"/>
        </w:rPr>
        <w:t>×</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3.0m，深11.3m，顶部采用5块预制活动盖板遮盖；井后接输水暗涵，内径为1.0m。</w:t>
      </w:r>
    </w:p>
    <w:p w14:paraId="01A3A182">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取水口塔和上部启闭排架结构良好，未见明显裂缝、表层混凝土脱落和蜂窝麻面现象；取水塔竖井检修爬梯为φ25的钢筋未涂刷保护层，锈蚀严重，表层大块锈皮脱落，存在安全隐患：工作桥桥墩存在较严重蜂窝、麻面、表层混凝土脱落、局部箍筋及粗骨料外露等现象。</w:t>
      </w:r>
    </w:p>
    <w:p w14:paraId="3695D2C7">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输水隧洞出口下游连接的输水暗涵长约125m存在漏水现象，渗水量约3L/s。</w:t>
      </w:r>
    </w:p>
    <w:p w14:paraId="7D87B37C">
      <w:pPr>
        <w:keepNext w:val="0"/>
        <w:keepLines w:val="0"/>
        <w:pageBreakBefore w:val="0"/>
        <w:widowControl w:val="0"/>
        <w:kinsoku/>
        <w:wordWrap/>
        <w:overflowPunct/>
        <w:topLinePunct w:val="0"/>
        <w:autoSpaceDE/>
        <w:autoSpaceDN/>
        <w:bidi w:val="0"/>
        <w:adjustRightInd/>
        <w:snapToGrid/>
        <w:spacing w:line="360" w:lineRule="auto"/>
        <w:ind w:left="0" w:leftChars="0" w:right="0" w:firstLine="42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cs="Times New Roman"/>
        </w:rPr>
        <w:drawing>
          <wp:inline distT="0" distB="0" distL="114300" distR="114300">
            <wp:extent cx="4812665" cy="2494915"/>
            <wp:effectExtent l="0" t="0" r="3175" b="4445"/>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pic:cNvPicPr>
                      <a:picLocks noChangeAspect="1"/>
                    </pic:cNvPicPr>
                  </pic:nvPicPr>
                  <pic:blipFill>
                    <a:blip r:embed="rId38"/>
                    <a:stretch>
                      <a:fillRect/>
                    </a:stretch>
                  </pic:blipFill>
                  <pic:spPr>
                    <a:xfrm>
                      <a:off x="0" y="0"/>
                      <a:ext cx="4812665" cy="2494915"/>
                    </a:xfrm>
                    <a:prstGeom prst="rect">
                      <a:avLst/>
                    </a:prstGeom>
                    <a:noFill/>
                    <a:ln>
                      <a:noFill/>
                    </a:ln>
                  </pic:spPr>
                </pic:pic>
              </a:graphicData>
            </a:graphic>
          </wp:inline>
        </w:drawing>
      </w:r>
    </w:p>
    <w:p w14:paraId="0E36F882">
      <w:pPr>
        <w:pStyle w:val="19"/>
        <w:keepNext w:val="0"/>
        <w:keepLines w:val="0"/>
        <w:pageBreakBefore w:val="0"/>
        <w:widowControl w:val="0"/>
        <w:numPr>
          <w:ilvl w:val="0"/>
          <w:numId w:val="0"/>
        </w:numPr>
        <w:shd w:val="clear" w:color="auto" w:fill="FFFFFF"/>
        <w:kinsoku/>
        <w:wordWrap/>
        <w:overflowPunct/>
        <w:topLinePunct w:val="0"/>
        <w:autoSpaceDE/>
        <w:autoSpaceDN/>
        <w:bidi w:val="0"/>
        <w:adjustRightInd/>
        <w:snapToGrid/>
        <w:spacing w:after="0" w:line="360" w:lineRule="auto"/>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 xml:space="preserve">   输水隧洞工作和检修闸门门体存在腐蚀现象，表面涂层局部脱落(整体涂层较薄)，有明显的锈斑、锈坑，各主要构件为轻微腐蚀，局部构件一般腐蚀，表面涂层局部脱落，有明显的锈斑、锈坑，但较分散。闸门止水橡胶不同程度的老化、损坏，渗漏严重。</w:t>
      </w:r>
    </w:p>
    <w:p w14:paraId="0F1DD03C">
      <w:pPr>
        <w:pStyle w:val="19"/>
        <w:keepNext w:val="0"/>
        <w:keepLines w:val="0"/>
        <w:pageBreakBefore w:val="0"/>
        <w:widowControl w:val="0"/>
        <w:numPr>
          <w:ilvl w:val="0"/>
          <w:numId w:val="0"/>
        </w:numPr>
        <w:shd w:val="clear" w:color="auto" w:fill="FFFFFF"/>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输水隧洞启闭机房内部现状空间狭小，原有启闭机房内部空间狭窄，布置启闭设施后已无操作空间，手动操作装置无空间安装，未配置备用电源。</w:t>
      </w:r>
    </w:p>
    <w:p w14:paraId="0E41BF8F">
      <w:pPr>
        <w:keepNext w:val="0"/>
        <w:keepLines w:val="0"/>
        <w:pageBreakBefore w:val="0"/>
        <w:widowControl w:val="0"/>
        <w:kinsoku/>
        <w:wordWrap/>
        <w:overflowPunct/>
        <w:topLinePunct w:val="0"/>
        <w:autoSpaceDE/>
        <w:autoSpaceDN/>
        <w:bidi w:val="0"/>
        <w:adjustRightInd/>
        <w:snapToGrid/>
        <w:spacing w:line="360" w:lineRule="auto"/>
        <w:ind w:left="0" w:leftChars="0" w:right="0" w:firstLine="420" w:firstLineChars="200"/>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5040630" cy="3383915"/>
            <wp:effectExtent l="0" t="0" r="3810" b="14605"/>
            <wp:docPr id="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8"/>
                    <pic:cNvPicPr>
                      <a:picLocks noChangeAspect="1"/>
                    </pic:cNvPicPr>
                  </pic:nvPicPr>
                  <pic:blipFill>
                    <a:blip r:embed="rId39"/>
                    <a:stretch>
                      <a:fillRect/>
                    </a:stretch>
                  </pic:blipFill>
                  <pic:spPr>
                    <a:xfrm>
                      <a:off x="0" y="0"/>
                      <a:ext cx="5040630" cy="3383915"/>
                    </a:xfrm>
                    <a:prstGeom prst="rect">
                      <a:avLst/>
                    </a:prstGeom>
                    <a:noFill/>
                    <a:ln>
                      <a:noFill/>
                    </a:ln>
                  </pic:spPr>
                </pic:pic>
              </a:graphicData>
            </a:graphic>
          </wp:inline>
        </w:drawing>
      </w:r>
    </w:p>
    <w:p w14:paraId="2ECB59C2">
      <w:pPr>
        <w:keepNext w:val="0"/>
        <w:keepLines w:val="0"/>
        <w:pageBreakBefore w:val="0"/>
        <w:widowControl w:val="0"/>
        <w:kinsoku/>
        <w:wordWrap/>
        <w:overflowPunct/>
        <w:topLinePunct w:val="0"/>
        <w:autoSpaceDE/>
        <w:autoSpaceDN/>
        <w:bidi w:val="0"/>
        <w:adjustRightInd/>
        <w:snapToGrid/>
        <w:spacing w:line="360" w:lineRule="auto"/>
        <w:ind w:left="0" w:leftChars="0" w:right="0" w:firstLine="420" w:firstLineChars="20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2415540" cy="365760"/>
            <wp:effectExtent l="0" t="0" r="7620" b="0"/>
            <wp:docPr id="3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9"/>
                    <pic:cNvPicPr>
                      <a:picLocks noChangeAspect="1"/>
                    </pic:cNvPicPr>
                  </pic:nvPicPr>
                  <pic:blipFill>
                    <a:blip r:embed="rId40"/>
                    <a:stretch>
                      <a:fillRect/>
                    </a:stretch>
                  </pic:blipFill>
                  <pic:spPr>
                    <a:xfrm>
                      <a:off x="0" y="0"/>
                      <a:ext cx="2415540" cy="365760"/>
                    </a:xfrm>
                    <a:prstGeom prst="rect">
                      <a:avLst/>
                    </a:prstGeom>
                    <a:noFill/>
                    <a:ln>
                      <a:noFill/>
                    </a:ln>
                  </pic:spPr>
                </pic:pic>
              </a:graphicData>
            </a:graphic>
          </wp:inline>
        </w:drawing>
      </w:r>
    </w:p>
    <w:p w14:paraId="7E52F1C1">
      <w:pPr>
        <w:pStyle w:val="19"/>
        <w:keepNext w:val="0"/>
        <w:keepLines w:val="0"/>
        <w:pageBreakBefore w:val="0"/>
        <w:widowControl w:val="0"/>
        <w:numPr>
          <w:ilvl w:val="0"/>
          <w:numId w:val="0"/>
        </w:numPr>
        <w:shd w:val="clear" w:color="auto" w:fill="FFFFFF"/>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输水隧洞出口为抬升井，隧洞出口抬升井检修爬梯为φ25的钢筋未涂刷保护层，锈蚀严重，表层大块锈皮脱落，存在安全隐患；抬升井盖板采用活动预制块遮盖，因隧洞过流为有压流，上游开闸放水， 则抬升井顶部盖板冒水，引发同一地面高程的民居受淹。抬升井后与暗涵相连，该暗涵为直径1. 0m的预制砼圆涵，总长125m，现存在漏水现象，渗水量约3L/s。暗涵后接高低渠分水闸，开启闸门水便直接流入低渠，当关闭分水闸，抬高水位，则可使水流进入高渠。由于该分水闸闸门现已无法提升，使得水流无法进入低渠，给当地居民造成- -定 的生活困扰，亟待翻修。</w:t>
      </w:r>
    </w:p>
    <w:p w14:paraId="0EAFB7F7">
      <w:pPr>
        <w:pStyle w:val="19"/>
        <w:keepNext w:val="0"/>
        <w:keepLines w:val="0"/>
        <w:pageBreakBefore w:val="0"/>
        <w:widowControl w:val="0"/>
        <w:numPr>
          <w:ilvl w:val="0"/>
          <w:numId w:val="0"/>
        </w:numPr>
        <w:shd w:val="clear" w:color="auto" w:fill="FFFFFF"/>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(4)引水渠道无衬砌，杂草丛生，淤堵严重。</w:t>
      </w:r>
    </w:p>
    <w:p w14:paraId="2C018BE5">
      <w:pPr>
        <w:pStyle w:val="19"/>
        <w:keepNext w:val="0"/>
        <w:keepLines w:val="0"/>
        <w:pageBreakBefore w:val="0"/>
        <w:widowControl w:val="0"/>
        <w:numPr>
          <w:ilvl w:val="0"/>
          <w:numId w:val="0"/>
        </w:numPr>
        <w:shd w:val="clear" w:color="auto" w:fill="FFFFFF"/>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引水渠节制闸整体结构尚好，闸门尚能启闭，但闸门、闸墩及启闭排架局部存在蜂窝、麻面现象，启闭螺杆及附属结构物存在锈蚀现象；泄洪闸主要用于洪水期启闸宣泄外引集雨区域洪水，枯水期闭闸使外引集雨区域水汇至水库，泄洪闸整体结构较差，闸墩和启闭排架局部存在蜂窝、麻面现象，闸门已损毁，不能启闭，启闭螺杆及附属结构损毁。</w:t>
      </w:r>
    </w:p>
    <w:p w14:paraId="4AD72A74">
      <w:pPr>
        <w:keepNext w:val="0"/>
        <w:keepLines w:val="0"/>
        <w:pageBreakBefore w:val="0"/>
        <w:widowControl w:val="0"/>
        <w:kinsoku/>
        <w:wordWrap/>
        <w:overflowPunct/>
        <w:topLinePunct w:val="0"/>
        <w:autoSpaceDE/>
        <w:autoSpaceDN/>
        <w:bidi w:val="0"/>
        <w:adjustRightInd/>
        <w:snapToGrid/>
        <w:spacing w:line="360" w:lineRule="auto"/>
        <w:ind w:left="0" w:leftChars="0" w:right="0" w:firstLine="218" w:firstLineChars="104"/>
        <w:jc w:val="center"/>
        <w:textAlignment w:val="auto"/>
        <w:rPr>
          <w:rFonts w:hint="default" w:ascii="Times New Roman" w:hAnsi="Times New Roman" w:cs="Times New Roman"/>
          <w:lang w:val="en-US" w:eastAsia="zh-CN"/>
        </w:rPr>
      </w:pPr>
      <w:r>
        <w:rPr>
          <w:rFonts w:hint="default" w:ascii="Times New Roman" w:hAnsi="Times New Roman" w:cs="Times New Roman"/>
        </w:rPr>
        <w:drawing>
          <wp:inline distT="0" distB="0" distL="114300" distR="114300">
            <wp:extent cx="4879975" cy="2129790"/>
            <wp:effectExtent l="0" t="0" r="12065" b="3810"/>
            <wp:docPr id="3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0"/>
                    <pic:cNvPicPr>
                      <a:picLocks noChangeAspect="1"/>
                    </pic:cNvPicPr>
                  </pic:nvPicPr>
                  <pic:blipFill>
                    <a:blip r:embed="rId41"/>
                    <a:stretch>
                      <a:fillRect/>
                    </a:stretch>
                  </pic:blipFill>
                  <pic:spPr>
                    <a:xfrm>
                      <a:off x="0" y="0"/>
                      <a:ext cx="4879975" cy="212979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4861560" cy="2560320"/>
            <wp:effectExtent l="0" t="0" r="0" b="0"/>
            <wp:docPr id="3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1"/>
                    <pic:cNvPicPr>
                      <a:picLocks noChangeAspect="1"/>
                    </pic:cNvPicPr>
                  </pic:nvPicPr>
                  <pic:blipFill>
                    <a:blip r:embed="rId42"/>
                    <a:stretch>
                      <a:fillRect/>
                    </a:stretch>
                  </pic:blipFill>
                  <pic:spPr>
                    <a:xfrm>
                      <a:off x="0" y="0"/>
                      <a:ext cx="4861560" cy="2560320"/>
                    </a:xfrm>
                    <a:prstGeom prst="rect">
                      <a:avLst/>
                    </a:prstGeom>
                    <a:noFill/>
                    <a:ln>
                      <a:noFill/>
                    </a:ln>
                  </pic:spPr>
                </pic:pic>
              </a:graphicData>
            </a:graphic>
          </wp:inline>
        </w:drawing>
      </w:r>
    </w:p>
    <w:p w14:paraId="601F0C63">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根据现场查勘，引水渠由于土质较差且未衬砌，2021年汛期新出险三处被损毁的堤坡，亟待整修。</w:t>
      </w:r>
    </w:p>
    <w:p w14:paraId="1F7205AE">
      <w:pPr>
        <w:keepNext w:val="0"/>
        <w:keepLines w:val="0"/>
        <w:pageBreakBefore w:val="0"/>
        <w:widowControl w:val="0"/>
        <w:kinsoku/>
        <w:wordWrap/>
        <w:overflowPunct/>
        <w:topLinePunct w:val="0"/>
        <w:autoSpaceDE/>
        <w:autoSpaceDN/>
        <w:bidi w:val="0"/>
        <w:adjustRightInd/>
        <w:snapToGrid/>
        <w:spacing w:line="360" w:lineRule="auto"/>
        <w:ind w:left="0" w:leftChars="0" w:right="0" w:firstLine="420" w:firstLineChars="200"/>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4491990" cy="3696335"/>
            <wp:effectExtent l="0" t="0" r="3810" b="6985"/>
            <wp:docPr id="3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2"/>
                    <pic:cNvPicPr>
                      <a:picLocks noChangeAspect="1"/>
                    </pic:cNvPicPr>
                  </pic:nvPicPr>
                  <pic:blipFill>
                    <a:blip r:embed="rId43"/>
                    <a:stretch>
                      <a:fillRect/>
                    </a:stretch>
                  </pic:blipFill>
                  <pic:spPr>
                    <a:xfrm>
                      <a:off x="0" y="0"/>
                      <a:ext cx="4491990" cy="3696335"/>
                    </a:xfrm>
                    <a:prstGeom prst="rect">
                      <a:avLst/>
                    </a:prstGeom>
                    <a:noFill/>
                    <a:ln>
                      <a:noFill/>
                    </a:ln>
                  </pic:spPr>
                </pic:pic>
              </a:graphicData>
            </a:graphic>
          </wp:inline>
        </w:drawing>
      </w:r>
    </w:p>
    <w:p w14:paraId="7A71C929">
      <w:pPr>
        <w:pStyle w:val="19"/>
        <w:keepNext w:val="0"/>
        <w:keepLines w:val="0"/>
        <w:pageBreakBefore w:val="0"/>
        <w:widowControl w:val="0"/>
        <w:numPr>
          <w:ilvl w:val="0"/>
          <w:numId w:val="0"/>
        </w:numPr>
        <w:shd w:val="clear" w:color="auto" w:fill="FFFFFF"/>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(5)大坝无观测设施</w:t>
      </w:r>
    </w:p>
    <w:p w14:paraId="2CBB53DF">
      <w:pPr>
        <w:pStyle w:val="19"/>
        <w:keepNext w:val="0"/>
        <w:keepLines w:val="0"/>
        <w:pageBreakBefore w:val="0"/>
        <w:widowControl w:val="0"/>
        <w:numPr>
          <w:ilvl w:val="0"/>
          <w:numId w:val="0"/>
        </w:numPr>
        <w:shd w:val="clear" w:color="auto" w:fill="FFFFFF"/>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东山水库大坝设有变形位移、渗压等必要的大坝安全监测设施，但无法正常运行。现有监测设施、设备不能满足监测要求。</w:t>
      </w:r>
    </w:p>
    <w:p w14:paraId="6214B7B8">
      <w:pPr>
        <w:pStyle w:val="19"/>
        <w:keepNext w:val="0"/>
        <w:keepLines w:val="0"/>
        <w:pageBreakBefore w:val="0"/>
        <w:widowControl w:val="0"/>
        <w:numPr>
          <w:ilvl w:val="0"/>
          <w:numId w:val="0"/>
        </w:numPr>
        <w:shd w:val="clear" w:color="auto" w:fill="FFFFFF"/>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(6)管理设施落后</w:t>
      </w:r>
    </w:p>
    <w:p w14:paraId="4810581D">
      <w:pPr>
        <w:pStyle w:val="19"/>
        <w:keepNext w:val="0"/>
        <w:keepLines w:val="0"/>
        <w:pageBreakBefore w:val="0"/>
        <w:widowControl w:val="0"/>
        <w:numPr>
          <w:ilvl w:val="0"/>
          <w:numId w:val="0"/>
        </w:numPr>
        <w:shd w:val="clear" w:color="auto" w:fill="FFFFFF"/>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大坝右岸设有提水泵站，目前溢洪道上无防汛检修通道至大坝右岸。大坝上无安全防护栏杆。</w:t>
      </w:r>
    </w:p>
    <w:p w14:paraId="5E8C795E">
      <w:pPr>
        <w:pStyle w:val="19"/>
        <w:keepNext w:val="0"/>
        <w:keepLines w:val="0"/>
        <w:pageBreakBefore w:val="0"/>
        <w:widowControl w:val="0"/>
        <w:numPr>
          <w:ilvl w:val="0"/>
          <w:numId w:val="0"/>
        </w:numPr>
        <w:shd w:val="clear" w:color="auto" w:fill="FFFFFF"/>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东山水库至库内两处外引水库现有简易防汛道路，路基条件差，严重影响防汛抢险车通行。</w:t>
      </w:r>
    </w:p>
    <w:p w14:paraId="349337E7">
      <w:pPr>
        <w:pStyle w:val="19"/>
        <w:keepNext w:val="0"/>
        <w:keepLines w:val="0"/>
        <w:pageBreakBefore w:val="0"/>
        <w:widowControl w:val="0"/>
        <w:numPr>
          <w:ilvl w:val="0"/>
          <w:numId w:val="0"/>
        </w:numPr>
        <w:shd w:val="clear" w:color="auto" w:fill="FFFFFF"/>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经现场查勘管理用房已使用四十多年，房屋老旧，管理用房已鉴定为D级，房屋承重结构承载力已不能满足正常使用要求，房屋整体出现险情，构成整幢危房，房屋安全鉴定报告（华房鉴字第2017-0023号），出现不同程度的损坏，局部因不均匀沉降产生裂缝，主要为墙壁裂缝，地面裂缝；屋顶局部还有渗水现象。</w:t>
      </w:r>
    </w:p>
    <w:p w14:paraId="08F4433A">
      <w:pPr>
        <w:pStyle w:val="19"/>
        <w:keepNext w:val="0"/>
        <w:keepLines w:val="0"/>
        <w:pageBreakBefore w:val="0"/>
        <w:widowControl w:val="0"/>
        <w:numPr>
          <w:ilvl w:val="0"/>
          <w:numId w:val="0"/>
        </w:numPr>
        <w:shd w:val="clear" w:color="auto" w:fill="FFFFFF"/>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整个水库无防汛仓库，无防汛车辆和船只。</w:t>
      </w:r>
    </w:p>
    <w:p w14:paraId="7D1C1623">
      <w:pPr>
        <w:pStyle w:val="3"/>
        <w:bidi w:val="0"/>
        <w:rPr>
          <w:rFonts w:hint="default" w:ascii="Times New Roman" w:hAnsi="Times New Roman" w:cs="Times New Roman"/>
        </w:rPr>
      </w:pPr>
      <w:bookmarkStart w:id="97" w:name="_Toc29318"/>
      <w:r>
        <w:rPr>
          <w:rFonts w:hint="default" w:ascii="Times New Roman" w:hAnsi="Times New Roman" w:cs="Times New Roman"/>
          <w:lang w:val="en-US" w:eastAsia="zh-CN"/>
        </w:rPr>
        <w:t>除险加固工程概况</w:t>
      </w:r>
      <w:bookmarkEnd w:id="97"/>
    </w:p>
    <w:p w14:paraId="74BABD03">
      <w:pPr>
        <w:pStyle w:val="4"/>
        <w:bidi w:val="0"/>
        <w:rPr>
          <w:rFonts w:hint="default" w:ascii="Times New Roman" w:hAnsi="Times New Roman" w:cs="Times New Roman"/>
          <w:lang w:eastAsia="zh-CN"/>
        </w:rPr>
      </w:pPr>
      <w:bookmarkStart w:id="98" w:name="_Toc5611"/>
      <w:r>
        <w:rPr>
          <w:rFonts w:hint="default" w:ascii="Times New Roman" w:hAnsi="Times New Roman" w:cs="Times New Roman"/>
          <w:lang w:eastAsia="zh-CN"/>
        </w:rPr>
        <w:t>除险加固的必要性</w:t>
      </w:r>
      <w:bookmarkEnd w:id="98"/>
    </w:p>
    <w:p w14:paraId="2394EBDB">
      <w:pPr>
        <w:pStyle w:val="19"/>
        <w:keepNext w:val="0"/>
        <w:keepLines w:val="0"/>
        <w:pageBreakBefore w:val="0"/>
        <w:widowControl w:val="0"/>
        <w:numPr>
          <w:ilvl w:val="0"/>
          <w:numId w:val="0"/>
        </w:numPr>
        <w:shd w:val="clear" w:color="auto" w:fill="FFFFFF"/>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东山水库是一座以灌溉为主，兼有防洪、供水等综合效益的中型水利工程。工程运行50余年来，在灌溉和供水等方面取得了较大的经济效益和社会效益。</w:t>
      </w:r>
    </w:p>
    <w:p w14:paraId="1BA93875">
      <w:pPr>
        <w:pStyle w:val="19"/>
        <w:keepNext w:val="0"/>
        <w:keepLines w:val="0"/>
        <w:pageBreakBefore w:val="0"/>
        <w:widowControl w:val="0"/>
        <w:numPr>
          <w:ilvl w:val="0"/>
          <w:numId w:val="10"/>
        </w:numPr>
        <w:shd w:val="clear" w:color="auto" w:fill="FFFFFF"/>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农田灌溉与防洪效益。水库灌区工程设计灌溉面积3.1万亩，水库有效防护了下游3.5万亩农田和3万余人口。东山水库的修建改变了该区域在工程新建前十年九旱的面貌，保障了灌区群众粮食丰收，同时改善了区域内的水土与环境状况。</w:t>
      </w:r>
    </w:p>
    <w:p w14:paraId="2533BB70">
      <w:pPr>
        <w:pStyle w:val="19"/>
        <w:keepNext w:val="0"/>
        <w:keepLines w:val="0"/>
        <w:pageBreakBefore w:val="0"/>
        <w:widowControl w:val="0"/>
        <w:numPr>
          <w:ilvl w:val="0"/>
          <w:numId w:val="10"/>
        </w:numPr>
        <w:shd w:val="clear" w:color="auto" w:fill="FFFFFF"/>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提供饮用水源，该水库自2001年向下游东山镇提供饮水源，年供水约96万m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3</w:t>
      </w:r>
      <w:r>
        <w:rPr>
          <w:rFonts w:hint="default" w:ascii="Times New Roman" w:hAnsi="Times New Roman" w:eastAsia="宋体" w:cs="Times New Roman"/>
          <w:color w:val="auto"/>
          <w:spacing w:val="0"/>
          <w:w w:val="100"/>
          <w:position w:val="0"/>
          <w:sz w:val="24"/>
          <w:szCs w:val="24"/>
          <w:u w:val="none" w:color="auto"/>
          <w:lang w:val="en-US" w:eastAsia="zh-CN"/>
        </w:rPr>
        <w:t>，受益2万多人。</w:t>
      </w:r>
    </w:p>
    <w:p w14:paraId="5F01C010">
      <w:pPr>
        <w:pStyle w:val="19"/>
        <w:keepNext w:val="0"/>
        <w:keepLines w:val="0"/>
        <w:pageBreakBefore w:val="0"/>
        <w:widowControl w:val="0"/>
        <w:numPr>
          <w:ilvl w:val="0"/>
          <w:numId w:val="10"/>
        </w:numPr>
        <w:shd w:val="clear" w:color="auto" w:fill="FFFFFF"/>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是保障下游人民生命财产安全的需要本工程受当时建设条件的制约，存在先天不足，大坝基础、坝坡、溢洪道及原隧洞都存在严重问题，已是三类坝，其运用指标达不到设计标准，不但影响工程效益的发挥，同时对下游人民生命财产造成威胁，工程存在严重损坏，经除险加固工程措施后才能达到正常运行，故对工程除险加固十分必要。</w:t>
      </w:r>
    </w:p>
    <w:p w14:paraId="29DFD8E0">
      <w:pPr>
        <w:pStyle w:val="19"/>
        <w:keepNext w:val="0"/>
        <w:keepLines w:val="0"/>
        <w:pageBreakBefore w:val="0"/>
        <w:widowControl w:val="0"/>
        <w:numPr>
          <w:ilvl w:val="0"/>
          <w:numId w:val="0"/>
        </w:numPr>
        <w:shd w:val="clear" w:color="auto" w:fill="FFFFFF"/>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综上所述，为保障东山水库灌区农业灌溉用水、提高灌溉保证率，同时发挥水库供水效益、保障下游人民生命财产安全，对东山水库进行除险加固是非常必要的。</w:t>
      </w:r>
    </w:p>
    <w:p w14:paraId="15B6D52F">
      <w:pPr>
        <w:pStyle w:val="4"/>
        <w:bidi w:val="0"/>
        <w:rPr>
          <w:rFonts w:hint="default" w:ascii="Times New Roman" w:hAnsi="Times New Roman" w:cs="Times New Roman"/>
          <w:lang w:val="en-US" w:eastAsia="zh-CN"/>
        </w:rPr>
      </w:pPr>
      <w:bookmarkStart w:id="99" w:name="_Toc19188"/>
      <w:r>
        <w:rPr>
          <w:rFonts w:hint="default" w:ascii="Times New Roman" w:hAnsi="Times New Roman" w:cs="Times New Roman"/>
          <w:lang w:val="en-US" w:eastAsia="zh-CN"/>
        </w:rPr>
        <w:t>工程概况</w:t>
      </w:r>
      <w:bookmarkEnd w:id="99"/>
    </w:p>
    <w:p w14:paraId="3543C33F">
      <w:pPr>
        <w:keepNext w:val="0"/>
        <w:keepLines w:val="0"/>
        <w:pageBreakBefore w:val="0"/>
        <w:widowControl w:val="0"/>
        <w:kinsoku w:val="0"/>
        <w:wordWrap w:val="0"/>
        <w:overflowPunct/>
        <w:topLinePunct/>
        <w:autoSpaceDE/>
        <w:autoSpaceDN/>
        <w:bidi w:val="0"/>
        <w:adjustRightInd w:val="0"/>
        <w:snapToGrid/>
        <w:spacing w:line="360" w:lineRule="auto"/>
        <w:ind w:firstLine="482"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（1）项目名称：</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华容县东山水库除险加固工程</w:t>
      </w:r>
    </w:p>
    <w:p w14:paraId="0A2A266D">
      <w:pPr>
        <w:keepNext w:val="0"/>
        <w:keepLines w:val="0"/>
        <w:pageBreakBefore w:val="0"/>
        <w:widowControl w:val="0"/>
        <w:kinsoku w:val="0"/>
        <w:wordWrap w:val="0"/>
        <w:overflowPunct/>
        <w:topLinePunct/>
        <w:autoSpaceDE/>
        <w:autoSpaceDN/>
        <w:bidi w:val="0"/>
        <w:adjustRightInd w:val="0"/>
        <w:snapToGrid/>
        <w:spacing w:line="360" w:lineRule="auto"/>
        <w:ind w:firstLine="482" w:firstLineChars="200"/>
        <w:textAlignment w:val="auto"/>
        <w:rPr>
          <w:rFonts w:hint="default" w:ascii="Times New Roman" w:hAnsi="Times New Roman" w:eastAsia="宋体" w:cs="Times New Roman"/>
          <w:b w:val="0"/>
          <w:bCs w:val="0"/>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（2）地理位置：</w:t>
      </w:r>
      <w:r>
        <w:rPr>
          <w:rFonts w:hint="default" w:ascii="Times New Roman" w:hAnsi="Times New Roman" w:eastAsia="宋体" w:cs="Times New Roman"/>
          <w:b w:val="0"/>
          <w:bCs w:val="0"/>
          <w:caps w:val="0"/>
          <w:smallCaps w:val="0"/>
          <w:color w:val="auto"/>
          <w:spacing w:val="0"/>
          <w:w w:val="100"/>
          <w:kern w:val="0"/>
          <w:position w:val="0"/>
          <w:sz w:val="24"/>
          <w:szCs w:val="24"/>
          <w:u w:val="none" w:color="auto"/>
          <w:lang w:val="en-US" w:eastAsia="zh-CN"/>
        </w:rPr>
        <w:t>位于岳阳市华容县东山镇仙鹅寺村，坝址地理位置坐标：东经112°44′03″，北纬29°37′03″。</w:t>
      </w:r>
    </w:p>
    <w:p w14:paraId="0E8482B6">
      <w:pPr>
        <w:keepNext w:val="0"/>
        <w:keepLines w:val="0"/>
        <w:pageBreakBefore w:val="0"/>
        <w:widowControl w:val="0"/>
        <w:kinsoku w:val="0"/>
        <w:wordWrap w:val="0"/>
        <w:overflowPunct/>
        <w:topLinePunct/>
        <w:autoSpaceDE/>
        <w:autoSpaceDN/>
        <w:bidi w:val="0"/>
        <w:adjustRightInd w:val="0"/>
        <w:snapToGrid/>
        <w:spacing w:line="360" w:lineRule="auto"/>
        <w:ind w:firstLine="482"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（3）建设单位：</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华容县东山水库管理所</w:t>
      </w:r>
    </w:p>
    <w:p w14:paraId="1B3979E6">
      <w:pPr>
        <w:keepNext w:val="0"/>
        <w:keepLines w:val="0"/>
        <w:pageBreakBefore w:val="0"/>
        <w:widowControl w:val="0"/>
        <w:kinsoku w:val="0"/>
        <w:wordWrap w:val="0"/>
        <w:overflowPunct/>
        <w:topLinePunct/>
        <w:autoSpaceDE/>
        <w:autoSpaceDN/>
        <w:bidi w:val="0"/>
        <w:adjustRightInd w:val="0"/>
        <w:snapToGrid/>
        <w:spacing w:line="360" w:lineRule="auto"/>
        <w:ind w:firstLine="482"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（4）项目性质：</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新建</w:t>
      </w:r>
    </w:p>
    <w:p w14:paraId="1BD66119">
      <w:pPr>
        <w:pageBreakBefore w:val="0"/>
        <w:kinsoku w:val="0"/>
        <w:wordWrap w:val="0"/>
        <w:overflowPunct/>
        <w:topLinePunct/>
        <w:autoSpaceDE/>
        <w:autoSpaceDN/>
        <w:bidi w:val="0"/>
        <w:adjustRightInd w:val="0"/>
        <w:spacing w:line="360" w:lineRule="auto"/>
        <w:ind w:firstLine="482" w:firstLineChars="200"/>
        <w:rPr>
          <w:rFonts w:hint="default" w:ascii="Times New Roman" w:hAnsi="Times New Roman" w:eastAsia="宋体" w:cs="Times New Roman"/>
          <w:b w:val="0"/>
          <w:bCs w:val="0"/>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（5）总投资：</w:t>
      </w:r>
      <w:r>
        <w:rPr>
          <w:rFonts w:hint="default" w:ascii="Times New Roman" w:hAnsi="Times New Roman" w:eastAsia="宋体" w:cs="Times New Roman"/>
          <w:b w:val="0"/>
          <w:bCs w:val="0"/>
          <w:caps w:val="0"/>
          <w:smallCaps w:val="0"/>
          <w:color w:val="auto"/>
          <w:spacing w:val="0"/>
          <w:w w:val="100"/>
          <w:kern w:val="0"/>
          <w:position w:val="0"/>
          <w:sz w:val="24"/>
          <w:szCs w:val="24"/>
          <w:u w:val="none" w:color="auto"/>
          <w:lang w:val="en-US" w:eastAsia="zh-CN"/>
        </w:rPr>
        <w:t>6688万元。</w:t>
      </w:r>
    </w:p>
    <w:p w14:paraId="7990CCA6">
      <w:pPr>
        <w:pageBreakBefore w:val="0"/>
        <w:kinsoku w:val="0"/>
        <w:wordWrap w:val="0"/>
        <w:overflowPunct/>
        <w:topLinePunct/>
        <w:autoSpaceDE/>
        <w:autoSpaceDN/>
        <w:bidi w:val="0"/>
        <w:adjustRightInd w:val="0"/>
        <w:spacing w:line="360" w:lineRule="auto"/>
        <w:ind w:firstLine="482" w:firstLineChars="200"/>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（6）工程任务：</w:t>
      </w:r>
    </w:p>
    <w:p w14:paraId="01C809F2">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1)对大坝防渗体系及坝基渗漏带进行全面处理，确保大坝安全正常运行。</w:t>
      </w:r>
    </w:p>
    <w:p w14:paraId="2FB91898">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2)上、下游坝面破损、杂草丛生，应全面清理，对已经破坏的预制六边形砼护坡及块石护坡进行翻砌处理，完善下游坡面排水系统、护坡及对坝坡、管理所区域建筑物进行白蚁防治。</w:t>
      </w:r>
    </w:p>
    <w:p w14:paraId="0DBC8631">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3)对溢洪道底板进行加固处理，并对边墙砌石砂浆损坏处重新勾缝处理。针对溢洪道消力池及下游泄洪渠过流能力不足，对其进行清淤和加固，恢复其正常泄洪功能。</w:t>
      </w:r>
    </w:p>
    <w:p w14:paraId="36B4AA22">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4)对输水隧洞出口的输水涵管进行挖废后重建，清除渗漏隐患，并对输水隧洞进口启闭平台尺寸进行扩建，增设备用电源。</w:t>
      </w:r>
    </w:p>
    <w:p w14:paraId="46F23AA1">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5)对引水渠道进行护砌，并对其泄水闸、节制闸进行加固改造。</w:t>
      </w:r>
    </w:p>
    <w:p w14:paraId="069368C8">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6)溢洪道控制段增设人行桥与大坝右坝坝肩连通，以方便防汛检修。</w:t>
      </w:r>
    </w:p>
    <w:p w14:paraId="7301BBB9">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7)增设及修复坝体内外观监测设备，对大坝进行安全监测。</w:t>
      </w:r>
    </w:p>
    <w:p w14:paraId="504F3A47">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8)对金属结构设备定期进行养护维护。</w:t>
      </w:r>
    </w:p>
    <w:p w14:paraId="6E7D6D83">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9)对管理所危房进行重建。</w:t>
      </w:r>
    </w:p>
    <w:p w14:paraId="4119C0C6">
      <w:pPr>
        <w:keepNext w:val="0"/>
        <w:keepLines w:val="0"/>
        <w:pageBreakBefore w:val="0"/>
        <w:widowControl w:val="0"/>
        <w:kinsoku w:val="0"/>
        <w:wordWrap w:val="0"/>
        <w:overflowPunct/>
        <w:topLinePunct/>
        <w:autoSpaceDE/>
        <w:autoSpaceDN/>
        <w:bidi w:val="0"/>
        <w:adjustRightInd w:val="0"/>
        <w:snapToGrid/>
        <w:spacing w:line="360" w:lineRule="auto"/>
        <w:ind w:firstLine="482"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（7）工程内容：</w:t>
      </w: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本次除险加固工程不改变工程原有规模及功能，针对工程存在的主要问题，按规程规范要求，确定工程改造加固内容如下: </w:t>
      </w:r>
    </w:p>
    <w:p w14:paraId="102D03DC">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1)对大坝坝体及坝基渗漏带进行防渗处理。</w:t>
      </w:r>
    </w:p>
    <w:p w14:paraId="33FF59EB">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2)上游对已经破坏的预制六边形砼、块石护坡进行翻砌处理。</w:t>
      </w:r>
    </w:p>
    <w:p w14:paraId="2C0C18E6">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3)对下游坝坡整修，重建坡面排水系统及巡检道路。</w:t>
      </w:r>
    </w:p>
    <w:p w14:paraId="6491C349">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4)对大坝坝坡及管理所区域建筑物进行白蚁防治。</w:t>
      </w:r>
    </w:p>
    <w:p w14:paraId="5690E8F9">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5)对溢洪道底板进行加固处理，并对边墙砌石砂浆损坏处重新勾缝处理。</w:t>
      </w:r>
    </w:p>
    <w:p w14:paraId="3682A404">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6)对溢洪道消力池尺寸复核并对泄洪渠进行清淤、护砌设计。</w:t>
      </w:r>
    </w:p>
    <w:p w14:paraId="72A4D5C9">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7)对输水隧洞原暗涵进行挖废重建，清除渗漏隐患，并对输水隧洞工作桥及启闭排架、启闭机房进行扩建，增设备用电源。</w:t>
      </w:r>
    </w:p>
    <w:p w14:paraId="45B5CCE5">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8)对引水渠道进行护砌，并对其泄水闸、节制闸进行加固改造。</w:t>
      </w:r>
    </w:p>
    <w:p w14:paraId="0C25BAAC">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9)溢洪道控制段增设人行桥与大坝右坝坝肩连通，以方便防汛检修。</w:t>
      </w:r>
    </w:p>
    <w:p w14:paraId="3DEEE837">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10)增设及修复坝体内外观监测设备，对大坝进行安全监测。</w:t>
      </w:r>
    </w:p>
    <w:p w14:paraId="1773F8E4">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1</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default" w:ascii="Times New Roman" w:hAnsi="Times New Roman" w:eastAsia="宋体" w:cs="Times New Roman"/>
          <w:caps w:val="0"/>
          <w:smallCaps w:val="0"/>
          <w:color w:val="auto"/>
          <w:spacing w:val="0"/>
          <w:w w:val="100"/>
          <w:kern w:val="0"/>
          <w:position w:val="0"/>
          <w:sz w:val="24"/>
          <w:szCs w:val="24"/>
          <w:u w:val="none" w:color="auto"/>
        </w:rPr>
        <w:t>)对管理所危房进行重建。</w:t>
      </w:r>
    </w:p>
    <w:p w14:paraId="6352E84E">
      <w:pPr>
        <w:pStyle w:val="19"/>
        <w:keepNext w:val="0"/>
        <w:keepLines w:val="0"/>
        <w:pageBreakBefore w:val="0"/>
        <w:widowControl w:val="0"/>
        <w:numPr>
          <w:ilvl w:val="0"/>
          <w:numId w:val="0"/>
        </w:numPr>
        <w:shd w:val="clear" w:color="auto" w:fill="FFFFFF"/>
        <w:kinsoku/>
        <w:wordWrap/>
        <w:overflowPunct/>
        <w:topLinePunct w:val="0"/>
        <w:autoSpaceDE/>
        <w:autoSpaceDN/>
        <w:bidi w:val="0"/>
        <w:adjustRightInd/>
        <w:snapToGrid/>
        <w:spacing w:after="0" w:line="360" w:lineRule="auto"/>
        <w:ind w:firstLine="482" w:firstLineChars="200"/>
        <w:textAlignment w:val="auto"/>
        <w:rPr>
          <w:rFonts w:hint="default" w:ascii="Times New Roman" w:hAnsi="Times New Roman" w:eastAsia="宋体" w:cs="Times New Roman"/>
          <w:b w:val="0"/>
          <w:bCs w:val="0"/>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8</w:t>
      </w: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主要工程量：</w:t>
      </w:r>
      <w:r>
        <w:rPr>
          <w:rFonts w:hint="default" w:ascii="Times New Roman" w:hAnsi="Times New Roman" w:eastAsia="宋体" w:cs="Times New Roman"/>
          <w:b w:val="0"/>
          <w:bCs w:val="0"/>
          <w:caps w:val="0"/>
          <w:smallCaps w:val="0"/>
          <w:color w:val="auto"/>
          <w:spacing w:val="0"/>
          <w:w w:val="100"/>
          <w:kern w:val="0"/>
          <w:position w:val="0"/>
          <w:sz w:val="24"/>
          <w:szCs w:val="24"/>
          <w:u w:val="none" w:color="auto"/>
          <w:lang w:val="en-US" w:eastAsia="zh-CN"/>
        </w:rPr>
        <w:t>本项目主要工程量见下表：</w:t>
      </w:r>
    </w:p>
    <w:p w14:paraId="61810DA1">
      <w:pPr>
        <w:pageBreakBefore w:val="0"/>
        <w:kinsoku w:val="0"/>
        <w:wordWrap w:val="0"/>
        <w:overflowPunct/>
        <w:topLinePunct/>
        <w:autoSpaceDE/>
        <w:autoSpaceDN/>
        <w:bidi w:val="0"/>
        <w:adjustRightInd w:val="0"/>
        <w:spacing w:line="360" w:lineRule="auto"/>
        <w:ind w:firstLine="482" w:firstLineChars="200"/>
        <w:jc w:val="cente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表2.2-1  主要工程量表</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2109"/>
        <w:gridCol w:w="812"/>
        <w:gridCol w:w="1034"/>
        <w:gridCol w:w="1235"/>
        <w:gridCol w:w="1190"/>
        <w:gridCol w:w="1068"/>
        <w:gridCol w:w="1068"/>
      </w:tblGrid>
      <w:tr w14:paraId="6B24175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blHeader/>
          <w:jc w:val="center"/>
        </w:trPr>
        <w:tc>
          <w:tcPr>
            <w:tcW w:w="1896" w:type="dxa"/>
            <w:tcBorders>
              <w:tl2br w:val="nil"/>
              <w:tr2bl w:val="nil"/>
            </w:tcBorders>
            <w:shd w:val="clear" w:color="auto" w:fill="auto"/>
            <w:noWrap/>
            <w:vAlign w:val="center"/>
          </w:tcPr>
          <w:p w14:paraId="309E923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项目名称</w:t>
            </w:r>
          </w:p>
        </w:tc>
        <w:tc>
          <w:tcPr>
            <w:tcW w:w="730" w:type="dxa"/>
            <w:tcBorders>
              <w:tl2br w:val="nil"/>
              <w:tr2bl w:val="nil"/>
            </w:tcBorders>
            <w:shd w:val="clear" w:color="auto" w:fill="auto"/>
            <w:noWrap/>
            <w:vAlign w:val="center"/>
          </w:tcPr>
          <w:p w14:paraId="47553C18">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单位</w:t>
            </w:r>
          </w:p>
        </w:tc>
        <w:tc>
          <w:tcPr>
            <w:tcW w:w="930" w:type="dxa"/>
            <w:tcBorders>
              <w:tl2br w:val="nil"/>
              <w:tr2bl w:val="nil"/>
            </w:tcBorders>
            <w:shd w:val="clear" w:color="auto" w:fill="auto"/>
            <w:noWrap/>
            <w:vAlign w:val="center"/>
          </w:tcPr>
          <w:p w14:paraId="076D7449">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大坝</w:t>
            </w:r>
          </w:p>
        </w:tc>
        <w:tc>
          <w:tcPr>
            <w:tcW w:w="1110" w:type="dxa"/>
            <w:tcBorders>
              <w:tl2br w:val="nil"/>
              <w:tr2bl w:val="nil"/>
            </w:tcBorders>
            <w:shd w:val="clear" w:color="auto" w:fill="auto"/>
            <w:noWrap/>
            <w:vAlign w:val="center"/>
          </w:tcPr>
          <w:p w14:paraId="22499EB5">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溢洪道</w:t>
            </w:r>
          </w:p>
        </w:tc>
        <w:tc>
          <w:tcPr>
            <w:tcW w:w="1070" w:type="dxa"/>
            <w:tcBorders>
              <w:tl2br w:val="nil"/>
              <w:tr2bl w:val="nil"/>
            </w:tcBorders>
            <w:shd w:val="clear" w:color="auto" w:fill="auto"/>
            <w:noWrap/>
            <w:vAlign w:val="center"/>
          </w:tcPr>
          <w:p w14:paraId="6D41205B">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输水隧洞</w:t>
            </w:r>
          </w:p>
        </w:tc>
        <w:tc>
          <w:tcPr>
            <w:tcW w:w="960" w:type="dxa"/>
            <w:tcBorders>
              <w:tl2br w:val="nil"/>
              <w:tr2bl w:val="nil"/>
            </w:tcBorders>
            <w:shd w:val="clear" w:color="auto" w:fill="auto"/>
            <w:noWrap/>
            <w:vAlign w:val="center"/>
          </w:tcPr>
          <w:p w14:paraId="0BF68858">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引水渠</w:t>
            </w:r>
          </w:p>
        </w:tc>
        <w:tc>
          <w:tcPr>
            <w:tcW w:w="960" w:type="dxa"/>
            <w:tcBorders>
              <w:tl2br w:val="nil"/>
              <w:tr2bl w:val="nil"/>
            </w:tcBorders>
            <w:shd w:val="clear" w:color="auto" w:fill="auto"/>
            <w:noWrap/>
            <w:vAlign w:val="center"/>
          </w:tcPr>
          <w:p w14:paraId="522BEA65">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合计</w:t>
            </w:r>
          </w:p>
        </w:tc>
      </w:tr>
      <w:tr w14:paraId="20B19F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96" w:type="dxa"/>
            <w:tcBorders>
              <w:tl2br w:val="nil"/>
              <w:tr2bl w:val="nil"/>
            </w:tcBorders>
            <w:shd w:val="clear" w:color="auto" w:fill="auto"/>
            <w:noWrap/>
            <w:vAlign w:val="center"/>
          </w:tcPr>
          <w:p w14:paraId="3E3E8113">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土方开挖</w:t>
            </w:r>
          </w:p>
        </w:tc>
        <w:tc>
          <w:tcPr>
            <w:tcW w:w="730" w:type="dxa"/>
            <w:tcBorders>
              <w:tl2br w:val="nil"/>
              <w:tr2bl w:val="nil"/>
            </w:tcBorders>
            <w:shd w:val="clear" w:color="auto" w:fill="auto"/>
            <w:noWrap/>
            <w:vAlign w:val="center"/>
          </w:tcPr>
          <w:p w14:paraId="29A6D44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930" w:type="dxa"/>
            <w:tcBorders>
              <w:tl2br w:val="nil"/>
              <w:tr2bl w:val="nil"/>
            </w:tcBorders>
            <w:shd w:val="clear" w:color="auto" w:fill="auto"/>
            <w:noWrap/>
            <w:vAlign w:val="center"/>
          </w:tcPr>
          <w:p w14:paraId="0B2125A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7431</w:t>
            </w:r>
          </w:p>
        </w:tc>
        <w:tc>
          <w:tcPr>
            <w:tcW w:w="1110" w:type="dxa"/>
            <w:tcBorders>
              <w:tl2br w:val="nil"/>
              <w:tr2bl w:val="nil"/>
            </w:tcBorders>
            <w:shd w:val="clear" w:color="auto" w:fill="auto"/>
            <w:noWrap/>
            <w:vAlign w:val="center"/>
          </w:tcPr>
          <w:p w14:paraId="5D3F2F9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4929</w:t>
            </w:r>
          </w:p>
        </w:tc>
        <w:tc>
          <w:tcPr>
            <w:tcW w:w="1070" w:type="dxa"/>
            <w:tcBorders>
              <w:tl2br w:val="nil"/>
              <w:tr2bl w:val="nil"/>
            </w:tcBorders>
            <w:shd w:val="clear" w:color="auto" w:fill="auto"/>
            <w:noWrap/>
            <w:vAlign w:val="center"/>
          </w:tcPr>
          <w:p w14:paraId="2EF9094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12105</w:t>
            </w:r>
          </w:p>
        </w:tc>
        <w:tc>
          <w:tcPr>
            <w:tcW w:w="960" w:type="dxa"/>
            <w:tcBorders>
              <w:tl2br w:val="nil"/>
              <w:tr2bl w:val="nil"/>
            </w:tcBorders>
            <w:shd w:val="clear" w:color="auto" w:fill="auto"/>
            <w:noWrap/>
            <w:vAlign w:val="center"/>
          </w:tcPr>
          <w:p w14:paraId="024EA95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3050</w:t>
            </w:r>
          </w:p>
        </w:tc>
        <w:tc>
          <w:tcPr>
            <w:tcW w:w="960" w:type="dxa"/>
            <w:tcBorders>
              <w:tl2br w:val="nil"/>
              <w:tr2bl w:val="nil"/>
            </w:tcBorders>
            <w:shd w:val="clear" w:color="auto" w:fill="auto"/>
            <w:noWrap/>
            <w:vAlign w:val="center"/>
          </w:tcPr>
          <w:p w14:paraId="4958366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27515</w:t>
            </w:r>
          </w:p>
        </w:tc>
      </w:tr>
      <w:tr w14:paraId="5F16E9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96" w:type="dxa"/>
            <w:tcBorders>
              <w:tl2br w:val="nil"/>
              <w:tr2bl w:val="nil"/>
            </w:tcBorders>
            <w:shd w:val="clear" w:color="auto" w:fill="auto"/>
            <w:noWrap/>
            <w:vAlign w:val="center"/>
          </w:tcPr>
          <w:p w14:paraId="0A697FFE">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砌体拆除</w:t>
            </w:r>
          </w:p>
        </w:tc>
        <w:tc>
          <w:tcPr>
            <w:tcW w:w="730" w:type="dxa"/>
            <w:tcBorders>
              <w:tl2br w:val="nil"/>
              <w:tr2bl w:val="nil"/>
            </w:tcBorders>
            <w:shd w:val="clear" w:color="auto" w:fill="auto"/>
            <w:noWrap/>
            <w:vAlign w:val="center"/>
          </w:tcPr>
          <w:p w14:paraId="2F0EDAD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930" w:type="dxa"/>
            <w:tcBorders>
              <w:tl2br w:val="nil"/>
              <w:tr2bl w:val="nil"/>
            </w:tcBorders>
            <w:shd w:val="clear" w:color="auto" w:fill="auto"/>
            <w:noWrap/>
            <w:vAlign w:val="center"/>
          </w:tcPr>
          <w:p w14:paraId="2CC9C27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722</w:t>
            </w:r>
          </w:p>
        </w:tc>
        <w:tc>
          <w:tcPr>
            <w:tcW w:w="1110" w:type="dxa"/>
            <w:tcBorders>
              <w:tl2br w:val="nil"/>
              <w:tr2bl w:val="nil"/>
            </w:tcBorders>
            <w:shd w:val="clear" w:color="auto" w:fill="auto"/>
            <w:noWrap/>
            <w:vAlign w:val="center"/>
          </w:tcPr>
          <w:p w14:paraId="36E6AE6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693</w:t>
            </w:r>
          </w:p>
        </w:tc>
        <w:tc>
          <w:tcPr>
            <w:tcW w:w="1070" w:type="dxa"/>
            <w:tcBorders>
              <w:tl2br w:val="nil"/>
              <w:tr2bl w:val="nil"/>
            </w:tcBorders>
            <w:shd w:val="clear" w:color="auto" w:fill="auto"/>
            <w:noWrap/>
            <w:vAlign w:val="center"/>
          </w:tcPr>
          <w:p w14:paraId="544847B8">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080458EF">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4EEA9C3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1415</w:t>
            </w:r>
          </w:p>
        </w:tc>
      </w:tr>
      <w:tr w14:paraId="365BE3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96" w:type="dxa"/>
            <w:tcBorders>
              <w:tl2br w:val="nil"/>
              <w:tr2bl w:val="nil"/>
            </w:tcBorders>
            <w:shd w:val="clear" w:color="auto" w:fill="auto"/>
            <w:noWrap/>
            <w:vAlign w:val="center"/>
          </w:tcPr>
          <w:p w14:paraId="58B7A5A4">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砼拆除</w:t>
            </w:r>
          </w:p>
        </w:tc>
        <w:tc>
          <w:tcPr>
            <w:tcW w:w="730" w:type="dxa"/>
            <w:tcBorders>
              <w:tl2br w:val="nil"/>
              <w:tr2bl w:val="nil"/>
            </w:tcBorders>
            <w:shd w:val="clear" w:color="auto" w:fill="auto"/>
            <w:noWrap/>
            <w:vAlign w:val="center"/>
          </w:tcPr>
          <w:p w14:paraId="4E9DC38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930" w:type="dxa"/>
            <w:tcBorders>
              <w:tl2br w:val="nil"/>
              <w:tr2bl w:val="nil"/>
            </w:tcBorders>
            <w:shd w:val="clear" w:color="auto" w:fill="auto"/>
            <w:noWrap/>
            <w:vAlign w:val="center"/>
          </w:tcPr>
          <w:p w14:paraId="7B5060C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1367</w:t>
            </w:r>
          </w:p>
        </w:tc>
        <w:tc>
          <w:tcPr>
            <w:tcW w:w="1110" w:type="dxa"/>
            <w:tcBorders>
              <w:tl2br w:val="nil"/>
              <w:tr2bl w:val="nil"/>
            </w:tcBorders>
            <w:shd w:val="clear" w:color="auto" w:fill="auto"/>
            <w:noWrap/>
            <w:vAlign w:val="center"/>
          </w:tcPr>
          <w:p w14:paraId="715AD4C5">
            <w:pPr>
              <w:spacing w:line="240" w:lineRule="auto"/>
              <w:jc w:val="center"/>
              <w:rPr>
                <w:rFonts w:hint="default" w:ascii="Times New Roman" w:hAnsi="Times New Roman" w:eastAsia="宋体" w:cs="Times New Roman"/>
                <w:i w:val="0"/>
                <w:iCs w:val="0"/>
                <w:color w:val="000000"/>
                <w:sz w:val="21"/>
                <w:szCs w:val="21"/>
                <w:u w:val="none"/>
              </w:rPr>
            </w:pPr>
          </w:p>
        </w:tc>
        <w:tc>
          <w:tcPr>
            <w:tcW w:w="1070" w:type="dxa"/>
            <w:tcBorders>
              <w:tl2br w:val="nil"/>
              <w:tr2bl w:val="nil"/>
            </w:tcBorders>
            <w:shd w:val="clear" w:color="auto" w:fill="auto"/>
            <w:noWrap/>
            <w:vAlign w:val="center"/>
          </w:tcPr>
          <w:p w14:paraId="76D1164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488</w:t>
            </w:r>
          </w:p>
        </w:tc>
        <w:tc>
          <w:tcPr>
            <w:tcW w:w="960" w:type="dxa"/>
            <w:tcBorders>
              <w:tl2br w:val="nil"/>
              <w:tr2bl w:val="nil"/>
            </w:tcBorders>
            <w:shd w:val="clear" w:color="auto" w:fill="auto"/>
            <w:noWrap/>
            <w:vAlign w:val="center"/>
          </w:tcPr>
          <w:p w14:paraId="7EA2E12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960" w:type="dxa"/>
            <w:tcBorders>
              <w:tl2br w:val="nil"/>
              <w:tr2bl w:val="nil"/>
            </w:tcBorders>
            <w:shd w:val="clear" w:color="auto" w:fill="auto"/>
            <w:noWrap/>
            <w:vAlign w:val="center"/>
          </w:tcPr>
          <w:p w14:paraId="528FAF1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1863</w:t>
            </w:r>
          </w:p>
        </w:tc>
      </w:tr>
      <w:tr w14:paraId="7DED7F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96" w:type="dxa"/>
            <w:tcBorders>
              <w:tl2br w:val="nil"/>
              <w:tr2bl w:val="nil"/>
            </w:tcBorders>
            <w:shd w:val="clear" w:color="auto" w:fill="auto"/>
            <w:noWrap/>
            <w:vAlign w:val="center"/>
          </w:tcPr>
          <w:p w14:paraId="5F910976">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石方开挖</w:t>
            </w:r>
          </w:p>
        </w:tc>
        <w:tc>
          <w:tcPr>
            <w:tcW w:w="730" w:type="dxa"/>
            <w:tcBorders>
              <w:tl2br w:val="nil"/>
              <w:tr2bl w:val="nil"/>
            </w:tcBorders>
            <w:shd w:val="clear" w:color="auto" w:fill="auto"/>
            <w:noWrap/>
            <w:vAlign w:val="center"/>
          </w:tcPr>
          <w:p w14:paraId="24B5196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930" w:type="dxa"/>
            <w:tcBorders>
              <w:tl2br w:val="nil"/>
              <w:tr2bl w:val="nil"/>
            </w:tcBorders>
            <w:shd w:val="clear" w:color="auto" w:fill="auto"/>
            <w:noWrap/>
            <w:vAlign w:val="center"/>
          </w:tcPr>
          <w:p w14:paraId="17B3A434">
            <w:pPr>
              <w:spacing w:line="240" w:lineRule="auto"/>
              <w:jc w:val="center"/>
              <w:rPr>
                <w:rFonts w:hint="default" w:ascii="Times New Roman" w:hAnsi="Times New Roman" w:eastAsia="宋体" w:cs="Times New Roman"/>
                <w:i w:val="0"/>
                <w:iCs w:val="0"/>
                <w:color w:val="000000"/>
                <w:sz w:val="21"/>
                <w:szCs w:val="21"/>
                <w:u w:val="none"/>
              </w:rPr>
            </w:pPr>
          </w:p>
        </w:tc>
        <w:tc>
          <w:tcPr>
            <w:tcW w:w="1110" w:type="dxa"/>
            <w:tcBorders>
              <w:tl2br w:val="nil"/>
              <w:tr2bl w:val="nil"/>
            </w:tcBorders>
            <w:shd w:val="clear" w:color="auto" w:fill="auto"/>
            <w:noWrap/>
            <w:vAlign w:val="center"/>
          </w:tcPr>
          <w:p w14:paraId="42FDDE2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81</w:t>
            </w:r>
          </w:p>
        </w:tc>
        <w:tc>
          <w:tcPr>
            <w:tcW w:w="1070" w:type="dxa"/>
            <w:tcBorders>
              <w:tl2br w:val="nil"/>
              <w:tr2bl w:val="nil"/>
            </w:tcBorders>
            <w:shd w:val="clear" w:color="auto" w:fill="auto"/>
            <w:noWrap/>
            <w:vAlign w:val="center"/>
          </w:tcPr>
          <w:p w14:paraId="689421FA">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718CA945">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6D198ED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81</w:t>
            </w:r>
          </w:p>
        </w:tc>
      </w:tr>
      <w:tr w14:paraId="2FF0DE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96" w:type="dxa"/>
            <w:tcBorders>
              <w:tl2br w:val="nil"/>
              <w:tr2bl w:val="nil"/>
            </w:tcBorders>
            <w:shd w:val="clear" w:color="auto" w:fill="auto"/>
            <w:noWrap/>
            <w:vAlign w:val="center"/>
          </w:tcPr>
          <w:p w14:paraId="0C3BACFC">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土石方回填</w:t>
            </w:r>
          </w:p>
        </w:tc>
        <w:tc>
          <w:tcPr>
            <w:tcW w:w="730" w:type="dxa"/>
            <w:tcBorders>
              <w:tl2br w:val="nil"/>
              <w:tr2bl w:val="nil"/>
            </w:tcBorders>
            <w:shd w:val="clear" w:color="auto" w:fill="auto"/>
            <w:noWrap/>
            <w:vAlign w:val="center"/>
          </w:tcPr>
          <w:p w14:paraId="6D80ED4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930" w:type="dxa"/>
            <w:tcBorders>
              <w:tl2br w:val="nil"/>
              <w:tr2bl w:val="nil"/>
            </w:tcBorders>
            <w:shd w:val="clear" w:color="auto" w:fill="auto"/>
            <w:noWrap/>
            <w:vAlign w:val="center"/>
          </w:tcPr>
          <w:p w14:paraId="24FA949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6283</w:t>
            </w:r>
          </w:p>
        </w:tc>
        <w:tc>
          <w:tcPr>
            <w:tcW w:w="1110" w:type="dxa"/>
            <w:tcBorders>
              <w:tl2br w:val="nil"/>
              <w:tr2bl w:val="nil"/>
            </w:tcBorders>
            <w:shd w:val="clear" w:color="auto" w:fill="auto"/>
            <w:noWrap/>
            <w:vAlign w:val="center"/>
          </w:tcPr>
          <w:p w14:paraId="5C74EE4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651</w:t>
            </w:r>
          </w:p>
        </w:tc>
        <w:tc>
          <w:tcPr>
            <w:tcW w:w="1070" w:type="dxa"/>
            <w:tcBorders>
              <w:tl2br w:val="nil"/>
              <w:tr2bl w:val="nil"/>
            </w:tcBorders>
            <w:shd w:val="clear" w:color="auto" w:fill="auto"/>
            <w:noWrap/>
            <w:vAlign w:val="center"/>
          </w:tcPr>
          <w:p w14:paraId="56F0F48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11402</w:t>
            </w:r>
          </w:p>
        </w:tc>
        <w:tc>
          <w:tcPr>
            <w:tcW w:w="960" w:type="dxa"/>
            <w:tcBorders>
              <w:tl2br w:val="nil"/>
              <w:tr2bl w:val="nil"/>
            </w:tcBorders>
            <w:shd w:val="clear" w:color="auto" w:fill="auto"/>
            <w:noWrap/>
            <w:vAlign w:val="center"/>
          </w:tcPr>
          <w:p w14:paraId="26486E2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2646</w:t>
            </w:r>
          </w:p>
        </w:tc>
        <w:tc>
          <w:tcPr>
            <w:tcW w:w="960" w:type="dxa"/>
            <w:tcBorders>
              <w:tl2br w:val="nil"/>
              <w:tr2bl w:val="nil"/>
            </w:tcBorders>
            <w:shd w:val="clear" w:color="auto" w:fill="auto"/>
            <w:noWrap/>
            <w:vAlign w:val="center"/>
          </w:tcPr>
          <w:p w14:paraId="4AD9582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20982</w:t>
            </w:r>
          </w:p>
        </w:tc>
      </w:tr>
      <w:tr w14:paraId="4543B8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96" w:type="dxa"/>
            <w:tcBorders>
              <w:tl2br w:val="nil"/>
              <w:tr2bl w:val="nil"/>
            </w:tcBorders>
            <w:shd w:val="clear" w:color="auto" w:fill="auto"/>
            <w:noWrap/>
            <w:vAlign w:val="center"/>
          </w:tcPr>
          <w:p w14:paraId="25E0D570">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砼</w:t>
            </w:r>
          </w:p>
        </w:tc>
        <w:tc>
          <w:tcPr>
            <w:tcW w:w="730" w:type="dxa"/>
            <w:tcBorders>
              <w:tl2br w:val="nil"/>
              <w:tr2bl w:val="nil"/>
            </w:tcBorders>
            <w:shd w:val="clear" w:color="auto" w:fill="auto"/>
            <w:noWrap/>
            <w:vAlign w:val="center"/>
          </w:tcPr>
          <w:p w14:paraId="7F71DE6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930" w:type="dxa"/>
            <w:tcBorders>
              <w:tl2br w:val="nil"/>
              <w:tr2bl w:val="nil"/>
            </w:tcBorders>
            <w:shd w:val="clear" w:color="auto" w:fill="auto"/>
            <w:noWrap/>
            <w:vAlign w:val="center"/>
          </w:tcPr>
          <w:p w14:paraId="0128FB3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3750</w:t>
            </w:r>
          </w:p>
        </w:tc>
        <w:tc>
          <w:tcPr>
            <w:tcW w:w="1110" w:type="dxa"/>
            <w:tcBorders>
              <w:tl2br w:val="nil"/>
              <w:tr2bl w:val="nil"/>
            </w:tcBorders>
            <w:shd w:val="clear" w:color="auto" w:fill="auto"/>
            <w:noWrap/>
            <w:vAlign w:val="center"/>
          </w:tcPr>
          <w:p w14:paraId="678F9C6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8657</w:t>
            </w:r>
          </w:p>
        </w:tc>
        <w:tc>
          <w:tcPr>
            <w:tcW w:w="1070" w:type="dxa"/>
            <w:tcBorders>
              <w:tl2br w:val="nil"/>
              <w:tr2bl w:val="nil"/>
            </w:tcBorders>
            <w:shd w:val="clear" w:color="auto" w:fill="auto"/>
            <w:noWrap/>
            <w:vAlign w:val="center"/>
          </w:tcPr>
          <w:p w14:paraId="1520423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1048</w:t>
            </w:r>
          </w:p>
        </w:tc>
        <w:tc>
          <w:tcPr>
            <w:tcW w:w="960" w:type="dxa"/>
            <w:tcBorders>
              <w:tl2br w:val="nil"/>
              <w:tr2bl w:val="nil"/>
            </w:tcBorders>
            <w:shd w:val="clear" w:color="auto" w:fill="auto"/>
            <w:noWrap/>
            <w:vAlign w:val="center"/>
          </w:tcPr>
          <w:p w14:paraId="50BCDFF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1347</w:t>
            </w:r>
          </w:p>
        </w:tc>
        <w:tc>
          <w:tcPr>
            <w:tcW w:w="960" w:type="dxa"/>
            <w:tcBorders>
              <w:tl2br w:val="nil"/>
              <w:tr2bl w:val="nil"/>
            </w:tcBorders>
            <w:shd w:val="clear" w:color="auto" w:fill="auto"/>
            <w:noWrap/>
            <w:vAlign w:val="center"/>
          </w:tcPr>
          <w:p w14:paraId="2AFD774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14802</w:t>
            </w:r>
          </w:p>
        </w:tc>
      </w:tr>
      <w:tr w14:paraId="6F9BE7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96" w:type="dxa"/>
            <w:tcBorders>
              <w:tl2br w:val="nil"/>
              <w:tr2bl w:val="nil"/>
            </w:tcBorders>
            <w:shd w:val="clear" w:color="auto" w:fill="auto"/>
            <w:noWrap/>
            <w:vAlign w:val="center"/>
          </w:tcPr>
          <w:p w14:paraId="09BD0074">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钢筋</w:t>
            </w:r>
          </w:p>
        </w:tc>
        <w:tc>
          <w:tcPr>
            <w:tcW w:w="730" w:type="dxa"/>
            <w:tcBorders>
              <w:tl2br w:val="nil"/>
              <w:tr2bl w:val="nil"/>
            </w:tcBorders>
            <w:shd w:val="clear" w:color="auto" w:fill="auto"/>
            <w:noWrap/>
            <w:vAlign w:val="center"/>
          </w:tcPr>
          <w:p w14:paraId="7BEBA85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t</w:t>
            </w:r>
          </w:p>
        </w:tc>
        <w:tc>
          <w:tcPr>
            <w:tcW w:w="930" w:type="dxa"/>
            <w:tcBorders>
              <w:tl2br w:val="nil"/>
              <w:tr2bl w:val="nil"/>
            </w:tcBorders>
            <w:shd w:val="clear" w:color="auto" w:fill="auto"/>
            <w:noWrap/>
            <w:vAlign w:val="center"/>
          </w:tcPr>
          <w:p w14:paraId="5F8D75D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48</w:t>
            </w:r>
          </w:p>
        </w:tc>
        <w:tc>
          <w:tcPr>
            <w:tcW w:w="1110" w:type="dxa"/>
            <w:tcBorders>
              <w:tl2br w:val="nil"/>
              <w:tr2bl w:val="nil"/>
            </w:tcBorders>
            <w:shd w:val="clear" w:color="auto" w:fill="auto"/>
            <w:noWrap/>
            <w:vAlign w:val="center"/>
          </w:tcPr>
          <w:p w14:paraId="3EFFAB3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86</w:t>
            </w:r>
          </w:p>
        </w:tc>
        <w:tc>
          <w:tcPr>
            <w:tcW w:w="1070" w:type="dxa"/>
            <w:tcBorders>
              <w:tl2br w:val="nil"/>
              <w:tr2bl w:val="nil"/>
            </w:tcBorders>
            <w:shd w:val="clear" w:color="auto" w:fill="auto"/>
            <w:noWrap/>
            <w:vAlign w:val="center"/>
          </w:tcPr>
          <w:p w14:paraId="670CC7B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121</w:t>
            </w:r>
          </w:p>
        </w:tc>
        <w:tc>
          <w:tcPr>
            <w:tcW w:w="960" w:type="dxa"/>
            <w:tcBorders>
              <w:tl2br w:val="nil"/>
              <w:tr2bl w:val="nil"/>
            </w:tcBorders>
            <w:shd w:val="clear" w:color="auto" w:fill="auto"/>
            <w:noWrap/>
            <w:vAlign w:val="center"/>
          </w:tcPr>
          <w:p w14:paraId="766FD67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960" w:type="dxa"/>
            <w:tcBorders>
              <w:tl2br w:val="nil"/>
              <w:tr2bl w:val="nil"/>
            </w:tcBorders>
            <w:shd w:val="clear" w:color="auto" w:fill="auto"/>
            <w:noWrap/>
            <w:vAlign w:val="center"/>
          </w:tcPr>
          <w:p w14:paraId="0D8F399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257</w:t>
            </w:r>
          </w:p>
        </w:tc>
      </w:tr>
      <w:tr w14:paraId="285239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96" w:type="dxa"/>
            <w:tcBorders>
              <w:tl2br w:val="nil"/>
              <w:tr2bl w:val="nil"/>
            </w:tcBorders>
            <w:shd w:val="clear" w:color="auto" w:fill="auto"/>
            <w:noWrap/>
            <w:vAlign w:val="center"/>
          </w:tcPr>
          <w:p w14:paraId="29D5BE8E">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锚筋</w:t>
            </w:r>
          </w:p>
        </w:tc>
        <w:tc>
          <w:tcPr>
            <w:tcW w:w="730" w:type="dxa"/>
            <w:tcBorders>
              <w:tl2br w:val="nil"/>
              <w:tr2bl w:val="nil"/>
            </w:tcBorders>
            <w:shd w:val="clear" w:color="auto" w:fill="auto"/>
            <w:noWrap/>
            <w:vAlign w:val="center"/>
          </w:tcPr>
          <w:p w14:paraId="6293E02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根</w:t>
            </w:r>
          </w:p>
        </w:tc>
        <w:tc>
          <w:tcPr>
            <w:tcW w:w="930" w:type="dxa"/>
            <w:tcBorders>
              <w:tl2br w:val="nil"/>
              <w:tr2bl w:val="nil"/>
            </w:tcBorders>
            <w:shd w:val="clear" w:color="auto" w:fill="auto"/>
            <w:noWrap/>
            <w:vAlign w:val="center"/>
          </w:tcPr>
          <w:p w14:paraId="33D10CFA">
            <w:pPr>
              <w:spacing w:line="240" w:lineRule="auto"/>
              <w:jc w:val="center"/>
              <w:rPr>
                <w:rFonts w:hint="default" w:ascii="Times New Roman" w:hAnsi="Times New Roman" w:eastAsia="宋体" w:cs="Times New Roman"/>
                <w:i w:val="0"/>
                <w:iCs w:val="0"/>
                <w:color w:val="000000"/>
                <w:sz w:val="21"/>
                <w:szCs w:val="21"/>
                <w:u w:val="none"/>
              </w:rPr>
            </w:pPr>
          </w:p>
        </w:tc>
        <w:tc>
          <w:tcPr>
            <w:tcW w:w="1110" w:type="dxa"/>
            <w:tcBorders>
              <w:tl2br w:val="nil"/>
              <w:tr2bl w:val="nil"/>
            </w:tcBorders>
            <w:shd w:val="clear" w:color="auto" w:fill="auto"/>
            <w:noWrap/>
            <w:vAlign w:val="center"/>
          </w:tcPr>
          <w:p w14:paraId="6B3FBD9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110</w:t>
            </w:r>
          </w:p>
        </w:tc>
        <w:tc>
          <w:tcPr>
            <w:tcW w:w="1070" w:type="dxa"/>
            <w:tcBorders>
              <w:tl2br w:val="nil"/>
              <w:tr2bl w:val="nil"/>
            </w:tcBorders>
            <w:shd w:val="clear" w:color="auto" w:fill="auto"/>
            <w:noWrap/>
            <w:vAlign w:val="center"/>
          </w:tcPr>
          <w:p w14:paraId="5337738D">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16966EC5">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34FF883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110</w:t>
            </w:r>
          </w:p>
        </w:tc>
      </w:tr>
      <w:tr w14:paraId="1B45C77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96" w:type="dxa"/>
            <w:tcBorders>
              <w:tl2br w:val="nil"/>
              <w:tr2bl w:val="nil"/>
            </w:tcBorders>
            <w:shd w:val="clear" w:color="auto" w:fill="auto"/>
            <w:noWrap/>
            <w:vAlign w:val="center"/>
          </w:tcPr>
          <w:p w14:paraId="45FF9C81">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塑性混凝土防渗墙</w:t>
            </w:r>
          </w:p>
        </w:tc>
        <w:tc>
          <w:tcPr>
            <w:tcW w:w="730" w:type="dxa"/>
            <w:tcBorders>
              <w:tl2br w:val="nil"/>
              <w:tr2bl w:val="nil"/>
            </w:tcBorders>
            <w:shd w:val="clear" w:color="auto" w:fill="auto"/>
            <w:noWrap/>
            <w:vAlign w:val="center"/>
          </w:tcPr>
          <w:p w14:paraId="741BEE4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930" w:type="dxa"/>
            <w:tcBorders>
              <w:tl2br w:val="nil"/>
              <w:tr2bl w:val="nil"/>
            </w:tcBorders>
            <w:shd w:val="clear" w:color="auto" w:fill="auto"/>
            <w:noWrap/>
            <w:vAlign w:val="center"/>
          </w:tcPr>
          <w:p w14:paraId="6C0F3BC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17807</w:t>
            </w:r>
          </w:p>
        </w:tc>
        <w:tc>
          <w:tcPr>
            <w:tcW w:w="1110" w:type="dxa"/>
            <w:tcBorders>
              <w:tl2br w:val="nil"/>
              <w:tr2bl w:val="nil"/>
            </w:tcBorders>
            <w:shd w:val="clear" w:color="auto" w:fill="auto"/>
            <w:noWrap/>
            <w:vAlign w:val="center"/>
          </w:tcPr>
          <w:p w14:paraId="544E645F">
            <w:pPr>
              <w:spacing w:line="240" w:lineRule="auto"/>
              <w:jc w:val="center"/>
              <w:rPr>
                <w:rFonts w:hint="default" w:ascii="Times New Roman" w:hAnsi="Times New Roman" w:eastAsia="宋体" w:cs="Times New Roman"/>
                <w:i w:val="0"/>
                <w:iCs w:val="0"/>
                <w:color w:val="000000"/>
                <w:sz w:val="21"/>
                <w:szCs w:val="21"/>
                <w:u w:val="none"/>
              </w:rPr>
            </w:pPr>
          </w:p>
        </w:tc>
        <w:tc>
          <w:tcPr>
            <w:tcW w:w="1070" w:type="dxa"/>
            <w:tcBorders>
              <w:tl2br w:val="nil"/>
              <w:tr2bl w:val="nil"/>
            </w:tcBorders>
            <w:shd w:val="clear" w:color="auto" w:fill="auto"/>
            <w:noWrap/>
            <w:vAlign w:val="center"/>
          </w:tcPr>
          <w:p w14:paraId="60DDF5F6">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223D2177">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62CE30F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17807</w:t>
            </w:r>
          </w:p>
        </w:tc>
      </w:tr>
      <w:tr w14:paraId="163C9C6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96" w:type="dxa"/>
            <w:tcBorders>
              <w:tl2br w:val="nil"/>
              <w:tr2bl w:val="nil"/>
            </w:tcBorders>
            <w:shd w:val="clear" w:color="auto" w:fill="auto"/>
            <w:noWrap/>
            <w:vAlign w:val="center"/>
          </w:tcPr>
          <w:p w14:paraId="0FFDC958">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帷幕灌浆</w:t>
            </w:r>
          </w:p>
        </w:tc>
        <w:tc>
          <w:tcPr>
            <w:tcW w:w="730" w:type="dxa"/>
            <w:tcBorders>
              <w:tl2br w:val="nil"/>
              <w:tr2bl w:val="nil"/>
            </w:tcBorders>
            <w:shd w:val="clear" w:color="auto" w:fill="auto"/>
            <w:noWrap/>
            <w:vAlign w:val="center"/>
          </w:tcPr>
          <w:p w14:paraId="1EEE6BB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w:t>
            </w:r>
          </w:p>
        </w:tc>
        <w:tc>
          <w:tcPr>
            <w:tcW w:w="930" w:type="dxa"/>
            <w:tcBorders>
              <w:tl2br w:val="nil"/>
              <w:tr2bl w:val="nil"/>
            </w:tcBorders>
            <w:shd w:val="clear" w:color="auto" w:fill="auto"/>
            <w:noWrap/>
            <w:vAlign w:val="center"/>
          </w:tcPr>
          <w:p w14:paraId="1D4095E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2536</w:t>
            </w:r>
          </w:p>
        </w:tc>
        <w:tc>
          <w:tcPr>
            <w:tcW w:w="1110" w:type="dxa"/>
            <w:tcBorders>
              <w:tl2br w:val="nil"/>
              <w:tr2bl w:val="nil"/>
            </w:tcBorders>
            <w:shd w:val="clear" w:color="auto" w:fill="auto"/>
            <w:noWrap/>
            <w:vAlign w:val="center"/>
          </w:tcPr>
          <w:p w14:paraId="36FACD17">
            <w:pPr>
              <w:spacing w:line="240" w:lineRule="auto"/>
              <w:jc w:val="center"/>
              <w:rPr>
                <w:rFonts w:hint="default" w:ascii="Times New Roman" w:hAnsi="Times New Roman" w:eastAsia="宋体" w:cs="Times New Roman"/>
                <w:i w:val="0"/>
                <w:iCs w:val="0"/>
                <w:color w:val="000000"/>
                <w:sz w:val="21"/>
                <w:szCs w:val="21"/>
                <w:u w:val="none"/>
              </w:rPr>
            </w:pPr>
          </w:p>
        </w:tc>
        <w:tc>
          <w:tcPr>
            <w:tcW w:w="1070" w:type="dxa"/>
            <w:tcBorders>
              <w:tl2br w:val="nil"/>
              <w:tr2bl w:val="nil"/>
            </w:tcBorders>
            <w:shd w:val="clear" w:color="auto" w:fill="auto"/>
            <w:noWrap/>
            <w:vAlign w:val="center"/>
          </w:tcPr>
          <w:p w14:paraId="2D456AA2">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66D3CF74">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1928E77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2536</w:t>
            </w:r>
          </w:p>
        </w:tc>
      </w:tr>
      <w:tr w14:paraId="7B613E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96" w:type="dxa"/>
            <w:tcBorders>
              <w:tl2br w:val="nil"/>
              <w:tr2bl w:val="nil"/>
            </w:tcBorders>
            <w:shd w:val="clear" w:color="auto" w:fill="auto"/>
            <w:noWrap/>
            <w:vAlign w:val="center"/>
          </w:tcPr>
          <w:p w14:paraId="3E91B46D">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干砌石</w:t>
            </w:r>
          </w:p>
        </w:tc>
        <w:tc>
          <w:tcPr>
            <w:tcW w:w="730" w:type="dxa"/>
            <w:tcBorders>
              <w:tl2br w:val="nil"/>
              <w:tr2bl w:val="nil"/>
            </w:tcBorders>
            <w:shd w:val="clear" w:color="auto" w:fill="auto"/>
            <w:noWrap/>
            <w:vAlign w:val="center"/>
          </w:tcPr>
          <w:p w14:paraId="7BC8A35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930" w:type="dxa"/>
            <w:tcBorders>
              <w:tl2br w:val="nil"/>
              <w:tr2bl w:val="nil"/>
            </w:tcBorders>
            <w:shd w:val="clear" w:color="auto" w:fill="auto"/>
            <w:noWrap/>
            <w:vAlign w:val="center"/>
          </w:tcPr>
          <w:p w14:paraId="70A2F4A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3079</w:t>
            </w:r>
          </w:p>
        </w:tc>
        <w:tc>
          <w:tcPr>
            <w:tcW w:w="1110" w:type="dxa"/>
            <w:tcBorders>
              <w:tl2br w:val="nil"/>
              <w:tr2bl w:val="nil"/>
            </w:tcBorders>
            <w:shd w:val="clear" w:color="auto" w:fill="auto"/>
            <w:noWrap/>
            <w:vAlign w:val="center"/>
          </w:tcPr>
          <w:p w14:paraId="7E835CD3">
            <w:pPr>
              <w:spacing w:line="240" w:lineRule="auto"/>
              <w:jc w:val="center"/>
              <w:rPr>
                <w:rFonts w:hint="default" w:ascii="Times New Roman" w:hAnsi="Times New Roman" w:eastAsia="宋体" w:cs="Times New Roman"/>
                <w:i w:val="0"/>
                <w:iCs w:val="0"/>
                <w:color w:val="000000"/>
                <w:sz w:val="21"/>
                <w:szCs w:val="21"/>
                <w:u w:val="none"/>
              </w:rPr>
            </w:pPr>
          </w:p>
        </w:tc>
        <w:tc>
          <w:tcPr>
            <w:tcW w:w="1070" w:type="dxa"/>
            <w:tcBorders>
              <w:tl2br w:val="nil"/>
              <w:tr2bl w:val="nil"/>
            </w:tcBorders>
            <w:shd w:val="clear" w:color="auto" w:fill="auto"/>
            <w:noWrap/>
            <w:vAlign w:val="center"/>
          </w:tcPr>
          <w:p w14:paraId="14358E54">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00C12860">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5AAC44C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3079</w:t>
            </w:r>
          </w:p>
        </w:tc>
      </w:tr>
      <w:tr w14:paraId="03C751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96" w:type="dxa"/>
            <w:tcBorders>
              <w:tl2br w:val="nil"/>
              <w:tr2bl w:val="nil"/>
            </w:tcBorders>
            <w:shd w:val="clear" w:color="auto" w:fill="auto"/>
            <w:noWrap/>
            <w:vAlign w:val="center"/>
          </w:tcPr>
          <w:p w14:paraId="3EA08F2C">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水泥稳定砂砾基层</w:t>
            </w:r>
          </w:p>
        </w:tc>
        <w:tc>
          <w:tcPr>
            <w:tcW w:w="730" w:type="dxa"/>
            <w:tcBorders>
              <w:tl2br w:val="nil"/>
              <w:tr2bl w:val="nil"/>
            </w:tcBorders>
            <w:shd w:val="clear" w:color="auto" w:fill="auto"/>
            <w:noWrap/>
            <w:vAlign w:val="center"/>
          </w:tcPr>
          <w:p w14:paraId="1BE3A72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930" w:type="dxa"/>
            <w:tcBorders>
              <w:tl2br w:val="nil"/>
              <w:tr2bl w:val="nil"/>
            </w:tcBorders>
            <w:shd w:val="clear" w:color="auto" w:fill="auto"/>
            <w:noWrap/>
            <w:vAlign w:val="center"/>
          </w:tcPr>
          <w:p w14:paraId="24F09F1B">
            <w:pPr>
              <w:spacing w:line="240" w:lineRule="auto"/>
              <w:jc w:val="center"/>
              <w:rPr>
                <w:rFonts w:hint="default" w:ascii="Times New Roman" w:hAnsi="Times New Roman" w:eastAsia="宋体" w:cs="Times New Roman"/>
                <w:i w:val="0"/>
                <w:iCs w:val="0"/>
                <w:color w:val="000000"/>
                <w:sz w:val="21"/>
                <w:szCs w:val="21"/>
                <w:u w:val="none"/>
              </w:rPr>
            </w:pPr>
          </w:p>
        </w:tc>
        <w:tc>
          <w:tcPr>
            <w:tcW w:w="1110" w:type="dxa"/>
            <w:tcBorders>
              <w:tl2br w:val="nil"/>
              <w:tr2bl w:val="nil"/>
            </w:tcBorders>
            <w:shd w:val="clear" w:color="auto" w:fill="auto"/>
            <w:noWrap/>
            <w:vAlign w:val="center"/>
          </w:tcPr>
          <w:p w14:paraId="51117DE3">
            <w:pPr>
              <w:spacing w:line="240" w:lineRule="auto"/>
              <w:jc w:val="center"/>
              <w:rPr>
                <w:rFonts w:hint="default" w:ascii="Times New Roman" w:hAnsi="Times New Roman" w:eastAsia="宋体" w:cs="Times New Roman"/>
                <w:i w:val="0"/>
                <w:iCs w:val="0"/>
                <w:color w:val="000000"/>
                <w:sz w:val="21"/>
                <w:szCs w:val="21"/>
                <w:u w:val="none"/>
              </w:rPr>
            </w:pPr>
          </w:p>
        </w:tc>
        <w:tc>
          <w:tcPr>
            <w:tcW w:w="1070" w:type="dxa"/>
            <w:tcBorders>
              <w:tl2br w:val="nil"/>
              <w:tr2bl w:val="nil"/>
            </w:tcBorders>
            <w:shd w:val="clear" w:color="auto" w:fill="auto"/>
            <w:noWrap/>
            <w:vAlign w:val="center"/>
          </w:tcPr>
          <w:p w14:paraId="61707753">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68696F02">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04531B8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p>
        </w:tc>
      </w:tr>
      <w:tr w14:paraId="3A33B1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96" w:type="dxa"/>
            <w:tcBorders>
              <w:tl2br w:val="nil"/>
              <w:tr2bl w:val="nil"/>
            </w:tcBorders>
            <w:shd w:val="clear" w:color="auto" w:fill="auto"/>
            <w:noWrap/>
            <w:vAlign w:val="center"/>
          </w:tcPr>
          <w:p w14:paraId="718D33C1">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砂石垫层</w:t>
            </w:r>
          </w:p>
        </w:tc>
        <w:tc>
          <w:tcPr>
            <w:tcW w:w="730" w:type="dxa"/>
            <w:tcBorders>
              <w:tl2br w:val="nil"/>
              <w:tr2bl w:val="nil"/>
            </w:tcBorders>
            <w:shd w:val="clear" w:color="auto" w:fill="auto"/>
            <w:noWrap/>
            <w:vAlign w:val="center"/>
          </w:tcPr>
          <w:p w14:paraId="5905BF3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930" w:type="dxa"/>
            <w:tcBorders>
              <w:tl2br w:val="nil"/>
              <w:tr2bl w:val="nil"/>
            </w:tcBorders>
            <w:shd w:val="clear" w:color="auto" w:fill="auto"/>
            <w:noWrap/>
            <w:vAlign w:val="center"/>
          </w:tcPr>
          <w:p w14:paraId="7111C57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942</w:t>
            </w:r>
          </w:p>
        </w:tc>
        <w:tc>
          <w:tcPr>
            <w:tcW w:w="1110" w:type="dxa"/>
            <w:tcBorders>
              <w:tl2br w:val="nil"/>
              <w:tr2bl w:val="nil"/>
            </w:tcBorders>
            <w:shd w:val="clear" w:color="auto" w:fill="auto"/>
            <w:noWrap/>
            <w:vAlign w:val="center"/>
          </w:tcPr>
          <w:p w14:paraId="4C34BB99">
            <w:pPr>
              <w:spacing w:line="240" w:lineRule="auto"/>
              <w:jc w:val="center"/>
              <w:rPr>
                <w:rFonts w:hint="default" w:ascii="Times New Roman" w:hAnsi="Times New Roman" w:eastAsia="宋体" w:cs="Times New Roman"/>
                <w:i w:val="0"/>
                <w:iCs w:val="0"/>
                <w:color w:val="000000"/>
                <w:sz w:val="21"/>
                <w:szCs w:val="21"/>
                <w:u w:val="none"/>
              </w:rPr>
            </w:pPr>
          </w:p>
        </w:tc>
        <w:tc>
          <w:tcPr>
            <w:tcW w:w="1070" w:type="dxa"/>
            <w:tcBorders>
              <w:tl2br w:val="nil"/>
              <w:tr2bl w:val="nil"/>
            </w:tcBorders>
            <w:shd w:val="clear" w:color="auto" w:fill="auto"/>
            <w:noWrap/>
            <w:vAlign w:val="center"/>
          </w:tcPr>
          <w:p w14:paraId="08CA2DE0">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0F4920E8">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5C0CAF8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942</w:t>
            </w:r>
          </w:p>
        </w:tc>
      </w:tr>
      <w:tr w14:paraId="638BE3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96" w:type="dxa"/>
            <w:tcBorders>
              <w:tl2br w:val="nil"/>
              <w:tr2bl w:val="nil"/>
            </w:tcBorders>
            <w:shd w:val="clear" w:color="auto" w:fill="auto"/>
            <w:noWrap/>
            <w:vAlign w:val="center"/>
          </w:tcPr>
          <w:p w14:paraId="36FEA859">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泥结石路面</w:t>
            </w:r>
          </w:p>
        </w:tc>
        <w:tc>
          <w:tcPr>
            <w:tcW w:w="730" w:type="dxa"/>
            <w:tcBorders>
              <w:tl2br w:val="nil"/>
              <w:tr2bl w:val="nil"/>
            </w:tcBorders>
            <w:shd w:val="clear" w:color="auto" w:fill="auto"/>
            <w:noWrap/>
            <w:vAlign w:val="center"/>
          </w:tcPr>
          <w:p w14:paraId="48AB381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930" w:type="dxa"/>
            <w:tcBorders>
              <w:tl2br w:val="nil"/>
              <w:tr2bl w:val="nil"/>
            </w:tcBorders>
            <w:shd w:val="clear" w:color="auto" w:fill="auto"/>
            <w:noWrap/>
            <w:vAlign w:val="center"/>
          </w:tcPr>
          <w:p w14:paraId="0E667F8B">
            <w:pPr>
              <w:spacing w:line="240" w:lineRule="auto"/>
              <w:jc w:val="center"/>
              <w:rPr>
                <w:rFonts w:hint="default" w:ascii="Times New Roman" w:hAnsi="Times New Roman" w:eastAsia="宋体" w:cs="Times New Roman"/>
                <w:i w:val="0"/>
                <w:iCs w:val="0"/>
                <w:color w:val="000000"/>
                <w:sz w:val="21"/>
                <w:szCs w:val="21"/>
                <w:u w:val="none"/>
              </w:rPr>
            </w:pPr>
          </w:p>
        </w:tc>
        <w:tc>
          <w:tcPr>
            <w:tcW w:w="1110" w:type="dxa"/>
            <w:tcBorders>
              <w:tl2br w:val="nil"/>
              <w:tr2bl w:val="nil"/>
            </w:tcBorders>
            <w:shd w:val="clear" w:color="auto" w:fill="auto"/>
            <w:noWrap/>
            <w:vAlign w:val="center"/>
          </w:tcPr>
          <w:p w14:paraId="23D8F8D2">
            <w:pPr>
              <w:spacing w:line="240" w:lineRule="auto"/>
              <w:jc w:val="center"/>
              <w:rPr>
                <w:rFonts w:hint="default" w:ascii="Times New Roman" w:hAnsi="Times New Roman" w:eastAsia="宋体" w:cs="Times New Roman"/>
                <w:i w:val="0"/>
                <w:iCs w:val="0"/>
                <w:color w:val="000000"/>
                <w:sz w:val="21"/>
                <w:szCs w:val="21"/>
                <w:u w:val="none"/>
              </w:rPr>
            </w:pPr>
          </w:p>
        </w:tc>
        <w:tc>
          <w:tcPr>
            <w:tcW w:w="1070" w:type="dxa"/>
            <w:tcBorders>
              <w:tl2br w:val="nil"/>
              <w:tr2bl w:val="nil"/>
            </w:tcBorders>
            <w:shd w:val="clear" w:color="auto" w:fill="auto"/>
            <w:noWrap/>
            <w:vAlign w:val="center"/>
          </w:tcPr>
          <w:p w14:paraId="6FA9E408">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76C7E5E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191</w:t>
            </w:r>
          </w:p>
        </w:tc>
        <w:tc>
          <w:tcPr>
            <w:tcW w:w="960" w:type="dxa"/>
            <w:tcBorders>
              <w:tl2br w:val="nil"/>
              <w:tr2bl w:val="nil"/>
            </w:tcBorders>
            <w:shd w:val="clear" w:color="auto" w:fill="auto"/>
            <w:noWrap/>
            <w:vAlign w:val="center"/>
          </w:tcPr>
          <w:p w14:paraId="2712DCD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191</w:t>
            </w:r>
          </w:p>
        </w:tc>
      </w:tr>
      <w:tr w14:paraId="48C80D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96" w:type="dxa"/>
            <w:tcBorders>
              <w:tl2br w:val="nil"/>
              <w:tr2bl w:val="nil"/>
            </w:tcBorders>
            <w:shd w:val="clear" w:color="auto" w:fill="auto"/>
            <w:noWrap/>
            <w:vAlign w:val="center"/>
          </w:tcPr>
          <w:p w14:paraId="6FBF783E">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草皮护坡</w:t>
            </w:r>
          </w:p>
        </w:tc>
        <w:tc>
          <w:tcPr>
            <w:tcW w:w="730" w:type="dxa"/>
            <w:tcBorders>
              <w:tl2br w:val="nil"/>
              <w:tr2bl w:val="nil"/>
            </w:tcBorders>
            <w:shd w:val="clear" w:color="auto" w:fill="auto"/>
            <w:noWrap/>
            <w:vAlign w:val="center"/>
          </w:tcPr>
          <w:p w14:paraId="7932AC1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930" w:type="dxa"/>
            <w:tcBorders>
              <w:tl2br w:val="nil"/>
              <w:tr2bl w:val="nil"/>
            </w:tcBorders>
            <w:shd w:val="clear" w:color="auto" w:fill="auto"/>
            <w:noWrap/>
            <w:vAlign w:val="center"/>
          </w:tcPr>
          <w:p w14:paraId="0B2D2FF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45662</w:t>
            </w:r>
          </w:p>
        </w:tc>
        <w:tc>
          <w:tcPr>
            <w:tcW w:w="1110" w:type="dxa"/>
            <w:tcBorders>
              <w:tl2br w:val="nil"/>
              <w:tr2bl w:val="nil"/>
            </w:tcBorders>
            <w:shd w:val="clear" w:color="auto" w:fill="auto"/>
            <w:noWrap/>
            <w:vAlign w:val="center"/>
          </w:tcPr>
          <w:p w14:paraId="21E7FB1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421</w:t>
            </w:r>
          </w:p>
        </w:tc>
        <w:tc>
          <w:tcPr>
            <w:tcW w:w="1070" w:type="dxa"/>
            <w:tcBorders>
              <w:tl2br w:val="nil"/>
              <w:tr2bl w:val="nil"/>
            </w:tcBorders>
            <w:shd w:val="clear" w:color="auto" w:fill="auto"/>
            <w:noWrap/>
            <w:vAlign w:val="center"/>
          </w:tcPr>
          <w:p w14:paraId="7879DD16">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764C678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1512</w:t>
            </w:r>
          </w:p>
        </w:tc>
        <w:tc>
          <w:tcPr>
            <w:tcW w:w="960" w:type="dxa"/>
            <w:tcBorders>
              <w:tl2br w:val="nil"/>
              <w:tr2bl w:val="nil"/>
            </w:tcBorders>
            <w:shd w:val="clear" w:color="auto" w:fill="auto"/>
            <w:noWrap/>
            <w:vAlign w:val="center"/>
          </w:tcPr>
          <w:p w14:paraId="666B647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47595</w:t>
            </w:r>
          </w:p>
        </w:tc>
      </w:tr>
      <w:tr w14:paraId="2B3C03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896" w:type="dxa"/>
            <w:tcBorders>
              <w:tl2br w:val="nil"/>
              <w:tr2bl w:val="nil"/>
            </w:tcBorders>
            <w:shd w:val="clear" w:color="auto" w:fill="auto"/>
            <w:noWrap/>
            <w:vAlign w:val="center"/>
          </w:tcPr>
          <w:p w14:paraId="20BD92C1">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土工膜</w:t>
            </w:r>
          </w:p>
        </w:tc>
        <w:tc>
          <w:tcPr>
            <w:tcW w:w="730" w:type="dxa"/>
            <w:tcBorders>
              <w:tl2br w:val="nil"/>
              <w:tr2bl w:val="nil"/>
            </w:tcBorders>
            <w:shd w:val="clear" w:color="auto" w:fill="auto"/>
            <w:noWrap/>
            <w:vAlign w:val="center"/>
          </w:tcPr>
          <w:p w14:paraId="5F03B65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930" w:type="dxa"/>
            <w:tcBorders>
              <w:tl2br w:val="nil"/>
              <w:tr2bl w:val="nil"/>
            </w:tcBorders>
            <w:shd w:val="clear" w:color="auto" w:fill="auto"/>
            <w:noWrap/>
            <w:vAlign w:val="center"/>
          </w:tcPr>
          <w:p w14:paraId="0B910677">
            <w:pPr>
              <w:spacing w:line="240" w:lineRule="auto"/>
              <w:jc w:val="center"/>
              <w:rPr>
                <w:rFonts w:hint="default" w:ascii="Times New Roman" w:hAnsi="Times New Roman" w:eastAsia="宋体" w:cs="Times New Roman"/>
                <w:i w:val="0"/>
                <w:iCs w:val="0"/>
                <w:color w:val="000000"/>
                <w:sz w:val="21"/>
                <w:szCs w:val="21"/>
                <w:u w:val="none"/>
              </w:rPr>
            </w:pPr>
          </w:p>
        </w:tc>
        <w:tc>
          <w:tcPr>
            <w:tcW w:w="1110" w:type="dxa"/>
            <w:tcBorders>
              <w:tl2br w:val="nil"/>
              <w:tr2bl w:val="nil"/>
            </w:tcBorders>
            <w:shd w:val="clear" w:color="auto" w:fill="auto"/>
            <w:noWrap/>
            <w:vAlign w:val="center"/>
          </w:tcPr>
          <w:p w14:paraId="320A9FAD">
            <w:pPr>
              <w:spacing w:line="240" w:lineRule="auto"/>
              <w:jc w:val="center"/>
              <w:rPr>
                <w:rFonts w:hint="default" w:ascii="Times New Roman" w:hAnsi="Times New Roman" w:eastAsia="宋体" w:cs="Times New Roman"/>
                <w:i w:val="0"/>
                <w:iCs w:val="0"/>
                <w:color w:val="000000"/>
                <w:sz w:val="21"/>
                <w:szCs w:val="21"/>
                <w:u w:val="none"/>
              </w:rPr>
            </w:pPr>
          </w:p>
        </w:tc>
        <w:tc>
          <w:tcPr>
            <w:tcW w:w="1070" w:type="dxa"/>
            <w:tcBorders>
              <w:tl2br w:val="nil"/>
              <w:tr2bl w:val="nil"/>
            </w:tcBorders>
            <w:shd w:val="clear" w:color="auto" w:fill="auto"/>
            <w:noWrap/>
            <w:vAlign w:val="center"/>
          </w:tcPr>
          <w:p w14:paraId="4B2B6F7C">
            <w:pPr>
              <w:spacing w:line="240" w:lineRule="auto"/>
              <w:jc w:val="center"/>
              <w:rPr>
                <w:rFonts w:hint="default" w:ascii="Times New Roman" w:hAnsi="Times New Roman" w:eastAsia="宋体" w:cs="Times New Roman"/>
                <w:i w:val="0"/>
                <w:iCs w:val="0"/>
                <w:color w:val="000000"/>
                <w:sz w:val="21"/>
                <w:szCs w:val="21"/>
                <w:u w:val="none"/>
              </w:rPr>
            </w:pPr>
          </w:p>
        </w:tc>
        <w:tc>
          <w:tcPr>
            <w:tcW w:w="960" w:type="dxa"/>
            <w:tcBorders>
              <w:tl2br w:val="nil"/>
              <w:tr2bl w:val="nil"/>
            </w:tcBorders>
            <w:shd w:val="clear" w:color="auto" w:fill="auto"/>
            <w:noWrap/>
            <w:vAlign w:val="center"/>
          </w:tcPr>
          <w:p w14:paraId="28760ED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722</w:t>
            </w:r>
          </w:p>
        </w:tc>
        <w:tc>
          <w:tcPr>
            <w:tcW w:w="960" w:type="dxa"/>
            <w:tcBorders>
              <w:tl2br w:val="nil"/>
              <w:tr2bl w:val="nil"/>
            </w:tcBorders>
            <w:shd w:val="clear" w:color="auto" w:fill="auto"/>
            <w:noWrap/>
            <w:vAlign w:val="center"/>
          </w:tcPr>
          <w:p w14:paraId="1284607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722</w:t>
            </w:r>
          </w:p>
        </w:tc>
      </w:tr>
    </w:tbl>
    <w:p w14:paraId="6F63DEC8">
      <w:pPr>
        <w:pageBreakBefore w:val="0"/>
        <w:kinsoku w:val="0"/>
        <w:wordWrap w:val="0"/>
        <w:overflowPunct/>
        <w:topLinePunct/>
        <w:autoSpaceDE/>
        <w:autoSpaceDN/>
        <w:bidi w:val="0"/>
        <w:adjustRightInd w:val="0"/>
        <w:spacing w:line="360" w:lineRule="auto"/>
        <w:ind w:firstLine="482" w:firstLineChars="200"/>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（9）主要原辅材料：</w:t>
      </w:r>
    </w:p>
    <w:p w14:paraId="1F615895">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根据项目初步设计报告，</w:t>
      </w:r>
      <w:r>
        <w:rPr>
          <w:rFonts w:hint="default" w:ascii="Times New Roman" w:hAnsi="Times New Roman" w:eastAsia="宋体" w:cs="Times New Roman"/>
          <w:caps w:val="0"/>
          <w:smallCaps w:val="0"/>
          <w:color w:val="auto"/>
          <w:spacing w:val="0"/>
          <w:w w:val="100"/>
          <w:kern w:val="0"/>
          <w:position w:val="0"/>
          <w:sz w:val="24"/>
          <w:szCs w:val="24"/>
          <w:u w:val="none" w:color="auto"/>
        </w:rPr>
        <w:t>本工程主要材料用量：</w:t>
      </w:r>
    </w:p>
    <w:p w14:paraId="65168831">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水泥：1935t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34756857">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钢筋及钢材：290t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39838599">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砂：0.9万m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49E5F802">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砾石：0.5万m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6EF72113">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块石：0.3万m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78E682BF">
      <w:pPr>
        <w:keepNext w:val="0"/>
        <w:keepLines w:val="0"/>
        <w:pageBreakBefore w:val="0"/>
        <w:widowControl w:val="0"/>
        <w:kinsoku w:val="0"/>
        <w:wordWrap w:val="0"/>
        <w:overflowPunct/>
        <w:topLinePunct/>
        <w:autoSpaceDE/>
        <w:autoSpaceDN/>
        <w:bidi w:val="0"/>
        <w:adjustRightInd w:val="0"/>
        <w:snapToGrid/>
        <w:spacing w:line="360" w:lineRule="auto"/>
        <w:ind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10</w:t>
      </w: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b/>
          <w:bCs/>
          <w:caps w:val="0"/>
          <w:smallCaps w:val="0"/>
          <w:color w:val="auto"/>
          <w:spacing w:val="0"/>
          <w:w w:val="100"/>
          <w:kern w:val="0"/>
          <w:position w:val="0"/>
          <w:sz w:val="24"/>
          <w:szCs w:val="24"/>
          <w:u w:val="none" w:color="auto"/>
        </w:rPr>
        <w:t>主要施工机械设备</w:t>
      </w: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w:t>
      </w:r>
    </w:p>
    <w:p w14:paraId="2A392BFA">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b w:val="0"/>
          <w:bCs w:val="0"/>
          <w:caps w:val="0"/>
          <w:smallCaps w:val="0"/>
          <w:color w:val="auto"/>
          <w:spacing w:val="0"/>
          <w:w w:val="100"/>
          <w:kern w:val="0"/>
          <w:position w:val="0"/>
          <w:sz w:val="24"/>
          <w:szCs w:val="24"/>
          <w:u w:val="none" w:color="auto"/>
          <w:lang w:eastAsia="zh-CN"/>
        </w:rPr>
        <w:t>主要施工机械设备</w:t>
      </w:r>
      <w:r>
        <w:rPr>
          <w:rFonts w:hint="default" w:ascii="Times New Roman" w:hAnsi="Times New Roman" w:eastAsia="宋体" w:cs="Times New Roman"/>
          <w:caps w:val="0"/>
          <w:smallCaps w:val="0"/>
          <w:color w:val="auto"/>
          <w:spacing w:val="0"/>
          <w:w w:val="100"/>
          <w:kern w:val="0"/>
          <w:position w:val="0"/>
          <w:sz w:val="24"/>
          <w:szCs w:val="24"/>
          <w:u w:val="none" w:color="auto"/>
        </w:rPr>
        <w:t>需要量见表</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2.2</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3FED6303">
      <w:pPr>
        <w:spacing w:line="213" w:lineRule="auto"/>
        <w:ind w:left="2721"/>
        <w:rPr>
          <w:rFonts w:hint="default" w:ascii="Times New Roman" w:hAnsi="Times New Roman" w:eastAsia="宋体" w:cs="Times New Roman"/>
          <w:b/>
          <w:bCs/>
          <w:color w:val="auto"/>
          <w:spacing w:val="0"/>
          <w:w w:val="100"/>
          <w:position w:val="0"/>
          <w:sz w:val="24"/>
          <w:szCs w:val="24"/>
          <w:u w:val="none" w:color="auto"/>
        </w:rPr>
      </w:pPr>
      <w:r>
        <w:rPr>
          <w:rFonts w:hint="default" w:ascii="Times New Roman" w:hAnsi="Times New Roman" w:eastAsia="宋体" w:cs="Times New Roman"/>
          <w:b/>
          <w:bCs/>
          <w:color w:val="auto"/>
          <w:spacing w:val="0"/>
          <w:w w:val="100"/>
          <w:position w:val="0"/>
          <w:sz w:val="24"/>
          <w:szCs w:val="24"/>
          <w:u w:val="none" w:color="auto"/>
        </w:rPr>
        <w:t>表2</w:t>
      </w:r>
      <w:r>
        <w:rPr>
          <w:rFonts w:hint="default" w:ascii="Times New Roman" w:hAnsi="Times New Roman" w:eastAsia="宋体" w:cs="Times New Roman"/>
          <w:b/>
          <w:bCs/>
          <w:color w:val="auto"/>
          <w:spacing w:val="0"/>
          <w:w w:val="100"/>
          <w:position w:val="0"/>
          <w:sz w:val="24"/>
          <w:szCs w:val="24"/>
          <w:u w:val="none" w:color="auto"/>
          <w:lang w:val="en-US" w:eastAsia="zh-CN"/>
        </w:rPr>
        <w:t>.2-2</w:t>
      </w:r>
      <w:r>
        <w:rPr>
          <w:rFonts w:hint="default" w:ascii="Times New Roman" w:hAnsi="Times New Roman" w:eastAsia="宋体" w:cs="Times New Roman"/>
          <w:b/>
          <w:bCs/>
          <w:color w:val="auto"/>
          <w:spacing w:val="0"/>
          <w:w w:val="100"/>
          <w:position w:val="0"/>
          <w:sz w:val="24"/>
          <w:szCs w:val="24"/>
          <w:u w:val="none" w:color="auto"/>
        </w:rPr>
        <w:t xml:space="preserve">  </w:t>
      </w:r>
      <w:r>
        <w:rPr>
          <w:rFonts w:hint="default" w:ascii="Times New Roman" w:hAnsi="Times New Roman" w:eastAsia="Times New Roman" w:cs="Times New Roman"/>
          <w:b/>
          <w:bCs/>
          <w:color w:val="auto"/>
          <w:spacing w:val="0"/>
          <w:w w:val="100"/>
          <w:position w:val="0"/>
          <w:sz w:val="24"/>
          <w:szCs w:val="24"/>
          <w:u w:val="none" w:color="auto"/>
        </w:rPr>
        <w:t xml:space="preserve">  </w:t>
      </w:r>
      <w:r>
        <w:rPr>
          <w:rFonts w:hint="default" w:ascii="Times New Roman" w:hAnsi="Times New Roman" w:eastAsia="宋体" w:cs="Times New Roman"/>
          <w:b/>
          <w:bCs/>
          <w:color w:val="auto"/>
          <w:spacing w:val="0"/>
          <w:w w:val="100"/>
          <w:position w:val="0"/>
          <w:sz w:val="24"/>
          <w:szCs w:val="24"/>
          <w:u w:val="none" w:color="auto"/>
        </w:rPr>
        <w:t>主要施工机械</w:t>
      </w:r>
      <w:r>
        <w:rPr>
          <w:rFonts w:hint="default" w:ascii="Times New Roman" w:hAnsi="Times New Roman" w:eastAsia="宋体" w:cs="Times New Roman"/>
          <w:b/>
          <w:bCs/>
          <w:color w:val="auto"/>
          <w:spacing w:val="0"/>
          <w:w w:val="100"/>
          <w:position w:val="0"/>
          <w:sz w:val="24"/>
          <w:szCs w:val="24"/>
          <w:u w:val="none" w:color="auto"/>
          <w:lang w:eastAsia="zh-CN"/>
        </w:rPr>
        <w:t>一览</w:t>
      </w:r>
      <w:r>
        <w:rPr>
          <w:rFonts w:hint="default" w:ascii="Times New Roman" w:hAnsi="Times New Roman" w:eastAsia="宋体" w:cs="Times New Roman"/>
          <w:b/>
          <w:bCs/>
          <w:color w:val="auto"/>
          <w:spacing w:val="0"/>
          <w:w w:val="100"/>
          <w:position w:val="0"/>
          <w:sz w:val="24"/>
          <w:szCs w:val="24"/>
          <w:u w:val="none" w:color="auto"/>
        </w:rPr>
        <w:t>表</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461"/>
        <w:gridCol w:w="2356"/>
        <w:gridCol w:w="1776"/>
        <w:gridCol w:w="1461"/>
        <w:gridCol w:w="1462"/>
      </w:tblGrid>
      <w:tr w14:paraId="772A95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jc w:val="center"/>
        </w:trPr>
        <w:tc>
          <w:tcPr>
            <w:tcW w:w="960" w:type="dxa"/>
            <w:tcBorders>
              <w:tl2br w:val="nil"/>
              <w:tr2bl w:val="nil"/>
            </w:tcBorders>
            <w:shd w:val="clear" w:color="auto" w:fill="auto"/>
            <w:noWrap/>
            <w:vAlign w:val="center"/>
          </w:tcPr>
          <w:p w14:paraId="18B64941">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序号</w:t>
            </w:r>
          </w:p>
        </w:tc>
        <w:tc>
          <w:tcPr>
            <w:tcW w:w="1548" w:type="dxa"/>
            <w:tcBorders>
              <w:tl2br w:val="nil"/>
              <w:tr2bl w:val="nil"/>
            </w:tcBorders>
            <w:shd w:val="clear" w:color="auto" w:fill="auto"/>
            <w:noWrap/>
            <w:vAlign w:val="center"/>
          </w:tcPr>
          <w:p w14:paraId="2E1351D3">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机械设备名称</w:t>
            </w:r>
          </w:p>
        </w:tc>
        <w:tc>
          <w:tcPr>
            <w:tcW w:w="960" w:type="dxa"/>
            <w:tcBorders>
              <w:tl2br w:val="nil"/>
              <w:tr2bl w:val="nil"/>
            </w:tcBorders>
            <w:shd w:val="clear" w:color="auto" w:fill="auto"/>
            <w:noWrap/>
            <w:vAlign w:val="center"/>
          </w:tcPr>
          <w:p w14:paraId="137FF5F1">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型号规格</w:t>
            </w:r>
          </w:p>
        </w:tc>
        <w:tc>
          <w:tcPr>
            <w:tcW w:w="960" w:type="dxa"/>
            <w:tcBorders>
              <w:tl2br w:val="nil"/>
              <w:tr2bl w:val="nil"/>
            </w:tcBorders>
            <w:shd w:val="clear" w:color="auto" w:fill="auto"/>
            <w:noWrap/>
            <w:vAlign w:val="center"/>
          </w:tcPr>
          <w:p w14:paraId="2CC0580D">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单位</w:t>
            </w:r>
          </w:p>
        </w:tc>
        <w:tc>
          <w:tcPr>
            <w:tcW w:w="960" w:type="dxa"/>
            <w:tcBorders>
              <w:tl2br w:val="nil"/>
              <w:tr2bl w:val="nil"/>
            </w:tcBorders>
            <w:shd w:val="clear" w:color="auto" w:fill="auto"/>
            <w:noWrap/>
            <w:vAlign w:val="center"/>
          </w:tcPr>
          <w:p w14:paraId="747E3C5D">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数量</w:t>
            </w:r>
          </w:p>
        </w:tc>
      </w:tr>
      <w:tr w14:paraId="13FFFD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51F7419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一</w:t>
            </w:r>
          </w:p>
        </w:tc>
        <w:tc>
          <w:tcPr>
            <w:tcW w:w="0" w:type="auto"/>
            <w:tcBorders>
              <w:tl2br w:val="nil"/>
              <w:tr2bl w:val="nil"/>
            </w:tcBorders>
            <w:shd w:val="clear" w:color="auto" w:fill="auto"/>
            <w:noWrap/>
            <w:vAlign w:val="center"/>
          </w:tcPr>
          <w:p w14:paraId="49B1961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土石方机械</w:t>
            </w:r>
          </w:p>
        </w:tc>
        <w:tc>
          <w:tcPr>
            <w:tcW w:w="0" w:type="auto"/>
            <w:tcBorders>
              <w:tl2br w:val="nil"/>
              <w:tr2bl w:val="nil"/>
            </w:tcBorders>
            <w:shd w:val="clear" w:color="auto" w:fill="auto"/>
            <w:noWrap/>
            <w:vAlign w:val="center"/>
          </w:tcPr>
          <w:p w14:paraId="255C3B34">
            <w:pPr>
              <w:spacing w:line="240" w:lineRule="auto"/>
              <w:jc w:val="center"/>
              <w:rPr>
                <w:rFonts w:hint="default" w:ascii="Times New Roman" w:hAnsi="Times New Roman" w:eastAsia="宋体" w:cs="Times New Roman"/>
                <w:i w:val="0"/>
                <w:iCs w:val="0"/>
                <w:color w:val="000000"/>
                <w:sz w:val="21"/>
                <w:szCs w:val="21"/>
                <w:u w:val="none"/>
              </w:rPr>
            </w:pPr>
          </w:p>
        </w:tc>
        <w:tc>
          <w:tcPr>
            <w:tcW w:w="0" w:type="auto"/>
            <w:tcBorders>
              <w:tl2br w:val="nil"/>
              <w:tr2bl w:val="nil"/>
            </w:tcBorders>
            <w:shd w:val="clear" w:color="auto" w:fill="auto"/>
            <w:noWrap/>
            <w:vAlign w:val="center"/>
          </w:tcPr>
          <w:p w14:paraId="6A739E79">
            <w:pPr>
              <w:spacing w:line="240" w:lineRule="auto"/>
              <w:jc w:val="center"/>
              <w:rPr>
                <w:rFonts w:hint="default" w:ascii="Times New Roman" w:hAnsi="Times New Roman" w:eastAsia="宋体" w:cs="Times New Roman"/>
                <w:i w:val="0"/>
                <w:iCs w:val="0"/>
                <w:color w:val="000000"/>
                <w:sz w:val="21"/>
                <w:szCs w:val="21"/>
                <w:u w:val="none"/>
              </w:rPr>
            </w:pPr>
          </w:p>
        </w:tc>
        <w:tc>
          <w:tcPr>
            <w:tcW w:w="0" w:type="auto"/>
            <w:tcBorders>
              <w:tl2br w:val="nil"/>
              <w:tr2bl w:val="nil"/>
            </w:tcBorders>
            <w:shd w:val="clear" w:color="auto" w:fill="auto"/>
            <w:noWrap/>
            <w:vAlign w:val="center"/>
          </w:tcPr>
          <w:p w14:paraId="339C9C4E">
            <w:pPr>
              <w:spacing w:line="240" w:lineRule="auto"/>
              <w:jc w:val="center"/>
              <w:rPr>
                <w:rFonts w:hint="default" w:ascii="Times New Roman" w:hAnsi="Times New Roman" w:eastAsia="宋体" w:cs="Times New Roman"/>
                <w:i w:val="0"/>
                <w:iCs w:val="0"/>
                <w:color w:val="000000"/>
                <w:sz w:val="21"/>
                <w:szCs w:val="21"/>
                <w:u w:val="none"/>
              </w:rPr>
            </w:pPr>
          </w:p>
        </w:tc>
      </w:tr>
      <w:tr w14:paraId="7F03DF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36EEE4A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0" w:type="auto"/>
            <w:tcBorders>
              <w:tl2br w:val="nil"/>
              <w:tr2bl w:val="nil"/>
            </w:tcBorders>
            <w:shd w:val="clear" w:color="auto" w:fill="auto"/>
            <w:noWrap/>
            <w:vAlign w:val="center"/>
          </w:tcPr>
          <w:p w14:paraId="029F038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反铲挖掘机</w:t>
            </w:r>
          </w:p>
        </w:tc>
        <w:tc>
          <w:tcPr>
            <w:tcW w:w="0" w:type="auto"/>
            <w:tcBorders>
              <w:tl2br w:val="nil"/>
              <w:tr2bl w:val="nil"/>
            </w:tcBorders>
            <w:shd w:val="clear" w:color="auto" w:fill="auto"/>
            <w:noWrap/>
            <w:vAlign w:val="center"/>
          </w:tcPr>
          <w:p w14:paraId="16B7B23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0" w:type="auto"/>
            <w:tcBorders>
              <w:tl2br w:val="nil"/>
              <w:tr2bl w:val="nil"/>
            </w:tcBorders>
            <w:shd w:val="clear" w:color="auto" w:fill="auto"/>
            <w:noWrap/>
            <w:vAlign w:val="center"/>
          </w:tcPr>
          <w:p w14:paraId="79764EB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4FBA9FC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r>
      <w:tr w14:paraId="61A47D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234B237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0" w:type="auto"/>
            <w:tcBorders>
              <w:tl2br w:val="nil"/>
              <w:tr2bl w:val="nil"/>
            </w:tcBorders>
            <w:shd w:val="clear" w:color="auto" w:fill="auto"/>
            <w:noWrap/>
            <w:vAlign w:val="center"/>
          </w:tcPr>
          <w:p w14:paraId="15FD30F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推土机</w:t>
            </w:r>
          </w:p>
        </w:tc>
        <w:tc>
          <w:tcPr>
            <w:tcW w:w="0" w:type="auto"/>
            <w:tcBorders>
              <w:tl2br w:val="nil"/>
              <w:tr2bl w:val="nil"/>
            </w:tcBorders>
            <w:shd w:val="clear" w:color="auto" w:fill="auto"/>
            <w:noWrap/>
            <w:vAlign w:val="center"/>
          </w:tcPr>
          <w:p w14:paraId="75E33C6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74KW</w:t>
            </w:r>
          </w:p>
        </w:tc>
        <w:tc>
          <w:tcPr>
            <w:tcW w:w="0" w:type="auto"/>
            <w:tcBorders>
              <w:tl2br w:val="nil"/>
              <w:tr2bl w:val="nil"/>
            </w:tcBorders>
            <w:shd w:val="clear" w:color="auto" w:fill="auto"/>
            <w:noWrap/>
            <w:vAlign w:val="center"/>
          </w:tcPr>
          <w:p w14:paraId="5BD9B47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7EC9191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0E2D63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4FDD577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0" w:type="auto"/>
            <w:tcBorders>
              <w:tl2br w:val="nil"/>
              <w:tr2bl w:val="nil"/>
            </w:tcBorders>
            <w:shd w:val="clear" w:color="auto" w:fill="auto"/>
            <w:noWrap/>
            <w:vAlign w:val="center"/>
          </w:tcPr>
          <w:p w14:paraId="5653399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蛙式打夯机</w:t>
            </w:r>
          </w:p>
        </w:tc>
        <w:tc>
          <w:tcPr>
            <w:tcW w:w="0" w:type="auto"/>
            <w:tcBorders>
              <w:tl2br w:val="nil"/>
              <w:tr2bl w:val="nil"/>
            </w:tcBorders>
            <w:shd w:val="clear" w:color="auto" w:fill="auto"/>
            <w:noWrap/>
            <w:vAlign w:val="center"/>
          </w:tcPr>
          <w:p w14:paraId="1413F03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HW-20</w:t>
            </w:r>
          </w:p>
        </w:tc>
        <w:tc>
          <w:tcPr>
            <w:tcW w:w="0" w:type="auto"/>
            <w:tcBorders>
              <w:tl2br w:val="nil"/>
              <w:tr2bl w:val="nil"/>
            </w:tcBorders>
            <w:shd w:val="clear" w:color="auto" w:fill="auto"/>
            <w:noWrap/>
            <w:vAlign w:val="center"/>
          </w:tcPr>
          <w:p w14:paraId="4034C61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0A2B23E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r>
      <w:tr w14:paraId="658CDB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25C361E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0" w:type="auto"/>
            <w:tcBorders>
              <w:tl2br w:val="nil"/>
              <w:tr2bl w:val="nil"/>
            </w:tcBorders>
            <w:shd w:val="clear" w:color="auto" w:fill="auto"/>
            <w:noWrap/>
            <w:vAlign w:val="center"/>
          </w:tcPr>
          <w:p w14:paraId="366B2AE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手风钻</w:t>
            </w:r>
          </w:p>
        </w:tc>
        <w:tc>
          <w:tcPr>
            <w:tcW w:w="0" w:type="auto"/>
            <w:tcBorders>
              <w:tl2br w:val="nil"/>
              <w:tr2bl w:val="nil"/>
            </w:tcBorders>
            <w:shd w:val="clear" w:color="auto" w:fill="auto"/>
            <w:noWrap/>
            <w:vAlign w:val="center"/>
          </w:tcPr>
          <w:p w14:paraId="6D8C236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Y28型</w:t>
            </w:r>
          </w:p>
        </w:tc>
        <w:tc>
          <w:tcPr>
            <w:tcW w:w="0" w:type="auto"/>
            <w:tcBorders>
              <w:tl2br w:val="nil"/>
              <w:tr2bl w:val="nil"/>
            </w:tcBorders>
            <w:shd w:val="clear" w:color="auto" w:fill="auto"/>
            <w:noWrap/>
            <w:vAlign w:val="center"/>
          </w:tcPr>
          <w:p w14:paraId="4E0777D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把</w:t>
            </w:r>
          </w:p>
        </w:tc>
        <w:tc>
          <w:tcPr>
            <w:tcW w:w="0" w:type="auto"/>
            <w:tcBorders>
              <w:tl2br w:val="nil"/>
              <w:tr2bl w:val="nil"/>
            </w:tcBorders>
            <w:shd w:val="clear" w:color="auto" w:fill="auto"/>
            <w:noWrap/>
            <w:vAlign w:val="center"/>
          </w:tcPr>
          <w:p w14:paraId="7DB8828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0035B1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4EA0FAF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0" w:type="auto"/>
            <w:tcBorders>
              <w:tl2br w:val="nil"/>
              <w:tr2bl w:val="nil"/>
            </w:tcBorders>
            <w:shd w:val="clear" w:color="auto" w:fill="auto"/>
            <w:noWrap/>
            <w:vAlign w:val="center"/>
          </w:tcPr>
          <w:p w14:paraId="51DA501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潜孔钻</w:t>
            </w:r>
          </w:p>
        </w:tc>
        <w:tc>
          <w:tcPr>
            <w:tcW w:w="0" w:type="auto"/>
            <w:tcBorders>
              <w:tl2br w:val="nil"/>
              <w:tr2bl w:val="nil"/>
            </w:tcBorders>
            <w:shd w:val="clear" w:color="auto" w:fill="auto"/>
            <w:noWrap/>
            <w:vAlign w:val="center"/>
          </w:tcPr>
          <w:p w14:paraId="66E6BF45">
            <w:pPr>
              <w:spacing w:line="240" w:lineRule="auto"/>
              <w:jc w:val="center"/>
              <w:rPr>
                <w:rFonts w:hint="default" w:ascii="Times New Roman" w:hAnsi="Times New Roman" w:eastAsia="宋体" w:cs="Times New Roman"/>
                <w:i w:val="0"/>
                <w:iCs w:val="0"/>
                <w:color w:val="000000"/>
                <w:sz w:val="21"/>
                <w:szCs w:val="21"/>
                <w:u w:val="none"/>
              </w:rPr>
            </w:pPr>
          </w:p>
        </w:tc>
        <w:tc>
          <w:tcPr>
            <w:tcW w:w="0" w:type="auto"/>
            <w:tcBorders>
              <w:tl2br w:val="nil"/>
              <w:tr2bl w:val="nil"/>
            </w:tcBorders>
            <w:shd w:val="clear" w:color="auto" w:fill="auto"/>
            <w:noWrap/>
            <w:vAlign w:val="center"/>
          </w:tcPr>
          <w:p w14:paraId="222A701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4FC271D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r>
      <w:tr w14:paraId="3AD6A3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08822DE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0" w:type="auto"/>
            <w:tcBorders>
              <w:tl2br w:val="nil"/>
              <w:tr2bl w:val="nil"/>
            </w:tcBorders>
            <w:shd w:val="clear" w:color="auto" w:fill="auto"/>
            <w:noWrap/>
            <w:vAlign w:val="center"/>
          </w:tcPr>
          <w:p w14:paraId="59A6F98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振动碾</w:t>
            </w:r>
          </w:p>
        </w:tc>
        <w:tc>
          <w:tcPr>
            <w:tcW w:w="0" w:type="auto"/>
            <w:tcBorders>
              <w:tl2br w:val="nil"/>
              <w:tr2bl w:val="nil"/>
            </w:tcBorders>
            <w:shd w:val="clear" w:color="auto" w:fill="auto"/>
            <w:noWrap/>
            <w:vAlign w:val="center"/>
          </w:tcPr>
          <w:p w14:paraId="0E18D7F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13-15t</w:t>
            </w:r>
          </w:p>
        </w:tc>
        <w:tc>
          <w:tcPr>
            <w:tcW w:w="0" w:type="auto"/>
            <w:tcBorders>
              <w:tl2br w:val="nil"/>
              <w:tr2bl w:val="nil"/>
            </w:tcBorders>
            <w:shd w:val="clear" w:color="auto" w:fill="auto"/>
            <w:noWrap/>
            <w:vAlign w:val="center"/>
          </w:tcPr>
          <w:p w14:paraId="198351D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7E654BE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r>
      <w:tr w14:paraId="0B6A09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5425925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w:t>
            </w:r>
          </w:p>
        </w:tc>
        <w:tc>
          <w:tcPr>
            <w:tcW w:w="0" w:type="auto"/>
            <w:tcBorders>
              <w:tl2br w:val="nil"/>
              <w:tr2bl w:val="nil"/>
            </w:tcBorders>
            <w:shd w:val="clear" w:color="auto" w:fill="auto"/>
            <w:noWrap/>
            <w:vAlign w:val="center"/>
          </w:tcPr>
          <w:p w14:paraId="25DA6D4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运输设备</w:t>
            </w:r>
          </w:p>
        </w:tc>
        <w:tc>
          <w:tcPr>
            <w:tcW w:w="0" w:type="auto"/>
            <w:tcBorders>
              <w:tl2br w:val="nil"/>
              <w:tr2bl w:val="nil"/>
            </w:tcBorders>
            <w:shd w:val="clear" w:color="auto" w:fill="auto"/>
            <w:noWrap/>
            <w:vAlign w:val="center"/>
          </w:tcPr>
          <w:p w14:paraId="6A226BFA">
            <w:pPr>
              <w:spacing w:line="240" w:lineRule="auto"/>
              <w:jc w:val="center"/>
              <w:rPr>
                <w:rFonts w:hint="default" w:ascii="Times New Roman" w:hAnsi="Times New Roman" w:eastAsia="宋体" w:cs="Times New Roman"/>
                <w:i w:val="0"/>
                <w:iCs w:val="0"/>
                <w:color w:val="000000"/>
                <w:sz w:val="21"/>
                <w:szCs w:val="21"/>
                <w:u w:val="none"/>
              </w:rPr>
            </w:pPr>
          </w:p>
        </w:tc>
        <w:tc>
          <w:tcPr>
            <w:tcW w:w="0" w:type="auto"/>
            <w:tcBorders>
              <w:tl2br w:val="nil"/>
              <w:tr2bl w:val="nil"/>
            </w:tcBorders>
            <w:shd w:val="clear" w:color="auto" w:fill="auto"/>
            <w:noWrap/>
            <w:vAlign w:val="center"/>
          </w:tcPr>
          <w:p w14:paraId="7D344316">
            <w:pPr>
              <w:spacing w:line="240" w:lineRule="auto"/>
              <w:jc w:val="center"/>
              <w:rPr>
                <w:rFonts w:hint="default" w:ascii="Times New Roman" w:hAnsi="Times New Roman" w:eastAsia="宋体" w:cs="Times New Roman"/>
                <w:i w:val="0"/>
                <w:iCs w:val="0"/>
                <w:color w:val="000000"/>
                <w:sz w:val="21"/>
                <w:szCs w:val="21"/>
                <w:u w:val="none"/>
              </w:rPr>
            </w:pPr>
          </w:p>
        </w:tc>
        <w:tc>
          <w:tcPr>
            <w:tcW w:w="0" w:type="auto"/>
            <w:tcBorders>
              <w:tl2br w:val="nil"/>
              <w:tr2bl w:val="nil"/>
            </w:tcBorders>
            <w:shd w:val="clear" w:color="auto" w:fill="auto"/>
            <w:noWrap/>
            <w:vAlign w:val="center"/>
          </w:tcPr>
          <w:p w14:paraId="39553E9F">
            <w:pPr>
              <w:spacing w:line="240" w:lineRule="auto"/>
              <w:jc w:val="center"/>
              <w:rPr>
                <w:rFonts w:hint="default" w:ascii="Times New Roman" w:hAnsi="Times New Roman" w:eastAsia="宋体" w:cs="Times New Roman"/>
                <w:i w:val="0"/>
                <w:iCs w:val="0"/>
                <w:color w:val="000000"/>
                <w:sz w:val="21"/>
                <w:szCs w:val="21"/>
                <w:u w:val="none"/>
              </w:rPr>
            </w:pPr>
          </w:p>
        </w:tc>
      </w:tr>
      <w:tr w14:paraId="20E4F2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79744B6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0" w:type="auto"/>
            <w:tcBorders>
              <w:tl2br w:val="nil"/>
              <w:tr2bl w:val="nil"/>
            </w:tcBorders>
            <w:shd w:val="clear" w:color="auto" w:fill="auto"/>
            <w:noWrap/>
            <w:vAlign w:val="center"/>
          </w:tcPr>
          <w:p w14:paraId="183B548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自卸汽车</w:t>
            </w:r>
          </w:p>
        </w:tc>
        <w:tc>
          <w:tcPr>
            <w:tcW w:w="0" w:type="auto"/>
            <w:tcBorders>
              <w:tl2br w:val="nil"/>
              <w:tr2bl w:val="nil"/>
            </w:tcBorders>
            <w:shd w:val="clear" w:color="auto" w:fill="auto"/>
            <w:noWrap/>
            <w:vAlign w:val="center"/>
          </w:tcPr>
          <w:p w14:paraId="7276EAC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3.5-5t</w:t>
            </w:r>
          </w:p>
        </w:tc>
        <w:tc>
          <w:tcPr>
            <w:tcW w:w="0" w:type="auto"/>
            <w:tcBorders>
              <w:tl2br w:val="nil"/>
              <w:tr2bl w:val="nil"/>
            </w:tcBorders>
            <w:shd w:val="clear" w:color="auto" w:fill="auto"/>
            <w:noWrap/>
            <w:vAlign w:val="center"/>
          </w:tcPr>
          <w:p w14:paraId="1000536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7B86160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r>
      <w:tr w14:paraId="116BE5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68004A4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0" w:type="auto"/>
            <w:tcBorders>
              <w:tl2br w:val="nil"/>
              <w:tr2bl w:val="nil"/>
            </w:tcBorders>
            <w:shd w:val="clear" w:color="auto" w:fill="auto"/>
            <w:noWrap/>
            <w:vAlign w:val="center"/>
          </w:tcPr>
          <w:p w14:paraId="4738CD1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装载机</w:t>
            </w:r>
          </w:p>
        </w:tc>
        <w:tc>
          <w:tcPr>
            <w:tcW w:w="0" w:type="auto"/>
            <w:tcBorders>
              <w:tl2br w:val="nil"/>
              <w:tr2bl w:val="nil"/>
            </w:tcBorders>
            <w:shd w:val="clear" w:color="auto" w:fill="auto"/>
            <w:noWrap/>
            <w:vAlign w:val="center"/>
          </w:tcPr>
          <w:p w14:paraId="22F9576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0" w:type="auto"/>
            <w:tcBorders>
              <w:tl2br w:val="nil"/>
              <w:tr2bl w:val="nil"/>
            </w:tcBorders>
            <w:shd w:val="clear" w:color="auto" w:fill="auto"/>
            <w:noWrap/>
            <w:vAlign w:val="center"/>
          </w:tcPr>
          <w:p w14:paraId="1D4E6DA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37F9C88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r>
      <w:tr w14:paraId="59E146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06C269D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三</w:t>
            </w:r>
          </w:p>
        </w:tc>
        <w:tc>
          <w:tcPr>
            <w:tcW w:w="0" w:type="auto"/>
            <w:tcBorders>
              <w:tl2br w:val="nil"/>
              <w:tr2bl w:val="nil"/>
            </w:tcBorders>
            <w:shd w:val="clear" w:color="auto" w:fill="auto"/>
            <w:noWrap/>
            <w:vAlign w:val="center"/>
          </w:tcPr>
          <w:p w14:paraId="53F7541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砼施工机械</w:t>
            </w:r>
          </w:p>
        </w:tc>
        <w:tc>
          <w:tcPr>
            <w:tcW w:w="0" w:type="auto"/>
            <w:tcBorders>
              <w:tl2br w:val="nil"/>
              <w:tr2bl w:val="nil"/>
            </w:tcBorders>
            <w:shd w:val="clear" w:color="auto" w:fill="auto"/>
            <w:noWrap/>
            <w:vAlign w:val="center"/>
          </w:tcPr>
          <w:p w14:paraId="1840F70E">
            <w:pPr>
              <w:spacing w:line="240" w:lineRule="auto"/>
              <w:jc w:val="center"/>
              <w:rPr>
                <w:rFonts w:hint="default" w:ascii="Times New Roman" w:hAnsi="Times New Roman" w:eastAsia="宋体" w:cs="Times New Roman"/>
                <w:i w:val="0"/>
                <w:iCs w:val="0"/>
                <w:color w:val="000000"/>
                <w:sz w:val="21"/>
                <w:szCs w:val="21"/>
                <w:u w:val="none"/>
              </w:rPr>
            </w:pPr>
          </w:p>
        </w:tc>
        <w:tc>
          <w:tcPr>
            <w:tcW w:w="0" w:type="auto"/>
            <w:tcBorders>
              <w:tl2br w:val="nil"/>
              <w:tr2bl w:val="nil"/>
            </w:tcBorders>
            <w:shd w:val="clear" w:color="auto" w:fill="auto"/>
            <w:noWrap/>
            <w:vAlign w:val="center"/>
          </w:tcPr>
          <w:p w14:paraId="157E24FB">
            <w:pPr>
              <w:spacing w:line="240" w:lineRule="auto"/>
              <w:jc w:val="center"/>
              <w:rPr>
                <w:rFonts w:hint="default" w:ascii="Times New Roman" w:hAnsi="Times New Roman" w:eastAsia="宋体" w:cs="Times New Roman"/>
                <w:i w:val="0"/>
                <w:iCs w:val="0"/>
                <w:color w:val="000000"/>
                <w:sz w:val="21"/>
                <w:szCs w:val="21"/>
                <w:u w:val="none"/>
              </w:rPr>
            </w:pPr>
          </w:p>
        </w:tc>
        <w:tc>
          <w:tcPr>
            <w:tcW w:w="0" w:type="auto"/>
            <w:tcBorders>
              <w:tl2br w:val="nil"/>
              <w:tr2bl w:val="nil"/>
            </w:tcBorders>
            <w:shd w:val="clear" w:color="auto" w:fill="auto"/>
            <w:noWrap/>
            <w:vAlign w:val="center"/>
          </w:tcPr>
          <w:p w14:paraId="07478A18">
            <w:pPr>
              <w:spacing w:line="240" w:lineRule="auto"/>
              <w:jc w:val="center"/>
              <w:rPr>
                <w:rFonts w:hint="default" w:ascii="Times New Roman" w:hAnsi="Times New Roman" w:eastAsia="宋体" w:cs="Times New Roman"/>
                <w:i w:val="0"/>
                <w:iCs w:val="0"/>
                <w:color w:val="000000"/>
                <w:sz w:val="21"/>
                <w:szCs w:val="21"/>
                <w:u w:val="none"/>
              </w:rPr>
            </w:pPr>
          </w:p>
        </w:tc>
      </w:tr>
      <w:tr w14:paraId="6CA115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5C1068B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0" w:type="auto"/>
            <w:tcBorders>
              <w:tl2br w:val="nil"/>
              <w:tr2bl w:val="nil"/>
            </w:tcBorders>
            <w:shd w:val="clear" w:color="auto" w:fill="auto"/>
            <w:noWrap/>
            <w:vAlign w:val="center"/>
          </w:tcPr>
          <w:p w14:paraId="09FFE3E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砼拌和机</w:t>
            </w:r>
          </w:p>
        </w:tc>
        <w:tc>
          <w:tcPr>
            <w:tcW w:w="0" w:type="auto"/>
            <w:tcBorders>
              <w:tl2br w:val="nil"/>
              <w:tr2bl w:val="nil"/>
            </w:tcBorders>
            <w:shd w:val="clear" w:color="auto" w:fill="auto"/>
            <w:noWrap/>
            <w:vAlign w:val="center"/>
          </w:tcPr>
          <w:p w14:paraId="5E59981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0.8m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0" w:type="auto"/>
            <w:tcBorders>
              <w:tl2br w:val="nil"/>
              <w:tr2bl w:val="nil"/>
            </w:tcBorders>
            <w:shd w:val="clear" w:color="auto" w:fill="auto"/>
            <w:noWrap/>
            <w:vAlign w:val="center"/>
          </w:tcPr>
          <w:p w14:paraId="58BC1C2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592B8F7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r>
      <w:tr w14:paraId="1179BD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14719C7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0" w:type="auto"/>
            <w:tcBorders>
              <w:tl2br w:val="nil"/>
              <w:tr2bl w:val="nil"/>
            </w:tcBorders>
            <w:shd w:val="clear" w:color="auto" w:fill="auto"/>
            <w:noWrap/>
            <w:vAlign w:val="center"/>
          </w:tcPr>
          <w:p w14:paraId="7E6DC8A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卷扬机</w:t>
            </w:r>
          </w:p>
        </w:tc>
        <w:tc>
          <w:tcPr>
            <w:tcW w:w="0" w:type="auto"/>
            <w:tcBorders>
              <w:tl2br w:val="nil"/>
              <w:tr2bl w:val="nil"/>
            </w:tcBorders>
            <w:shd w:val="clear" w:color="auto" w:fill="auto"/>
            <w:noWrap/>
            <w:vAlign w:val="center"/>
          </w:tcPr>
          <w:p w14:paraId="326753F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5t</w:t>
            </w:r>
          </w:p>
        </w:tc>
        <w:tc>
          <w:tcPr>
            <w:tcW w:w="0" w:type="auto"/>
            <w:tcBorders>
              <w:tl2br w:val="nil"/>
              <w:tr2bl w:val="nil"/>
            </w:tcBorders>
            <w:shd w:val="clear" w:color="auto" w:fill="auto"/>
            <w:noWrap/>
            <w:vAlign w:val="center"/>
          </w:tcPr>
          <w:p w14:paraId="7EE5189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3036D97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r>
      <w:tr w14:paraId="32C15A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5076639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四</w:t>
            </w:r>
          </w:p>
        </w:tc>
        <w:tc>
          <w:tcPr>
            <w:tcW w:w="0" w:type="auto"/>
            <w:tcBorders>
              <w:tl2br w:val="nil"/>
              <w:tr2bl w:val="nil"/>
            </w:tcBorders>
            <w:shd w:val="clear" w:color="auto" w:fill="auto"/>
            <w:noWrap/>
            <w:vAlign w:val="center"/>
          </w:tcPr>
          <w:p w14:paraId="1273883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基础处理设备</w:t>
            </w:r>
          </w:p>
        </w:tc>
        <w:tc>
          <w:tcPr>
            <w:tcW w:w="0" w:type="auto"/>
            <w:tcBorders>
              <w:tl2br w:val="nil"/>
              <w:tr2bl w:val="nil"/>
            </w:tcBorders>
            <w:shd w:val="clear" w:color="auto" w:fill="auto"/>
            <w:noWrap/>
            <w:vAlign w:val="center"/>
          </w:tcPr>
          <w:p w14:paraId="1A93A124">
            <w:pPr>
              <w:spacing w:line="240" w:lineRule="auto"/>
              <w:jc w:val="center"/>
              <w:rPr>
                <w:rFonts w:hint="default" w:ascii="Times New Roman" w:hAnsi="Times New Roman" w:eastAsia="宋体" w:cs="Times New Roman"/>
                <w:i w:val="0"/>
                <w:iCs w:val="0"/>
                <w:color w:val="000000"/>
                <w:sz w:val="21"/>
                <w:szCs w:val="21"/>
                <w:u w:val="none"/>
              </w:rPr>
            </w:pPr>
          </w:p>
        </w:tc>
        <w:tc>
          <w:tcPr>
            <w:tcW w:w="0" w:type="auto"/>
            <w:tcBorders>
              <w:tl2br w:val="nil"/>
              <w:tr2bl w:val="nil"/>
            </w:tcBorders>
            <w:shd w:val="clear" w:color="auto" w:fill="auto"/>
            <w:noWrap/>
            <w:vAlign w:val="center"/>
          </w:tcPr>
          <w:p w14:paraId="6861D8CB">
            <w:pPr>
              <w:spacing w:line="240" w:lineRule="auto"/>
              <w:jc w:val="center"/>
              <w:rPr>
                <w:rFonts w:hint="default" w:ascii="Times New Roman" w:hAnsi="Times New Roman" w:eastAsia="宋体" w:cs="Times New Roman"/>
                <w:i w:val="0"/>
                <w:iCs w:val="0"/>
                <w:color w:val="000000"/>
                <w:sz w:val="21"/>
                <w:szCs w:val="21"/>
                <w:u w:val="none"/>
              </w:rPr>
            </w:pPr>
          </w:p>
        </w:tc>
        <w:tc>
          <w:tcPr>
            <w:tcW w:w="0" w:type="auto"/>
            <w:tcBorders>
              <w:tl2br w:val="nil"/>
              <w:tr2bl w:val="nil"/>
            </w:tcBorders>
            <w:shd w:val="clear" w:color="auto" w:fill="auto"/>
            <w:noWrap/>
            <w:vAlign w:val="center"/>
          </w:tcPr>
          <w:p w14:paraId="524F20CA">
            <w:pPr>
              <w:spacing w:line="240" w:lineRule="auto"/>
              <w:jc w:val="center"/>
              <w:rPr>
                <w:rFonts w:hint="default" w:ascii="Times New Roman" w:hAnsi="Times New Roman" w:eastAsia="宋体" w:cs="Times New Roman"/>
                <w:i w:val="0"/>
                <w:iCs w:val="0"/>
                <w:color w:val="000000"/>
                <w:sz w:val="21"/>
                <w:szCs w:val="21"/>
                <w:u w:val="none"/>
              </w:rPr>
            </w:pPr>
          </w:p>
        </w:tc>
      </w:tr>
      <w:tr w14:paraId="408EEC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1B2304B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0" w:type="auto"/>
            <w:tcBorders>
              <w:tl2br w:val="nil"/>
              <w:tr2bl w:val="nil"/>
            </w:tcBorders>
            <w:shd w:val="clear" w:color="auto" w:fill="auto"/>
            <w:noWrap/>
            <w:vAlign w:val="center"/>
          </w:tcPr>
          <w:p w14:paraId="10AD456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地质钻</w:t>
            </w:r>
          </w:p>
        </w:tc>
        <w:tc>
          <w:tcPr>
            <w:tcW w:w="0" w:type="auto"/>
            <w:tcBorders>
              <w:tl2br w:val="nil"/>
              <w:tr2bl w:val="nil"/>
            </w:tcBorders>
            <w:shd w:val="clear" w:color="auto" w:fill="auto"/>
            <w:noWrap/>
            <w:vAlign w:val="center"/>
          </w:tcPr>
          <w:p w14:paraId="29C7B26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100型</w:t>
            </w:r>
          </w:p>
        </w:tc>
        <w:tc>
          <w:tcPr>
            <w:tcW w:w="0" w:type="auto"/>
            <w:tcBorders>
              <w:tl2br w:val="nil"/>
              <w:tr2bl w:val="nil"/>
            </w:tcBorders>
            <w:shd w:val="clear" w:color="auto" w:fill="auto"/>
            <w:noWrap/>
            <w:vAlign w:val="center"/>
          </w:tcPr>
          <w:p w14:paraId="1237804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5E7B168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r>
      <w:tr w14:paraId="45C62D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42BA74E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0" w:type="auto"/>
            <w:tcBorders>
              <w:tl2br w:val="nil"/>
              <w:tr2bl w:val="nil"/>
            </w:tcBorders>
            <w:shd w:val="clear" w:color="auto" w:fill="auto"/>
            <w:noWrap/>
            <w:vAlign w:val="center"/>
          </w:tcPr>
          <w:p w14:paraId="7E854A9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灰浆搅拌机</w:t>
            </w:r>
          </w:p>
        </w:tc>
        <w:tc>
          <w:tcPr>
            <w:tcW w:w="0" w:type="auto"/>
            <w:tcBorders>
              <w:tl2br w:val="nil"/>
              <w:tr2bl w:val="nil"/>
            </w:tcBorders>
            <w:shd w:val="clear" w:color="auto" w:fill="auto"/>
            <w:noWrap/>
            <w:vAlign w:val="center"/>
          </w:tcPr>
          <w:p w14:paraId="645AD07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200L</w:t>
            </w:r>
          </w:p>
        </w:tc>
        <w:tc>
          <w:tcPr>
            <w:tcW w:w="0" w:type="auto"/>
            <w:tcBorders>
              <w:tl2br w:val="nil"/>
              <w:tr2bl w:val="nil"/>
            </w:tcBorders>
            <w:shd w:val="clear" w:color="auto" w:fill="auto"/>
            <w:noWrap/>
            <w:vAlign w:val="center"/>
          </w:tcPr>
          <w:p w14:paraId="2DECC72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48D1776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26D272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1D5D46F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0" w:type="auto"/>
            <w:tcBorders>
              <w:tl2br w:val="nil"/>
              <w:tr2bl w:val="nil"/>
            </w:tcBorders>
            <w:shd w:val="clear" w:color="auto" w:fill="auto"/>
            <w:noWrap/>
            <w:vAlign w:val="center"/>
          </w:tcPr>
          <w:p w14:paraId="12A62E8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灌浆泵</w:t>
            </w:r>
          </w:p>
        </w:tc>
        <w:tc>
          <w:tcPr>
            <w:tcW w:w="0" w:type="auto"/>
            <w:tcBorders>
              <w:tl2br w:val="nil"/>
              <w:tr2bl w:val="nil"/>
            </w:tcBorders>
            <w:shd w:val="clear" w:color="auto" w:fill="auto"/>
            <w:noWrap/>
            <w:vAlign w:val="center"/>
          </w:tcPr>
          <w:p w14:paraId="2E20259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BW80/150</w:t>
            </w:r>
          </w:p>
        </w:tc>
        <w:tc>
          <w:tcPr>
            <w:tcW w:w="0" w:type="auto"/>
            <w:tcBorders>
              <w:tl2br w:val="nil"/>
              <w:tr2bl w:val="nil"/>
            </w:tcBorders>
            <w:shd w:val="clear" w:color="auto" w:fill="auto"/>
            <w:noWrap/>
            <w:vAlign w:val="center"/>
          </w:tcPr>
          <w:p w14:paraId="048AF1C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4756B95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1437E1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1298DA2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0" w:type="auto"/>
            <w:tcBorders>
              <w:tl2br w:val="nil"/>
              <w:tr2bl w:val="nil"/>
            </w:tcBorders>
            <w:shd w:val="clear" w:color="auto" w:fill="auto"/>
            <w:noWrap/>
            <w:vAlign w:val="center"/>
          </w:tcPr>
          <w:p w14:paraId="714F2BF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冲击钻机</w:t>
            </w:r>
          </w:p>
        </w:tc>
        <w:tc>
          <w:tcPr>
            <w:tcW w:w="0" w:type="auto"/>
            <w:tcBorders>
              <w:tl2br w:val="nil"/>
              <w:tr2bl w:val="nil"/>
            </w:tcBorders>
            <w:shd w:val="clear" w:color="auto" w:fill="auto"/>
            <w:noWrap/>
            <w:vAlign w:val="center"/>
          </w:tcPr>
          <w:p w14:paraId="1311BF6E">
            <w:pPr>
              <w:spacing w:line="240" w:lineRule="auto"/>
              <w:jc w:val="center"/>
              <w:rPr>
                <w:rFonts w:hint="default" w:ascii="Times New Roman" w:hAnsi="Times New Roman" w:eastAsia="宋体" w:cs="Times New Roman"/>
                <w:i w:val="0"/>
                <w:iCs w:val="0"/>
                <w:color w:val="000000"/>
                <w:sz w:val="21"/>
                <w:szCs w:val="21"/>
                <w:u w:val="none"/>
              </w:rPr>
            </w:pPr>
          </w:p>
        </w:tc>
        <w:tc>
          <w:tcPr>
            <w:tcW w:w="0" w:type="auto"/>
            <w:tcBorders>
              <w:tl2br w:val="nil"/>
              <w:tr2bl w:val="nil"/>
            </w:tcBorders>
            <w:shd w:val="clear" w:color="auto" w:fill="auto"/>
            <w:noWrap/>
            <w:vAlign w:val="center"/>
          </w:tcPr>
          <w:p w14:paraId="67402AE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2CE5649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r>
      <w:tr w14:paraId="15C62B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206100F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0" w:type="auto"/>
            <w:tcBorders>
              <w:tl2br w:val="nil"/>
              <w:tr2bl w:val="nil"/>
            </w:tcBorders>
            <w:shd w:val="clear" w:color="auto" w:fill="auto"/>
            <w:noWrap/>
            <w:vAlign w:val="center"/>
          </w:tcPr>
          <w:p w14:paraId="00EECF4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汽车吊</w:t>
            </w:r>
          </w:p>
        </w:tc>
        <w:tc>
          <w:tcPr>
            <w:tcW w:w="0" w:type="auto"/>
            <w:tcBorders>
              <w:tl2br w:val="nil"/>
              <w:tr2bl w:val="nil"/>
            </w:tcBorders>
            <w:shd w:val="clear" w:color="auto" w:fill="auto"/>
            <w:noWrap/>
            <w:vAlign w:val="center"/>
          </w:tcPr>
          <w:p w14:paraId="7781694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5t</w:t>
            </w:r>
          </w:p>
        </w:tc>
        <w:tc>
          <w:tcPr>
            <w:tcW w:w="0" w:type="auto"/>
            <w:tcBorders>
              <w:tl2br w:val="nil"/>
              <w:tr2bl w:val="nil"/>
            </w:tcBorders>
            <w:shd w:val="clear" w:color="auto" w:fill="auto"/>
            <w:noWrap/>
            <w:vAlign w:val="center"/>
          </w:tcPr>
          <w:p w14:paraId="23BF5E9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49F9327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r>
      <w:tr w14:paraId="5EFBDC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56C4B4F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五</w:t>
            </w:r>
          </w:p>
        </w:tc>
        <w:tc>
          <w:tcPr>
            <w:tcW w:w="0" w:type="auto"/>
            <w:tcBorders>
              <w:tl2br w:val="nil"/>
              <w:tr2bl w:val="nil"/>
            </w:tcBorders>
            <w:shd w:val="clear" w:color="auto" w:fill="auto"/>
            <w:noWrap/>
            <w:vAlign w:val="center"/>
          </w:tcPr>
          <w:p w14:paraId="4E23171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其它设备</w:t>
            </w:r>
          </w:p>
        </w:tc>
        <w:tc>
          <w:tcPr>
            <w:tcW w:w="0" w:type="auto"/>
            <w:tcBorders>
              <w:tl2br w:val="nil"/>
              <w:tr2bl w:val="nil"/>
            </w:tcBorders>
            <w:shd w:val="clear" w:color="auto" w:fill="auto"/>
            <w:noWrap/>
            <w:vAlign w:val="center"/>
          </w:tcPr>
          <w:p w14:paraId="7A5C5018">
            <w:pPr>
              <w:spacing w:line="240" w:lineRule="auto"/>
              <w:jc w:val="center"/>
              <w:rPr>
                <w:rFonts w:hint="default" w:ascii="Times New Roman" w:hAnsi="Times New Roman" w:eastAsia="宋体" w:cs="Times New Roman"/>
                <w:i w:val="0"/>
                <w:iCs w:val="0"/>
                <w:color w:val="000000"/>
                <w:sz w:val="21"/>
                <w:szCs w:val="21"/>
                <w:u w:val="none"/>
              </w:rPr>
            </w:pPr>
          </w:p>
        </w:tc>
        <w:tc>
          <w:tcPr>
            <w:tcW w:w="0" w:type="auto"/>
            <w:tcBorders>
              <w:tl2br w:val="nil"/>
              <w:tr2bl w:val="nil"/>
            </w:tcBorders>
            <w:shd w:val="clear" w:color="auto" w:fill="auto"/>
            <w:noWrap/>
            <w:vAlign w:val="center"/>
          </w:tcPr>
          <w:p w14:paraId="3379F3A9">
            <w:pPr>
              <w:spacing w:line="240" w:lineRule="auto"/>
              <w:jc w:val="center"/>
              <w:rPr>
                <w:rFonts w:hint="default" w:ascii="Times New Roman" w:hAnsi="Times New Roman" w:eastAsia="宋体" w:cs="Times New Roman"/>
                <w:i w:val="0"/>
                <w:iCs w:val="0"/>
                <w:color w:val="000000"/>
                <w:sz w:val="21"/>
                <w:szCs w:val="21"/>
                <w:u w:val="none"/>
              </w:rPr>
            </w:pPr>
          </w:p>
        </w:tc>
        <w:tc>
          <w:tcPr>
            <w:tcW w:w="0" w:type="auto"/>
            <w:tcBorders>
              <w:tl2br w:val="nil"/>
              <w:tr2bl w:val="nil"/>
            </w:tcBorders>
            <w:shd w:val="clear" w:color="auto" w:fill="auto"/>
            <w:noWrap/>
            <w:vAlign w:val="center"/>
          </w:tcPr>
          <w:p w14:paraId="1AC8D32B">
            <w:pPr>
              <w:spacing w:line="240" w:lineRule="auto"/>
              <w:jc w:val="center"/>
              <w:rPr>
                <w:rFonts w:hint="default" w:ascii="Times New Roman" w:hAnsi="Times New Roman" w:eastAsia="宋体" w:cs="Times New Roman"/>
                <w:i w:val="0"/>
                <w:iCs w:val="0"/>
                <w:color w:val="000000"/>
                <w:sz w:val="21"/>
                <w:szCs w:val="21"/>
                <w:u w:val="none"/>
              </w:rPr>
            </w:pPr>
          </w:p>
        </w:tc>
      </w:tr>
      <w:tr w14:paraId="3F1844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094E4C4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0" w:type="auto"/>
            <w:tcBorders>
              <w:tl2br w:val="nil"/>
              <w:tr2bl w:val="nil"/>
            </w:tcBorders>
            <w:shd w:val="clear" w:color="auto" w:fill="auto"/>
            <w:noWrap/>
            <w:vAlign w:val="center"/>
          </w:tcPr>
          <w:p w14:paraId="1811A02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水泵</w:t>
            </w:r>
          </w:p>
        </w:tc>
        <w:tc>
          <w:tcPr>
            <w:tcW w:w="0" w:type="auto"/>
            <w:tcBorders>
              <w:tl2br w:val="nil"/>
              <w:tr2bl w:val="nil"/>
            </w:tcBorders>
            <w:shd w:val="clear" w:color="auto" w:fill="auto"/>
            <w:noWrap/>
            <w:vAlign w:val="center"/>
          </w:tcPr>
          <w:p w14:paraId="3BC9E6A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6SA-8B型</w:t>
            </w:r>
          </w:p>
        </w:tc>
        <w:tc>
          <w:tcPr>
            <w:tcW w:w="0" w:type="auto"/>
            <w:tcBorders>
              <w:tl2br w:val="nil"/>
              <w:tr2bl w:val="nil"/>
            </w:tcBorders>
            <w:shd w:val="clear" w:color="auto" w:fill="auto"/>
            <w:noWrap/>
            <w:vAlign w:val="center"/>
          </w:tcPr>
          <w:p w14:paraId="488D94F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58B2B36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r>
      <w:tr w14:paraId="01BEAF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4F17685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0" w:type="auto"/>
            <w:tcBorders>
              <w:tl2br w:val="nil"/>
              <w:tr2bl w:val="nil"/>
            </w:tcBorders>
            <w:shd w:val="clear" w:color="auto" w:fill="auto"/>
            <w:noWrap/>
            <w:vAlign w:val="center"/>
          </w:tcPr>
          <w:p w14:paraId="38857EE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水泵</w:t>
            </w:r>
          </w:p>
        </w:tc>
        <w:tc>
          <w:tcPr>
            <w:tcW w:w="0" w:type="auto"/>
            <w:tcBorders>
              <w:tl2br w:val="nil"/>
              <w:tr2bl w:val="nil"/>
            </w:tcBorders>
            <w:shd w:val="clear" w:color="auto" w:fill="auto"/>
            <w:noWrap/>
            <w:vAlign w:val="center"/>
          </w:tcPr>
          <w:p w14:paraId="001494C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3KW</w:t>
            </w:r>
          </w:p>
        </w:tc>
        <w:tc>
          <w:tcPr>
            <w:tcW w:w="0" w:type="auto"/>
            <w:tcBorders>
              <w:tl2br w:val="nil"/>
              <w:tr2bl w:val="nil"/>
            </w:tcBorders>
            <w:shd w:val="clear" w:color="auto" w:fill="auto"/>
            <w:noWrap/>
            <w:vAlign w:val="center"/>
          </w:tcPr>
          <w:p w14:paraId="3ECBD16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294BDB3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r>
      <w:tr w14:paraId="78CDC2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3E450C6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0" w:type="auto"/>
            <w:tcBorders>
              <w:tl2br w:val="nil"/>
              <w:tr2bl w:val="nil"/>
            </w:tcBorders>
            <w:shd w:val="clear" w:color="auto" w:fill="auto"/>
            <w:noWrap/>
            <w:vAlign w:val="center"/>
          </w:tcPr>
          <w:p w14:paraId="69AD7AA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空压机</w:t>
            </w:r>
          </w:p>
        </w:tc>
        <w:tc>
          <w:tcPr>
            <w:tcW w:w="0" w:type="auto"/>
            <w:tcBorders>
              <w:tl2br w:val="nil"/>
              <w:tr2bl w:val="nil"/>
            </w:tcBorders>
            <w:shd w:val="clear" w:color="auto" w:fill="auto"/>
            <w:noWrap/>
            <w:vAlign w:val="center"/>
          </w:tcPr>
          <w:p w14:paraId="6D43EDC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/min</w:t>
            </w:r>
          </w:p>
        </w:tc>
        <w:tc>
          <w:tcPr>
            <w:tcW w:w="0" w:type="auto"/>
            <w:tcBorders>
              <w:tl2br w:val="nil"/>
              <w:tr2bl w:val="nil"/>
            </w:tcBorders>
            <w:shd w:val="clear" w:color="auto" w:fill="auto"/>
            <w:noWrap/>
            <w:vAlign w:val="center"/>
          </w:tcPr>
          <w:p w14:paraId="72CC255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0" w:type="auto"/>
            <w:tcBorders>
              <w:tl2br w:val="nil"/>
              <w:tr2bl w:val="nil"/>
            </w:tcBorders>
            <w:shd w:val="clear" w:color="auto" w:fill="auto"/>
            <w:noWrap/>
            <w:vAlign w:val="center"/>
          </w:tcPr>
          <w:p w14:paraId="6C437C8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r>
    </w:tbl>
    <w:p w14:paraId="3CAD762A">
      <w:pPr>
        <w:spacing w:line="213" w:lineRule="auto"/>
        <w:ind w:left="2721"/>
        <w:rPr>
          <w:rFonts w:hint="default" w:ascii="Times New Roman" w:hAnsi="Times New Roman" w:eastAsia="宋体" w:cs="Times New Roman"/>
          <w:b/>
          <w:bCs/>
          <w:color w:val="auto"/>
          <w:spacing w:val="0"/>
          <w:w w:val="100"/>
          <w:position w:val="0"/>
          <w:sz w:val="24"/>
          <w:szCs w:val="24"/>
          <w:u w:val="none" w:color="auto"/>
          <w:lang w:val="en-US" w:eastAsia="zh-CN"/>
        </w:rPr>
      </w:pPr>
      <w:r>
        <w:rPr>
          <w:rFonts w:hint="default" w:ascii="Times New Roman" w:hAnsi="Times New Roman" w:eastAsia="宋体" w:cs="Times New Roman"/>
          <w:b/>
          <w:bCs/>
          <w:color w:val="auto"/>
          <w:spacing w:val="0"/>
          <w:w w:val="100"/>
          <w:position w:val="0"/>
          <w:sz w:val="24"/>
          <w:szCs w:val="24"/>
          <w:u w:val="none" w:color="auto"/>
          <w:lang w:val="en-US" w:eastAsia="zh-CN"/>
        </w:rPr>
        <w:t xml:space="preserve"> </w:t>
      </w:r>
    </w:p>
    <w:p w14:paraId="3796793D">
      <w:pPr>
        <w:pStyle w:val="4"/>
        <w:bidi w:val="0"/>
        <w:rPr>
          <w:rFonts w:hint="default" w:ascii="Times New Roman" w:hAnsi="Times New Roman" w:cs="Times New Roman"/>
        </w:rPr>
      </w:pPr>
      <w:bookmarkStart w:id="100" w:name="_Toc24543"/>
      <w:r>
        <w:rPr>
          <w:rFonts w:hint="default" w:ascii="Times New Roman" w:hAnsi="Times New Roman" w:cs="Times New Roman"/>
          <w:lang w:eastAsia="zh-CN"/>
        </w:rPr>
        <w:t>除险加固工程设计</w:t>
      </w:r>
      <w:bookmarkEnd w:id="100"/>
      <w:r>
        <w:rPr>
          <w:rFonts w:hint="default" w:ascii="Times New Roman" w:hAnsi="Times New Roman" w:cs="Times New Roman"/>
        </w:rPr>
        <w:t xml:space="preserve"> </w:t>
      </w:r>
    </w:p>
    <w:p w14:paraId="142A4D8C">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rPr>
        <w:t>根据</w:t>
      </w:r>
      <w:r>
        <w:rPr>
          <w:rFonts w:hint="default" w:ascii="Times New Roman" w:hAnsi="Times New Roman" w:eastAsia="宋体" w:cs="Times New Roman"/>
          <w:color w:val="auto"/>
          <w:spacing w:val="0"/>
          <w:w w:val="100"/>
          <w:position w:val="0"/>
          <w:sz w:val="24"/>
          <w:szCs w:val="24"/>
          <w:u w:val="none" w:color="auto"/>
          <w:lang w:eastAsia="zh-CN"/>
        </w:rPr>
        <w:t>建设方提供的初步设计报告，</w:t>
      </w:r>
      <w:r>
        <w:rPr>
          <w:rFonts w:hint="default" w:ascii="Times New Roman" w:hAnsi="Times New Roman" w:eastAsia="宋体" w:cs="Times New Roman"/>
          <w:color w:val="auto"/>
          <w:spacing w:val="0"/>
          <w:w w:val="100"/>
          <w:position w:val="0"/>
          <w:sz w:val="24"/>
          <w:szCs w:val="24"/>
          <w:u w:val="none" w:color="auto"/>
        </w:rPr>
        <w:t>本次除险加固</w:t>
      </w:r>
      <w:r>
        <w:rPr>
          <w:rFonts w:hint="default" w:ascii="Times New Roman" w:hAnsi="Times New Roman" w:eastAsia="宋体" w:cs="Times New Roman"/>
          <w:color w:val="auto"/>
          <w:spacing w:val="0"/>
          <w:w w:val="100"/>
          <w:position w:val="0"/>
          <w:sz w:val="24"/>
          <w:szCs w:val="24"/>
          <w:u w:val="none" w:color="auto"/>
          <w:lang w:eastAsia="zh-CN"/>
        </w:rPr>
        <w:t>工程设计</w:t>
      </w:r>
      <w:r>
        <w:rPr>
          <w:rFonts w:hint="default" w:ascii="Times New Roman" w:hAnsi="Times New Roman" w:eastAsia="宋体" w:cs="Times New Roman"/>
          <w:color w:val="auto"/>
          <w:spacing w:val="0"/>
          <w:w w:val="100"/>
          <w:position w:val="0"/>
          <w:sz w:val="24"/>
          <w:szCs w:val="24"/>
          <w:u w:val="none" w:color="auto"/>
        </w:rPr>
        <w:t>如下</w:t>
      </w:r>
      <w:r>
        <w:rPr>
          <w:rFonts w:hint="default" w:ascii="Times New Roman" w:hAnsi="Times New Roman" w:eastAsia="宋体" w:cs="Times New Roman"/>
          <w:color w:val="auto"/>
          <w:spacing w:val="0"/>
          <w:w w:val="100"/>
          <w:position w:val="0"/>
          <w:sz w:val="24"/>
          <w:szCs w:val="24"/>
          <w:u w:val="none" w:color="auto"/>
          <w:lang w:eastAsia="zh-CN"/>
        </w:rPr>
        <w:t>。</w:t>
      </w:r>
    </w:p>
    <w:p w14:paraId="1614B75E">
      <w:pPr>
        <w:keepNext w:val="0"/>
        <w:keepLines w:val="0"/>
        <w:pageBreakBefore w:val="0"/>
        <w:widowControl w:val="0"/>
        <w:overflowPunct/>
        <w:autoSpaceDE/>
        <w:autoSpaceDN/>
        <w:bidi w:val="0"/>
        <w:snapToGrid/>
        <w:spacing w:line="360" w:lineRule="auto"/>
        <w:ind w:left="0" w:firstLine="482" w:firstLineChars="200"/>
        <w:textAlignment w:val="auto"/>
        <w:rPr>
          <w:rFonts w:hint="default" w:ascii="Times New Roman" w:hAnsi="Times New Roman" w:eastAsia="宋体" w:cs="Times New Roman"/>
          <w:b/>
          <w:bCs/>
          <w:color w:val="auto"/>
          <w:spacing w:val="0"/>
          <w:w w:val="100"/>
          <w:position w:val="0"/>
          <w:sz w:val="24"/>
          <w:szCs w:val="24"/>
          <w:u w:val="none" w:color="auto"/>
          <w:lang w:val="en-US" w:eastAsia="zh-CN"/>
        </w:rPr>
      </w:pPr>
      <w:r>
        <w:rPr>
          <w:rFonts w:hint="default" w:ascii="Times New Roman" w:hAnsi="Times New Roman" w:eastAsia="宋体" w:cs="Times New Roman"/>
          <w:b/>
          <w:bCs/>
          <w:color w:val="auto"/>
          <w:spacing w:val="0"/>
          <w:w w:val="100"/>
          <w:position w:val="0"/>
          <w:sz w:val="24"/>
          <w:szCs w:val="24"/>
          <w:u w:val="none" w:color="auto"/>
          <w:lang w:val="en-US" w:eastAsia="zh-CN"/>
        </w:rPr>
        <w:t>1、工程等级和洪水标准</w:t>
      </w:r>
    </w:p>
    <w:p w14:paraId="3F71FBF5">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东山水库总库容为1054.50万m，根据《防洪标准》(GB50201-2014)和《水利水电工程等级划分及洪水标准》(SL252-2017)，确定该工程等别为II等，其主要建筑物级别为3级，次要建筑物为4级。洪水标准：设计为100~50年一遇，校核为2000~1000年一遇，本次采用设计洪水标准为100年一遇，校核洪水标准为1000年一遇，和原设计相同。溢洪道消能防冲标准为30年一遇。</w:t>
      </w:r>
    </w:p>
    <w:p w14:paraId="450E2903">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 xml:space="preserve"> </w:t>
      </w:r>
      <w:r>
        <w:rPr>
          <w:rFonts w:hint="default" w:ascii="Times New Roman" w:hAnsi="Times New Roman" w:eastAsia="宋体" w:cs="Times New Roman"/>
          <w:b/>
          <w:bCs/>
          <w:color w:val="auto"/>
          <w:spacing w:val="0"/>
          <w:w w:val="100"/>
          <w:position w:val="0"/>
          <w:sz w:val="24"/>
          <w:szCs w:val="24"/>
          <w:u w:val="none" w:color="auto"/>
          <w:lang w:val="en-US" w:eastAsia="zh-CN"/>
        </w:rPr>
        <w:t>2、大坝除险加固工程设计</w:t>
      </w:r>
    </w:p>
    <w:p w14:paraId="46A55B95">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大坝除险加固设计的内容主要有：①坝体、坝基防渗加固处理；②上游坝坡及坝顶改造；③下游坝坡加固改造设计；④坝区白蚁防治。</w:t>
      </w:r>
    </w:p>
    <w:p w14:paraId="6942AE64">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1)坝体防渗</w:t>
      </w:r>
    </w:p>
    <w:p w14:paraId="2F26DD9E">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砼垂直防渗墙的轴线沿坝轴线布置，起点桩号0-032，右端为终点桩号0+627，与坝基帷幕灌浆直接连接，形成封闭、连续的防渗板墙，防渗墙全长为659.0m，顶部高程69.30m。</w:t>
      </w:r>
    </w:p>
    <w:p w14:paraId="71D789DD">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2)坝基防渗</w:t>
      </w:r>
    </w:p>
    <w:p w14:paraId="1A0A0B84">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针对大坝坝基、坝基接触面及两岸坝肩存在的渗漏，确定在坝基、坝基接触面及两岸坝肩进行水泥帷幕灌浆，对整个坝基、坝肩进行垂直防渗处理，以形成防渗帷幕体，增长渗径。</w:t>
      </w:r>
    </w:p>
    <w:p w14:paraId="789A9211">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两岸延伸的长度：为截断左右两岸岸坡的绕渗，根据地质资料，大坝左岸灌至正常蓄水位与相对不透水层相交的位置；大坝右岸帷幕经溢洪道右岸正常蓄水位与相对不透水层相交的位置，帷幕灌浆孔孔距为2.5m。</w:t>
      </w:r>
    </w:p>
    <w:p w14:paraId="520334FD">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本次大坝坝身防渗在坝轴线设塑性砼防渗墙，本次将帷幕灌浆灌浆孔布置在坝顶轴线位置，在施工平台高程70.00m钻孔与坝身防渗形成一个封闭的防渗体系。</w:t>
      </w:r>
    </w:p>
    <w:p w14:paraId="171A6BDE">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帷幕灌浆孔直接深入相对不透水层(透水率q=10Lu)以下3m左右。</w:t>
      </w:r>
    </w:p>
    <w:p w14:paraId="5A6B88E7">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3)大坝上游坝坡及坝顶改造</w:t>
      </w:r>
    </w:p>
    <w:p w14:paraId="49B619DD">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坝项按四级公路标准进行路面硬化，以满足运行的交通要求；在上游侧设麻石栏杆，高度1.2m。</w:t>
      </w:r>
    </w:p>
    <w:p w14:paraId="676B0919">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大坝上游护坡只对现状护坡局部损毁塌陷部位进行恢复。大坝上游平台61.30至坝项之间坝面采用C20砼预制块块护坡方案，即从大坝上游坝坡平台61.30m至71.10m高程砼预制块护坡破损严重的拆除，并重新采用C20砼预制块护坡，护坡面积约为原砼护坡面积的42%；厚度为12cm.</w:t>
      </w:r>
    </w:p>
    <w:p w14:paraId="4569A22A">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大坝上游平台61.30以下块石护坡坡面大约130m×25m范围存在块石风化严重，长度约200m，本次设计对块石风化严重区域重新采用块石进行翻砌，并整平坝坡。</w:t>
      </w:r>
    </w:p>
    <w:p w14:paraId="110FE252">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4)大坝下游护坡护脚及排水沟改造设计</w:t>
      </w:r>
    </w:p>
    <w:p w14:paraId="6A338AC0">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大坝下游现状坝坡共设有5级平台，各平台高程自坝顶以下分别为65.10m、57.10m、53.60m、51.60m和49.40m；每级平台内侧及两岸与岸坡结合部设置300×400mm(宽×深)矩形排水沟组成坝坡面排水系统，排水沟采用C20砼衬砌，厚度为150mm。同时在下游坝坡、坝坡与两岸坝肩相接部位、坝坡平台设巡检步道，方便巡视检查，即从排水棱体顶部49.40m高程护至坝坡71.10m高程设C20砼踏步。大坝下游49.40m平台高程以上坝坡采用草皮护坡。</w:t>
      </w:r>
    </w:p>
    <w:p w14:paraId="4BA04966">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5)坝区白蚁防治</w:t>
      </w:r>
    </w:p>
    <w:p w14:paraId="3D27EBDF">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对大坝白蚁危害的防治，采用人工挖巢、药物喷洒、打孔施药、毒土防蚁隔离沟和白蚁诱杀包等方式进行防治。</w:t>
      </w:r>
    </w:p>
    <w:p w14:paraId="7B7361FF">
      <w:pPr>
        <w:keepNext w:val="0"/>
        <w:keepLines w:val="0"/>
        <w:pageBreakBefore w:val="0"/>
        <w:widowControl w:val="0"/>
        <w:overflowPunct/>
        <w:autoSpaceDE/>
        <w:autoSpaceDN/>
        <w:bidi w:val="0"/>
        <w:snapToGrid/>
        <w:spacing w:line="360" w:lineRule="auto"/>
        <w:ind w:left="0" w:firstLine="482" w:firstLineChars="200"/>
        <w:textAlignment w:val="auto"/>
        <w:rPr>
          <w:rFonts w:hint="default" w:ascii="Times New Roman" w:hAnsi="Times New Roman" w:eastAsia="宋体" w:cs="Times New Roman"/>
          <w:b/>
          <w:bCs/>
          <w:color w:val="auto"/>
          <w:spacing w:val="0"/>
          <w:w w:val="100"/>
          <w:position w:val="0"/>
          <w:sz w:val="24"/>
          <w:szCs w:val="24"/>
          <w:u w:val="none" w:color="auto"/>
          <w:lang w:val="en-US" w:eastAsia="zh-CN"/>
        </w:rPr>
      </w:pPr>
      <w:r>
        <w:rPr>
          <w:rFonts w:hint="default" w:ascii="Times New Roman" w:hAnsi="Times New Roman" w:eastAsia="宋体" w:cs="Times New Roman"/>
          <w:b/>
          <w:bCs/>
          <w:color w:val="auto"/>
          <w:spacing w:val="0"/>
          <w:w w:val="100"/>
          <w:position w:val="0"/>
          <w:sz w:val="24"/>
          <w:szCs w:val="24"/>
          <w:u w:val="none" w:color="auto"/>
          <w:lang w:val="en-US" w:eastAsia="zh-CN"/>
        </w:rPr>
        <w:t>3、溢洪道除险加固工程设计</w:t>
      </w:r>
    </w:p>
    <w:p w14:paraId="3EA79AF2">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溢洪道除险加固设计的项目主要有：①控制段及泄槽段底板加固；②浆砌石边墙局部修复；③新增跨溢洪道人行桥；④恢复消能工及下游泄洪渠泄洪能力。</w:t>
      </w:r>
    </w:p>
    <w:p w14:paraId="4B29228A">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根据《安评报告》结果：溢洪道泄槽底板混凝土推定强度不满足设计强度要求，本次对其进行加固处理。溢洪道控制段为开敞式宽顶堰，堰顶高程67.50m，宽45m。根据本次现状测量断面数据，控制段设有0.6m高小坎，相当将原正常蓄水位抬高0.6m，不符合设计要求。本次设计将控制端0.6m高的小坎拆除，控制段布置5孔人行桥，每孔净跨8.4m，桥面高程71.50m；底板采用C25砼重新浇筑500mm；泄槽分两段，第一段泄槽收缩段，宽度由41.0m收缩至38.85m，长5.65米，底坡i=0.1，第二段泄槽收缩段，宽度由38.85m收缩至31.5m，长32.125m，底坡i=0.35；泄槽段底板加固对原底板表面凿毛，并加厚0.5m，新旧混凝土设置锚筋连接；泄槽后接消力池，现状消力池池深1.2m，长17.0m，宽31.5m，池底高程56.00m，消能工尺寸满足溢洪道泄洪要求。</w:t>
      </w:r>
    </w:p>
    <w:p w14:paraId="100DBB01">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溢洪道浆砌石边墙局部存在脱落破损等问题，采用水泥砂浆对其进行填补勾缝处理。</w:t>
      </w:r>
    </w:p>
    <w:p w14:paraId="4579B80B">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溢洪道人行桥是连接右坝端与坝项的通道，布置在堰顶，总长45.0m；考虑溢洪道泄洪时水流流态，中墩墩头采用半圆形墩，共布置5跨，每跨桥面长9m，人行桥采用T梁型式，梁高0.8m，桥面净宽1.5m，桥面高程71.50m，两岸与岸坡相连采用重力式挡墙，桥台基础承载力要求不小于0.5Mpa。</w:t>
      </w:r>
    </w:p>
    <w:p w14:paraId="0204B7A0">
      <w:pPr>
        <w:keepNext w:val="0"/>
        <w:keepLines w:val="0"/>
        <w:pageBreakBefore w:val="0"/>
        <w:widowControl w:val="0"/>
        <w:overflowPunct/>
        <w:autoSpaceDE/>
        <w:autoSpaceDN/>
        <w:bidi w:val="0"/>
        <w:snapToGrid/>
        <w:spacing w:line="360" w:lineRule="auto"/>
        <w:ind w:left="0" w:firstLine="482" w:firstLineChars="200"/>
        <w:textAlignment w:val="auto"/>
        <w:rPr>
          <w:rFonts w:hint="default" w:ascii="Times New Roman" w:hAnsi="Times New Roman" w:eastAsia="宋体" w:cs="Times New Roman"/>
          <w:b/>
          <w:bCs/>
          <w:color w:val="auto"/>
          <w:spacing w:val="0"/>
          <w:w w:val="100"/>
          <w:position w:val="0"/>
          <w:sz w:val="24"/>
          <w:szCs w:val="24"/>
          <w:u w:val="none" w:color="auto"/>
          <w:lang w:val="en-US" w:eastAsia="zh-CN"/>
        </w:rPr>
      </w:pPr>
      <w:r>
        <w:rPr>
          <w:rFonts w:hint="default" w:ascii="Times New Roman" w:hAnsi="Times New Roman" w:eastAsia="宋体" w:cs="Times New Roman"/>
          <w:b/>
          <w:bCs/>
          <w:color w:val="auto"/>
          <w:spacing w:val="0"/>
          <w:w w:val="100"/>
          <w:position w:val="0"/>
          <w:sz w:val="24"/>
          <w:szCs w:val="24"/>
          <w:u w:val="none" w:color="auto"/>
          <w:lang w:val="en-US" w:eastAsia="zh-CN"/>
        </w:rPr>
        <w:t>4、输水隧洞除险加固设计</w:t>
      </w:r>
    </w:p>
    <w:p w14:paraId="20820D80">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输水隧洞加固设计的项目主要有：进水塔启闭平台改造设计；输水暗涵重建。</w:t>
      </w:r>
    </w:p>
    <w:p w14:paraId="1705DC76">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①进水塔启闭平台改造设计</w:t>
      </w:r>
    </w:p>
    <w:p w14:paraId="10BFAF84">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针对现状启闭平台空间小，操作不便。本次对进水塔闸墩上部启闭机房及工作桥进行拆除重建。</w:t>
      </w:r>
    </w:p>
    <w:p w14:paraId="1B906A5B">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启闭机房位于进水口闸墩上，闸墩顶部高程为70.0m，启闭机平台高程为72.7m，启闭机房平面尺寸为7.95×6.55m(长×宽)，启闭机房排架柱共6个，断面尺寸为0.6×0.5m(长×宽)。为了保护启闭机电设备，将启闭台设计为封闭式，在启闭台上砌筑启闭机房。启闭平台与对外交通采用工作桥连接，桥长28.0m，桥面宽2.5m，布置3跨。</w:t>
      </w:r>
    </w:p>
    <w:p w14:paraId="4657A6F0">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②输水暗涵重建设计</w:t>
      </w:r>
    </w:p>
    <w:p w14:paraId="112A4E90">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输水暗涵为连接输水隧洞与高低渠之间的建筑物，全长109.80m，为便于检修，考虑将现状圆涵改为1.2m×1.8m(宽*高)箱涵，壁厚400mm，按9m分缝，并设置沥青衫板嵌缝和铜片止水。</w:t>
      </w:r>
    </w:p>
    <w:p w14:paraId="0ACF584B">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输水暗涵底板高程根据低渠底板高程(50.40m)确定为50.50m，进口与输水隧洞的衔接采用抬升井相连，抬升井底板高程为输水隧洞出口高程48.30m，平面尺寸为2.0×3.0m，盖板为C25砼现浇板，盖板设进人孔，尺寸为0.6×1.0m，采用钢盖板封闭。</w:t>
      </w:r>
    </w:p>
    <w:p w14:paraId="3AD27EE7">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暗涵出口采用流量调节阀进行流量控制并且带消能功能，调节阀尺寸为中1.2m，其后再接高低渠分水口，通过平面尺寸为1.6×2.0m抬升井与高渠相连，底部设中0.8m钢管接低渠，并设闸阀控制开关；考虑输水隧洞检修时需要放空洞内积水，从隧洞出口的抬升井内预埋1根φ0.2m球墨铸铁放空管至低渠下游，在低渠闸阀井内增设闸阀控制。</w:t>
      </w:r>
    </w:p>
    <w:p w14:paraId="21ACF1E5">
      <w:pPr>
        <w:keepNext w:val="0"/>
        <w:keepLines w:val="0"/>
        <w:pageBreakBefore w:val="0"/>
        <w:widowControl w:val="0"/>
        <w:overflowPunct/>
        <w:autoSpaceDE/>
        <w:autoSpaceDN/>
        <w:bidi w:val="0"/>
        <w:snapToGrid/>
        <w:spacing w:line="360" w:lineRule="auto"/>
        <w:ind w:left="0" w:firstLine="482" w:firstLineChars="200"/>
        <w:textAlignment w:val="auto"/>
        <w:rPr>
          <w:rFonts w:hint="default" w:ascii="Times New Roman" w:hAnsi="Times New Roman" w:eastAsia="宋体" w:cs="Times New Roman"/>
          <w:b/>
          <w:bCs/>
          <w:color w:val="auto"/>
          <w:spacing w:val="0"/>
          <w:w w:val="100"/>
          <w:position w:val="0"/>
          <w:sz w:val="24"/>
          <w:szCs w:val="24"/>
          <w:u w:val="none" w:color="auto"/>
          <w:lang w:val="en-US" w:eastAsia="zh-CN"/>
        </w:rPr>
      </w:pPr>
      <w:r>
        <w:rPr>
          <w:rFonts w:hint="default" w:ascii="Times New Roman" w:hAnsi="Times New Roman" w:eastAsia="宋体" w:cs="Times New Roman"/>
          <w:b/>
          <w:bCs/>
          <w:color w:val="auto"/>
          <w:spacing w:val="0"/>
          <w:w w:val="100"/>
          <w:position w:val="0"/>
          <w:sz w:val="24"/>
          <w:szCs w:val="24"/>
          <w:u w:val="none" w:color="auto"/>
          <w:lang w:val="en-US" w:eastAsia="zh-CN"/>
        </w:rPr>
        <w:t>5、引水渠除险加固设计</w:t>
      </w:r>
    </w:p>
    <w:p w14:paraId="68A56090">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引水渠除险加固设计主要包括：①渠道衬砌设计；②渠边坡加固设计；③节制闸及泄洪闸除险加固设计。</w:t>
      </w:r>
    </w:p>
    <w:p w14:paraId="357D6055">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引水渠的衬砌总长为759m，桩号为0+000~0+720及0+812^0+851，其中引水渠桩号0+720^0+812段为箱涵，目前运行良好。</w:t>
      </w:r>
    </w:p>
    <w:p w14:paraId="00FC4490">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渠堤顶宽结合施工及交通要求确定为3.0m，为了不新增占地，渠堤采用C20砼挡墙型式，内侧边坡为傍山稳定的岩石边坡，坡比根据现状山体坡度确定，采用C25砼衬砌，厚度为100mm；堤顶设计高程按水面线+超高确定；渠底宽设计为1.6m，底板采用厚度100mm的C25砼衬砌；堤顶为泥结石路面宽3.0m，渠堤外坡采用草皮护坡。根据规范要求，本工程渠道防渗砼抗渗等级为W6。</w:t>
      </w:r>
    </w:p>
    <w:p w14:paraId="53D980AC">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对三处损毁的渠堤长20m，顶宽考虑交通要求确定为3.0m，堤顶设计高程与原堤顶齐平，内侧采用C20砼挡墙型式，外坡为1：1.5，底板采用C25砼衬砌，厚度为100mm外坡采用草皮护坡。</w:t>
      </w:r>
    </w:p>
    <w:p w14:paraId="22BF8847">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节制闸整体结构尚好，仅需更换闸门，故本次设计仅考虑将原闸门更换为相同尺寸的钢闸门，闸门门板尺寸为1.2m×1.2m(宽×高)，并配备相应启闭机。</w:t>
      </w:r>
    </w:p>
    <w:p w14:paraId="7D038FEE">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泄洪闸由于整体结构较差，本次设计将其拆除重建，孔口尺寸设计为1.2m×1.2m(宽×高)，采用螺杆启闭机进行启闭。</w:t>
      </w:r>
    </w:p>
    <w:p w14:paraId="7CD82175">
      <w:pPr>
        <w:pStyle w:val="4"/>
        <w:bidi w:val="0"/>
        <w:rPr>
          <w:rFonts w:hint="default" w:ascii="Times New Roman" w:hAnsi="Times New Roman" w:cs="Times New Roman"/>
        </w:rPr>
      </w:pPr>
      <w:bookmarkStart w:id="101" w:name="_Toc4092"/>
      <w:r>
        <w:rPr>
          <w:rFonts w:hint="default" w:ascii="Times New Roman" w:hAnsi="Times New Roman" w:cs="Times New Roman"/>
        </w:rPr>
        <w:t>施工组织设计</w:t>
      </w:r>
      <w:bookmarkEnd w:id="101"/>
    </w:p>
    <w:p w14:paraId="4B88DF5C">
      <w:pPr>
        <w:pStyle w:val="5"/>
        <w:bidi w:val="0"/>
        <w:rPr>
          <w:rFonts w:hint="default" w:ascii="Times New Roman" w:hAnsi="Times New Roman" w:cs="Times New Roman"/>
        </w:rPr>
      </w:pPr>
      <w:r>
        <w:rPr>
          <w:rFonts w:hint="default" w:ascii="Times New Roman" w:hAnsi="Times New Roman" w:cs="Times New Roman"/>
        </w:rPr>
        <w:t>施工条件</w:t>
      </w:r>
    </w:p>
    <w:p w14:paraId="5CDF54C4">
      <w:pPr>
        <w:keepNext w:val="0"/>
        <w:keepLines w:val="0"/>
        <w:pageBreakBefore w:val="0"/>
        <w:widowControl w:val="0"/>
        <w:kinsoku w:val="0"/>
        <w:wordWrap w:val="0"/>
        <w:overflowPunct/>
        <w:topLinePunct/>
        <w:autoSpaceDE/>
        <w:autoSpaceDN/>
        <w:bidi w:val="0"/>
        <w:adjustRightInd w:val="0"/>
        <w:snapToGrid/>
        <w:spacing w:line="360" w:lineRule="auto"/>
        <w:ind w:left="0" w:right="0"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rPr>
        <w:t>（1）</w:t>
      </w: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施工</w:t>
      </w:r>
      <w:r>
        <w:rPr>
          <w:rFonts w:hint="default" w:ascii="Times New Roman" w:hAnsi="Times New Roman" w:eastAsia="宋体" w:cs="Times New Roman"/>
          <w:b/>
          <w:bCs/>
          <w:caps w:val="0"/>
          <w:smallCaps w:val="0"/>
          <w:color w:val="auto"/>
          <w:spacing w:val="0"/>
          <w:w w:val="100"/>
          <w:kern w:val="0"/>
          <w:position w:val="0"/>
          <w:sz w:val="24"/>
          <w:szCs w:val="24"/>
          <w:u w:val="none" w:color="auto"/>
        </w:rPr>
        <w:t>交通</w:t>
      </w: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运输</w:t>
      </w:r>
    </w:p>
    <w:p w14:paraId="23A327AD">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对外交通：</w:t>
      </w:r>
    </w:p>
    <w:p w14:paraId="259E6B49">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坝址位于华容县东山镇仙鹅寺村，距华容县城25km，距S202省道3.5km，左岸有道路通往县城，交通较方便。</w:t>
      </w:r>
    </w:p>
    <w:p w14:paraId="51C88968">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本工程对外运输的主要任务为施工设备运输以及施工所需材料的运输，建筑材料主要包括钢筋、木材、水泥、油料、商品混凝土和六方块等，主要建材从华容县采购。</w:t>
      </w:r>
    </w:p>
    <w:p w14:paraId="1C96C1DC">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场内交通：工程区内有乡村道路相连，可直接通行中小型汽车和设备，局部道路标准偏低。溢洪道左右岸都有道路与外部连通，交验桥施工时，交通不会中断，不需要另外修建桥梁或者临时道路。</w:t>
      </w:r>
    </w:p>
    <w:p w14:paraId="03D06F7A">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根据施工场内路线安排，场内需新建临时道路0. 5km，路宽4. 0m，泥结石路面，通往各工程区。</w:t>
      </w:r>
    </w:p>
    <w:p w14:paraId="476CC0D0">
      <w:pPr>
        <w:keepNext w:val="0"/>
        <w:keepLines w:val="0"/>
        <w:pageBreakBefore w:val="0"/>
        <w:widowControl w:val="0"/>
        <w:kinsoku w:val="0"/>
        <w:wordWrap w:val="0"/>
        <w:overflowPunct/>
        <w:topLinePunct/>
        <w:autoSpaceDE/>
        <w:autoSpaceDN/>
        <w:bidi w:val="0"/>
        <w:adjustRightInd w:val="0"/>
        <w:snapToGrid/>
        <w:spacing w:line="360" w:lineRule="auto"/>
        <w:ind w:left="0" w:right="0"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rPr>
        <w:t>（2）施工</w:t>
      </w: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工厂</w:t>
      </w:r>
    </w:p>
    <w:p w14:paraId="1CB8F70E">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华容县城有质量和强度满足工程要求的商品混凝土，运输也较方便，按照保证质量、保证质量、保护环境的原则，本工程混凝土优先采用商品混凝土。而塑性混凝土需要掺加膨润土，配合比特殊，较难买到，故采用在工地拌制的方式，在大坝左岸下游空地布置混凝土拌和站，站内设0.8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3</w:t>
      </w:r>
      <w:r>
        <w:rPr>
          <w:rFonts w:hint="default" w:ascii="Times New Roman" w:hAnsi="Times New Roman" w:eastAsia="宋体" w:cs="Times New Roman"/>
          <w:color w:val="auto"/>
          <w:spacing w:val="0"/>
          <w:w w:val="100"/>
          <w:position w:val="0"/>
          <w:sz w:val="24"/>
          <w:szCs w:val="24"/>
          <w:u w:val="none" w:color="auto"/>
          <w:lang w:val="en-US" w:eastAsia="zh-CN"/>
        </w:rPr>
        <w:t>强制式混凝土机。混凝土工厂建筑面积100m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2</w:t>
      </w:r>
      <w:r>
        <w:rPr>
          <w:rFonts w:hint="default" w:ascii="Times New Roman" w:hAnsi="Times New Roman" w:eastAsia="宋体" w:cs="Times New Roman"/>
          <w:color w:val="auto"/>
          <w:spacing w:val="0"/>
          <w:w w:val="100"/>
          <w:position w:val="0"/>
          <w:sz w:val="24"/>
          <w:szCs w:val="24"/>
          <w:u w:val="none" w:color="auto"/>
          <w:lang w:val="en-US" w:eastAsia="zh-CN"/>
        </w:rPr>
        <w:t>，占地面积600m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2</w:t>
      </w:r>
      <w:r>
        <w:rPr>
          <w:rFonts w:hint="default" w:ascii="Times New Roman" w:hAnsi="Times New Roman" w:eastAsia="宋体" w:cs="Times New Roman"/>
          <w:color w:val="auto"/>
          <w:spacing w:val="0"/>
          <w:w w:val="100"/>
          <w:position w:val="0"/>
          <w:sz w:val="24"/>
          <w:szCs w:val="24"/>
          <w:u w:val="none" w:color="auto"/>
          <w:lang w:val="en-US" w:eastAsia="zh-CN"/>
        </w:rPr>
        <w:t>。</w:t>
      </w:r>
    </w:p>
    <w:p w14:paraId="4C959E37">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为保证混凝土防渗墙泥浆护壁，在左坝头管理所附近布置集中制浆站。管理所拆除后建设制浆站，离防渗墙施工现场较近，地势高，平坦开阔，便于运输、存储土料。本工程主要采用膨润土制浆，站内包括膨润土堆场、配料平台、制浆平台、储浆池、试验室、送浆管路、供水管路等。泥浆采用高速泥浆搅拌机拌制。制浆站建筑面积50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2</w:t>
      </w:r>
      <w:r>
        <w:rPr>
          <w:rFonts w:hint="default" w:ascii="Times New Roman" w:hAnsi="Times New Roman" w:eastAsia="宋体" w:cs="Times New Roman"/>
          <w:color w:val="auto"/>
          <w:spacing w:val="0"/>
          <w:w w:val="100"/>
          <w:position w:val="0"/>
          <w:sz w:val="24"/>
          <w:szCs w:val="24"/>
          <w:u w:val="none" w:color="auto"/>
          <w:lang w:val="en-US" w:eastAsia="zh-CN"/>
        </w:rPr>
        <w:t>，占地面积200m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2</w:t>
      </w:r>
      <w:r>
        <w:rPr>
          <w:rFonts w:hint="default" w:ascii="Times New Roman" w:hAnsi="Times New Roman" w:eastAsia="宋体" w:cs="Times New Roman"/>
          <w:color w:val="auto"/>
          <w:spacing w:val="0"/>
          <w:w w:val="100"/>
          <w:position w:val="0"/>
          <w:sz w:val="24"/>
          <w:szCs w:val="24"/>
          <w:u w:val="none" w:color="auto"/>
          <w:lang w:val="en-US" w:eastAsia="zh-CN"/>
        </w:rPr>
        <w:t>。</w:t>
      </w:r>
    </w:p>
    <w:p w14:paraId="662EDBE9">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根据工程实际需要，本工程在施工临建区布置施工仓库，包括水泥仓库和其它材料仓库。根据工程进度强度估算，水泥仓库建筑面积100m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2</w:t>
      </w:r>
      <w:r>
        <w:rPr>
          <w:rFonts w:hint="default" w:ascii="Times New Roman" w:hAnsi="Times New Roman" w:eastAsia="宋体" w:cs="Times New Roman"/>
          <w:color w:val="auto"/>
          <w:spacing w:val="0"/>
          <w:w w:val="100"/>
          <w:position w:val="0"/>
          <w:sz w:val="24"/>
          <w:szCs w:val="24"/>
          <w:u w:val="none" w:color="auto"/>
          <w:lang w:val="en-US" w:eastAsia="zh-CN"/>
        </w:rPr>
        <w:t>，占地面积200m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2</w:t>
      </w:r>
      <w:r>
        <w:rPr>
          <w:rFonts w:hint="default" w:ascii="Times New Roman" w:hAnsi="Times New Roman" w:eastAsia="宋体" w:cs="Times New Roman"/>
          <w:color w:val="auto"/>
          <w:spacing w:val="0"/>
          <w:w w:val="100"/>
          <w:position w:val="0"/>
          <w:sz w:val="24"/>
          <w:szCs w:val="24"/>
          <w:u w:val="none" w:color="auto"/>
          <w:lang w:val="en-US" w:eastAsia="zh-CN"/>
        </w:rPr>
        <w:t>；其他材料仓库建筑面积100m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2</w:t>
      </w:r>
      <w:r>
        <w:rPr>
          <w:rFonts w:hint="default" w:ascii="Times New Roman" w:hAnsi="Times New Roman" w:eastAsia="宋体" w:cs="Times New Roman"/>
          <w:color w:val="auto"/>
          <w:spacing w:val="0"/>
          <w:w w:val="100"/>
          <w:position w:val="0"/>
          <w:sz w:val="24"/>
          <w:szCs w:val="24"/>
          <w:u w:val="none" w:color="auto"/>
          <w:lang w:val="en-US" w:eastAsia="zh-CN"/>
        </w:rPr>
        <w:t>，占地面积200m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2</w:t>
      </w:r>
      <w:r>
        <w:rPr>
          <w:rFonts w:hint="default" w:ascii="Times New Roman" w:hAnsi="Times New Roman" w:eastAsia="宋体" w:cs="Times New Roman"/>
          <w:color w:val="auto"/>
          <w:spacing w:val="0"/>
          <w:w w:val="100"/>
          <w:position w:val="0"/>
          <w:sz w:val="24"/>
          <w:szCs w:val="24"/>
          <w:u w:val="none" w:color="auto"/>
          <w:lang w:val="en-US" w:eastAsia="zh-CN"/>
        </w:rPr>
        <w:t>。</w:t>
      </w:r>
    </w:p>
    <w:p w14:paraId="590E6D7B">
      <w:pPr>
        <w:keepNext w:val="0"/>
        <w:keepLines w:val="0"/>
        <w:pageBreakBefore w:val="0"/>
        <w:widowControl w:val="0"/>
        <w:overflowPunct/>
        <w:autoSpaceDE/>
        <w:autoSpaceDN/>
        <w:bidi w:val="0"/>
        <w:snapToGrid/>
        <w:spacing w:line="360" w:lineRule="auto"/>
        <w:ind w:left="0" w:firstLine="482" w:firstLineChars="200"/>
        <w:textAlignment w:val="auto"/>
        <w:rPr>
          <w:rFonts w:hint="default" w:ascii="Times New Roman" w:hAnsi="Times New Roman" w:eastAsia="宋体" w:cs="Times New Roman"/>
          <w:b/>
          <w:bCs/>
          <w:color w:val="auto"/>
          <w:spacing w:val="0"/>
          <w:w w:val="100"/>
          <w:position w:val="0"/>
          <w:sz w:val="24"/>
          <w:szCs w:val="24"/>
          <w:u w:val="none" w:color="auto"/>
          <w:lang w:val="en-US"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rPr>
        <w:t>（3）</w:t>
      </w:r>
      <w:r>
        <w:rPr>
          <w:rFonts w:hint="default" w:ascii="Times New Roman" w:hAnsi="Times New Roman" w:eastAsia="宋体" w:cs="Times New Roman"/>
          <w:b/>
          <w:bCs/>
          <w:color w:val="auto"/>
          <w:spacing w:val="0"/>
          <w:w w:val="100"/>
          <w:position w:val="0"/>
          <w:sz w:val="24"/>
          <w:szCs w:val="24"/>
          <w:u w:val="none" w:color="auto"/>
          <w:lang w:val="en-US" w:eastAsia="zh-CN"/>
        </w:rPr>
        <w:t>风、水、电</w:t>
      </w:r>
    </w:p>
    <w:p w14:paraId="77607327">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本工程施工用风主要包括混凝土浇筑用风和灌浆用风等，主要采用移动式空压机供风的方式。本工程共需设置3m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3</w:t>
      </w:r>
      <w:r>
        <w:rPr>
          <w:rFonts w:hint="default" w:ascii="Times New Roman" w:hAnsi="Times New Roman" w:eastAsia="宋体" w:cs="Times New Roman"/>
          <w:color w:val="auto"/>
          <w:spacing w:val="0"/>
          <w:w w:val="100"/>
          <w:position w:val="0"/>
          <w:sz w:val="24"/>
          <w:szCs w:val="24"/>
          <w:u w:val="none" w:color="auto"/>
          <w:lang w:val="en-US" w:eastAsia="zh-CN"/>
        </w:rPr>
        <w:t>/min空压机3台。工程灌浆用风利用灌浆机具自带用风系统。</w:t>
      </w:r>
    </w:p>
    <w:p w14:paraId="5FB2A1E0">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施工用水分生产用水和生活用水。生活用水同水库管理所或者居民生活用水。生产用水采用集中供水方式，施工营地设置6SA-8B型水泵1台，扬程36m，流量133m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3</w:t>
      </w:r>
      <w:r>
        <w:rPr>
          <w:rFonts w:hint="default" w:ascii="Times New Roman" w:hAnsi="Times New Roman" w:eastAsia="宋体" w:cs="Times New Roman"/>
          <w:color w:val="auto"/>
          <w:spacing w:val="0"/>
          <w:w w:val="100"/>
          <w:position w:val="0"/>
          <w:sz w:val="24"/>
          <w:szCs w:val="24"/>
          <w:u w:val="none" w:color="auto"/>
          <w:lang w:val="en-US" w:eastAsia="zh-CN"/>
        </w:rPr>
        <w:t>/h，电机功率22kW。水泵站建筑面积50m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2</w:t>
      </w:r>
      <w:r>
        <w:rPr>
          <w:rFonts w:hint="default" w:ascii="Times New Roman" w:hAnsi="Times New Roman" w:eastAsia="宋体" w:cs="Times New Roman"/>
          <w:color w:val="auto"/>
          <w:spacing w:val="0"/>
          <w:w w:val="100"/>
          <w:position w:val="0"/>
          <w:sz w:val="24"/>
          <w:szCs w:val="24"/>
          <w:u w:val="none" w:color="auto"/>
          <w:lang w:val="en-US" w:eastAsia="zh-CN"/>
        </w:rPr>
        <w:t>，占地面积150m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2</w:t>
      </w:r>
      <w:r>
        <w:rPr>
          <w:rFonts w:hint="default" w:ascii="Times New Roman" w:hAnsi="Times New Roman" w:eastAsia="宋体" w:cs="Times New Roman"/>
          <w:color w:val="auto"/>
          <w:spacing w:val="0"/>
          <w:w w:val="100"/>
          <w:position w:val="0"/>
          <w:sz w:val="24"/>
          <w:szCs w:val="24"/>
          <w:u w:val="none" w:color="auto"/>
          <w:lang w:val="en-US" w:eastAsia="zh-CN"/>
        </w:rPr>
        <w:t>。</w:t>
      </w:r>
    </w:p>
    <w:p w14:paraId="55B75065">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spacing w:val="0"/>
          <w:w w:val="100"/>
          <w:position w:val="0"/>
          <w:sz w:val="24"/>
          <w:szCs w:val="24"/>
        </w:rPr>
        <w:t>施工供电从水库管理所附近接线，最大接线长度不超过1500m。</w:t>
      </w:r>
      <w:r>
        <w:rPr>
          <w:rFonts w:hint="default" w:ascii="Times New Roman" w:hAnsi="Times New Roman" w:eastAsia="宋体" w:cs="Times New Roman"/>
          <w:color w:val="auto"/>
          <w:spacing w:val="0"/>
          <w:w w:val="100"/>
          <w:position w:val="0"/>
          <w:sz w:val="24"/>
          <w:szCs w:val="24"/>
          <w:u w:val="none" w:color="auto"/>
          <w:lang w:val="en-US" w:eastAsia="zh-CN"/>
        </w:rPr>
        <w:t xml:space="preserve"> </w:t>
      </w:r>
    </w:p>
    <w:p w14:paraId="39571F6D">
      <w:pPr>
        <w:keepNext w:val="0"/>
        <w:keepLines w:val="0"/>
        <w:pageBreakBefore w:val="0"/>
        <w:widowControl w:val="0"/>
        <w:kinsoku w:val="0"/>
        <w:wordWrap w:val="0"/>
        <w:overflowPunct/>
        <w:topLinePunct/>
        <w:autoSpaceDE/>
        <w:autoSpaceDN/>
        <w:bidi w:val="0"/>
        <w:adjustRightInd w:val="0"/>
        <w:snapToGrid/>
        <w:spacing w:line="360" w:lineRule="auto"/>
        <w:ind w:left="0" w:right="0"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rPr>
        <w:t>（4）施工</w:t>
      </w: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材料</w:t>
      </w:r>
    </w:p>
    <w:p w14:paraId="33A4CDDD">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水泥、钢筋（材）、木材、油料等均从华容县购买，经公路运至工地，运距约25km。华容县城有质量和强度满足工程要求的商品混凝土，本工程混凝土主要采用商品混凝土，运距25km。砂砾石料可从12km的长江沿岸采砂场采购。块石料可从距离工程区约18km的十里铺采石场采购。</w:t>
      </w:r>
    </w:p>
    <w:p w14:paraId="00E5BF85">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施工用水：生产用水直接从水库取水，在工地设置储水池，生活用水接水库管理所自来水。</w:t>
      </w:r>
    </w:p>
    <w:p w14:paraId="27C38E14">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施工用电可从水库管理所接线到工地各用电点。</w:t>
      </w:r>
    </w:p>
    <w:p w14:paraId="70DCB5DC">
      <w:pPr>
        <w:pStyle w:val="5"/>
        <w:bidi w:val="0"/>
        <w:rPr>
          <w:rFonts w:hint="default" w:ascii="Times New Roman" w:hAnsi="Times New Roman" w:cs="Times New Roman"/>
          <w:lang w:eastAsia="zh-CN"/>
        </w:rPr>
      </w:pPr>
      <w:r>
        <w:rPr>
          <w:rFonts w:hint="default" w:ascii="Times New Roman" w:hAnsi="Times New Roman" w:cs="Times New Roman"/>
        </w:rPr>
        <w:t>施工导流</w:t>
      </w:r>
      <w:r>
        <w:rPr>
          <w:rFonts w:hint="default" w:ascii="Times New Roman" w:hAnsi="Times New Roman" w:cs="Times New Roman"/>
          <w:lang w:eastAsia="zh-CN"/>
        </w:rPr>
        <w:t>和防汛</w:t>
      </w:r>
    </w:p>
    <w:p w14:paraId="15E8476A">
      <w:pPr>
        <w:keepNext w:val="0"/>
        <w:keepLines w:val="0"/>
        <w:pageBreakBefore w:val="0"/>
        <w:widowControl w:val="0"/>
        <w:overflowPunct/>
        <w:autoSpaceDE/>
        <w:autoSpaceDN/>
        <w:bidi w:val="0"/>
        <w:snapToGrid/>
        <w:spacing w:line="360" w:lineRule="auto"/>
        <w:ind w:left="0" w:firstLine="482" w:firstLineChars="200"/>
        <w:textAlignment w:val="auto"/>
        <w:rPr>
          <w:rFonts w:hint="default" w:ascii="Times New Roman" w:hAnsi="Times New Roman" w:eastAsia="宋体" w:cs="Times New Roman"/>
          <w:b/>
          <w:bCs/>
          <w:color w:val="auto"/>
          <w:spacing w:val="0"/>
          <w:w w:val="100"/>
          <w:position w:val="0"/>
          <w:sz w:val="24"/>
          <w:szCs w:val="24"/>
          <w:u w:val="none" w:color="auto"/>
          <w:lang w:val="en-US" w:eastAsia="zh-CN"/>
        </w:rPr>
      </w:pPr>
      <w:r>
        <w:rPr>
          <w:rFonts w:hint="default" w:ascii="Times New Roman" w:hAnsi="Times New Roman" w:eastAsia="宋体" w:cs="Times New Roman"/>
          <w:b/>
          <w:bCs/>
          <w:color w:val="auto"/>
          <w:spacing w:val="0"/>
          <w:w w:val="100"/>
          <w:position w:val="0"/>
          <w:sz w:val="24"/>
          <w:szCs w:val="24"/>
          <w:u w:val="none" w:color="auto"/>
          <w:lang w:val="en-US" w:eastAsia="zh-CN"/>
        </w:rPr>
        <w:t>1、导流标准和导流方案</w:t>
      </w:r>
    </w:p>
    <w:p w14:paraId="4A1977A9">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按照《水利水电工程等级划分及洪水标准》（SL252），本工程导流建筑物级别为5级，土石围堰设计洪水标准为5～10年一遇洪水。本工程施工时段较短，施工导流标准选择5年一遇洪水标准。</w:t>
      </w:r>
    </w:p>
    <w:p w14:paraId="0F27136A">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目前，大坝上游平台61.30以下块石护坡坡面大约130m×25m范围块石风化严重，本次设计对块石风化严重区域重新采用块石进行翻砌，并整平坝坡，需要进行施工导流设计。</w:t>
      </w:r>
    </w:p>
    <w:p w14:paraId="576CC638">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输水隧洞进水塔启闭平台和工作桥施工时需要从水库上游修建支撑架和脚手架，降低水库上游水位更方便施工建设。</w:t>
      </w:r>
    </w:p>
    <w:p w14:paraId="27F0A3F2">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本工程为除险加固项目，施工时可以利用有压输水隧洞泄流。有压输水隧洞位于大坝左岸，总长113m，取水口采用塔式结构，进口底板高程48.30m，隧洞底坡i=0.01，断面形式为圆形，净空直径1.5m，采用厚300mm钢筋混凝土衬砌。</w:t>
      </w:r>
    </w:p>
    <w:p w14:paraId="51315E93">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因输水涵管的设计流量为2.5m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3</w:t>
      </w:r>
      <w:r>
        <w:rPr>
          <w:rFonts w:hint="default" w:ascii="Times New Roman" w:hAnsi="Times New Roman" w:eastAsia="宋体" w:cs="Times New Roman"/>
          <w:color w:val="auto"/>
          <w:spacing w:val="0"/>
          <w:w w:val="100"/>
          <w:position w:val="0"/>
          <w:sz w:val="24"/>
          <w:szCs w:val="24"/>
          <w:u w:val="none" w:color="auto"/>
          <w:lang w:val="en-US" w:eastAsia="zh-CN"/>
        </w:rPr>
        <w:t>/s，故53.6m以上泄流量均按2.5m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3</w:t>
      </w:r>
      <w:r>
        <w:rPr>
          <w:rFonts w:hint="default" w:ascii="Times New Roman" w:hAnsi="Times New Roman" w:eastAsia="宋体" w:cs="Times New Roman"/>
          <w:color w:val="auto"/>
          <w:spacing w:val="0"/>
          <w:w w:val="100"/>
          <w:position w:val="0"/>
          <w:sz w:val="24"/>
          <w:szCs w:val="24"/>
          <w:u w:val="none" w:color="auto"/>
          <w:lang w:val="en-US" w:eastAsia="zh-CN"/>
        </w:rPr>
        <w:t>/s计算。为有利大坝上游块石护坡和输水隧洞进水塔启闭平台改造等项目施工，本工程拟在9月初开始利用输水涵管放水降低库水位，至10月下旬降至50.0m左右。</w:t>
      </w:r>
    </w:p>
    <w:p w14:paraId="5207F9F6">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用11月～次年2月5年一遇枯期洪水调洪。起调水位取50.6m，调洪结果为51.11m，大坝上游干砌石护坡和输水隧洞启闭台施工时需要利用输水隧洞控制上游水位。</w:t>
      </w:r>
    </w:p>
    <w:p w14:paraId="22DFB90B">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输水隧洞和暗涵等项目施工时，应将输水隧洞下闸，保证下游无水。</w:t>
      </w:r>
    </w:p>
    <w:p w14:paraId="0592864E">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结合施工进度安排，本工程的导流方案为：9月份开始利用输水隧洞放水，同步进行大坝防渗墙施工准备工作，10月下旬放水至50.0m左右。10月份开始进行大坝防渗墙和上游坝坡和溢洪道的除险加固工作，至第一年12月底完成。从第二年1月份开始，输水隧洞进口下闸，开始施工输水隧洞、输水暗涵和大坝坝顶及下游坝坡除险加固。</w:t>
      </w:r>
    </w:p>
    <w:p w14:paraId="2E5E0832">
      <w:pPr>
        <w:spacing w:line="360" w:lineRule="auto"/>
        <w:ind w:firstLine="480" w:firstLineChars="200"/>
        <w:jc w:val="left"/>
        <w:rPr>
          <w:rFonts w:hint="default" w:ascii="Times New Roman" w:hAnsi="Times New Roman" w:eastAsia="宋体" w:cs="Times New Roman"/>
          <w:color w:val="auto"/>
          <w:spacing w:val="0"/>
          <w:w w:val="100"/>
          <w:position w:val="0"/>
          <w:sz w:val="24"/>
          <w:u w:val="none" w:color="auto"/>
          <w:lang w:val="en-US" w:eastAsia="zh-CN"/>
        </w:rPr>
      </w:pPr>
      <w:r>
        <w:rPr>
          <w:rFonts w:hint="default" w:ascii="Times New Roman" w:hAnsi="Times New Roman" w:eastAsia="宋体" w:cs="Times New Roman"/>
          <w:color w:val="auto"/>
          <w:spacing w:val="0"/>
          <w:w w:val="100"/>
          <w:position w:val="0"/>
          <w:sz w:val="24"/>
          <w:u w:val="none" w:color="auto"/>
          <w:lang w:val="en-US" w:eastAsia="zh-CN"/>
        </w:rPr>
        <w:t>引水渠施工不受导流影响，可以穿插施工。</w:t>
      </w:r>
    </w:p>
    <w:p w14:paraId="5085182B">
      <w:pPr>
        <w:spacing w:line="360" w:lineRule="auto"/>
        <w:ind w:firstLine="482" w:firstLineChars="200"/>
        <w:jc w:val="left"/>
        <w:rPr>
          <w:rFonts w:hint="default" w:ascii="Times New Roman" w:hAnsi="Times New Roman" w:eastAsia="宋体" w:cs="Times New Roman"/>
          <w:b/>
          <w:bCs/>
          <w:color w:val="auto"/>
          <w:spacing w:val="0"/>
          <w:w w:val="100"/>
          <w:position w:val="0"/>
          <w:sz w:val="24"/>
          <w:u w:val="none" w:color="auto"/>
          <w:lang w:eastAsia="zh-CN"/>
        </w:rPr>
      </w:pPr>
      <w:r>
        <w:rPr>
          <w:rFonts w:hint="default" w:ascii="Times New Roman" w:hAnsi="Times New Roman" w:eastAsia="宋体" w:cs="Times New Roman"/>
          <w:b/>
          <w:bCs/>
          <w:color w:val="auto"/>
          <w:spacing w:val="0"/>
          <w:w w:val="100"/>
          <w:position w:val="0"/>
          <w:sz w:val="24"/>
          <w:u w:val="none" w:color="auto"/>
          <w:lang w:val="en-US" w:eastAsia="zh-CN"/>
        </w:rPr>
        <w:t>2、</w:t>
      </w:r>
      <w:r>
        <w:rPr>
          <w:rFonts w:hint="default" w:ascii="Times New Roman" w:hAnsi="Times New Roman" w:eastAsia="宋体" w:cs="Times New Roman"/>
          <w:b/>
          <w:bCs/>
          <w:color w:val="auto"/>
          <w:spacing w:val="0"/>
          <w:w w:val="100"/>
          <w:position w:val="0"/>
          <w:sz w:val="24"/>
          <w:u w:val="none" w:color="auto"/>
          <w:lang w:eastAsia="zh-CN"/>
        </w:rPr>
        <w:t>防洪度汛</w:t>
      </w:r>
    </w:p>
    <w:p w14:paraId="415FE62D">
      <w:pPr>
        <w:spacing w:line="360" w:lineRule="auto"/>
        <w:ind w:firstLine="480" w:firstLineChars="200"/>
        <w:jc w:val="left"/>
        <w:rPr>
          <w:rFonts w:hint="default" w:ascii="Times New Roman" w:hAnsi="Times New Roman" w:eastAsia="宋体" w:cs="Times New Roman"/>
          <w:color w:val="auto"/>
          <w:spacing w:val="0"/>
          <w:w w:val="100"/>
          <w:position w:val="0"/>
          <w:sz w:val="24"/>
          <w:u w:val="none" w:color="auto"/>
          <w:lang w:eastAsia="zh-CN"/>
        </w:rPr>
      </w:pPr>
      <w:r>
        <w:rPr>
          <w:rFonts w:hint="default" w:ascii="Times New Roman" w:hAnsi="Times New Roman" w:eastAsia="宋体" w:cs="Times New Roman"/>
          <w:color w:val="auto"/>
          <w:spacing w:val="0"/>
          <w:w w:val="100"/>
          <w:position w:val="0"/>
          <w:sz w:val="24"/>
          <w:u w:val="none" w:color="auto"/>
          <w:lang w:eastAsia="zh-CN"/>
        </w:rPr>
        <w:t>按照施工单位进度计划，第二年汛前（3月底前），应完成大坝挡水系统，下闸蓄水。第二年汛期，本工程利用加固后的大坝挡水，溢洪道泄洪，度汛标准同永久工程一致，即100年一遇设计，1000年一遇校核。</w:t>
      </w:r>
    </w:p>
    <w:p w14:paraId="4B622594">
      <w:pPr>
        <w:spacing w:line="360" w:lineRule="auto"/>
        <w:ind w:firstLine="480" w:firstLineChars="200"/>
        <w:jc w:val="left"/>
        <w:rPr>
          <w:rFonts w:hint="default" w:ascii="Times New Roman" w:hAnsi="Times New Roman" w:eastAsia="宋体" w:cs="Times New Roman"/>
          <w:color w:val="auto"/>
          <w:spacing w:val="0"/>
          <w:w w:val="100"/>
          <w:position w:val="0"/>
          <w:sz w:val="24"/>
          <w:u w:val="none" w:color="auto"/>
          <w:lang w:eastAsia="zh-CN"/>
        </w:rPr>
      </w:pPr>
      <w:r>
        <w:rPr>
          <w:rFonts w:hint="default" w:ascii="Times New Roman" w:hAnsi="Times New Roman" w:eastAsia="宋体" w:cs="Times New Roman"/>
          <w:color w:val="auto"/>
          <w:spacing w:val="0"/>
          <w:w w:val="100"/>
          <w:position w:val="0"/>
          <w:sz w:val="24"/>
          <w:u w:val="none" w:color="auto"/>
          <w:lang w:eastAsia="zh-CN"/>
        </w:rPr>
        <w:t>3月底，除大坝坝顶以外的所有项目应全部完工。</w:t>
      </w:r>
    </w:p>
    <w:p w14:paraId="4D92A0C2">
      <w:pPr>
        <w:spacing w:line="360" w:lineRule="auto"/>
        <w:ind w:firstLine="480" w:firstLineChars="200"/>
        <w:jc w:val="left"/>
        <w:rPr>
          <w:rFonts w:hint="default" w:ascii="Times New Roman" w:hAnsi="Times New Roman" w:eastAsia="宋体" w:cs="Times New Roman"/>
          <w:color w:val="auto"/>
          <w:spacing w:val="0"/>
          <w:w w:val="100"/>
          <w:position w:val="0"/>
          <w:sz w:val="24"/>
          <w:u w:val="none" w:color="auto"/>
          <w:lang w:eastAsia="zh-CN"/>
        </w:rPr>
      </w:pPr>
      <w:r>
        <w:rPr>
          <w:rFonts w:hint="default" w:ascii="Times New Roman" w:hAnsi="Times New Roman" w:eastAsia="宋体" w:cs="Times New Roman"/>
          <w:color w:val="auto"/>
          <w:spacing w:val="0"/>
          <w:w w:val="100"/>
          <w:position w:val="0"/>
          <w:sz w:val="24"/>
          <w:u w:val="none" w:color="auto"/>
          <w:lang w:eastAsia="zh-CN"/>
        </w:rPr>
        <w:t>为保证顺利度汛，还应做好防洪度汛工作。成立防汛领导小组，编制工程防汛应急预案，建立防汛抢险指挥机构和防汛抢险队伍，建立防汛抢险警戒机制。做好水文、雨情预报工作，随时注意水情的动态变化，建立巡查值班制度，及时发现和处理险情。</w:t>
      </w:r>
    </w:p>
    <w:p w14:paraId="3BC6C174">
      <w:pPr>
        <w:spacing w:line="360" w:lineRule="auto"/>
        <w:ind w:firstLine="480" w:firstLineChars="200"/>
        <w:jc w:val="left"/>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u w:val="none" w:color="auto"/>
          <w:lang w:eastAsia="zh-CN"/>
        </w:rPr>
        <w:t>保持联系电话和防汛道路等24小时畅通，保证物资充足和设备完好，所有用于防洪抢险的人员、设备、材料应处于随时可以调动的状态，以避免高洪水位或大暴雨时发生破坏或者安全事故。</w:t>
      </w:r>
      <w:r>
        <w:rPr>
          <w:rFonts w:hint="default" w:ascii="Times New Roman" w:hAnsi="Times New Roman" w:eastAsia="宋体" w:cs="Times New Roman"/>
          <w:color w:val="auto"/>
          <w:spacing w:val="0"/>
          <w:w w:val="100"/>
          <w:position w:val="0"/>
          <w:sz w:val="24"/>
          <w:szCs w:val="24"/>
          <w:u w:val="none" w:color="auto"/>
          <w:lang w:val="en-US" w:eastAsia="zh-CN"/>
        </w:rPr>
        <w:t xml:space="preserve"> </w:t>
      </w:r>
    </w:p>
    <w:p w14:paraId="06B8C476">
      <w:pPr>
        <w:pStyle w:val="4"/>
        <w:bidi w:val="0"/>
        <w:rPr>
          <w:rFonts w:hint="default" w:ascii="Times New Roman" w:hAnsi="Times New Roman" w:cs="Times New Roman"/>
        </w:rPr>
      </w:pPr>
      <w:bookmarkStart w:id="102" w:name="_Toc21052"/>
      <w:r>
        <w:rPr>
          <w:rFonts w:hint="default" w:ascii="Times New Roman" w:hAnsi="Times New Roman" w:cs="Times New Roman"/>
        </w:rPr>
        <w:t>施工总布置</w:t>
      </w:r>
      <w:bookmarkEnd w:id="102"/>
    </w:p>
    <w:p w14:paraId="1F587167">
      <w:pPr>
        <w:pStyle w:val="5"/>
        <w:bidi w:val="0"/>
        <w:rPr>
          <w:rFonts w:hint="default" w:ascii="Times New Roman" w:hAnsi="Times New Roman" w:cs="Times New Roman"/>
        </w:rPr>
      </w:pPr>
      <w:r>
        <w:rPr>
          <w:rFonts w:hint="default" w:ascii="Times New Roman" w:hAnsi="Times New Roman" w:cs="Times New Roman"/>
          <w:lang w:val="en-US" w:eastAsia="zh-CN"/>
        </w:rPr>
        <w:t>施工仓库、施工工厂和生活福利设施</w:t>
      </w:r>
    </w:p>
    <w:p w14:paraId="4D05C11D">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施工布置遵循因地制宜、有利生产、方便生活、便于管理、安全经济的原则进行。</w:t>
      </w:r>
    </w:p>
    <w:p w14:paraId="100AD17F">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本工程施工临建设施采用集中为主、分散为辅的布置方式，主要布置于左坝头下游空地处，溢洪道、输水隧洞、引水渠和防汛公路沿线依据地形条件布置小型施工临建区。</w:t>
      </w:r>
    </w:p>
    <w:p w14:paraId="12298122">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 xml:space="preserve">生活福利设施尽量简化，宿舍、食堂、办公室和卫生间等生活福利设施租用周边民房。施工临建设施的建筑面积、占地面积详见表2.2-3。 </w:t>
      </w:r>
    </w:p>
    <w:p w14:paraId="6F1AB043">
      <w:pPr>
        <w:keepNext w:val="0"/>
        <w:keepLines w:val="0"/>
        <w:pageBreakBefore w:val="0"/>
        <w:widowControl w:val="0"/>
        <w:overflowPunct/>
        <w:autoSpaceDE/>
        <w:autoSpaceDN/>
        <w:bidi w:val="0"/>
        <w:snapToGrid/>
        <w:spacing w:line="360" w:lineRule="auto"/>
        <w:ind w:left="0" w:firstLine="482" w:firstLineChars="200"/>
        <w:jc w:val="center"/>
        <w:textAlignment w:val="auto"/>
        <w:rPr>
          <w:rFonts w:hint="default" w:ascii="Times New Roman" w:hAnsi="Times New Roman" w:eastAsia="宋体" w:cs="Times New Roman"/>
          <w:b/>
          <w:bCs/>
          <w:spacing w:val="0"/>
          <w:w w:val="100"/>
          <w:position w:val="0"/>
          <w:sz w:val="24"/>
          <w:szCs w:val="24"/>
        </w:rPr>
      </w:pPr>
      <w:r>
        <w:rPr>
          <w:rFonts w:hint="default" w:ascii="Times New Roman" w:hAnsi="Times New Roman" w:eastAsia="宋体" w:cs="Times New Roman"/>
          <w:b/>
          <w:bCs/>
          <w:color w:val="auto"/>
          <w:spacing w:val="0"/>
          <w:w w:val="100"/>
          <w:position w:val="0"/>
          <w:sz w:val="24"/>
          <w:szCs w:val="24"/>
          <w:u w:val="none" w:color="auto"/>
          <w:lang w:val="en-US" w:eastAsia="zh-CN"/>
        </w:rPr>
        <w:t xml:space="preserve">表2.2-3  </w:t>
      </w:r>
      <w:r>
        <w:rPr>
          <w:rFonts w:hint="default" w:ascii="Times New Roman" w:hAnsi="Times New Roman" w:eastAsia="宋体" w:cs="Times New Roman"/>
          <w:b/>
          <w:bCs/>
          <w:spacing w:val="0"/>
          <w:w w:val="100"/>
          <w:position w:val="0"/>
          <w:sz w:val="24"/>
          <w:szCs w:val="24"/>
        </w:rPr>
        <w:t>施工临建设施面积表</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2305"/>
        <w:gridCol w:w="1993"/>
        <w:gridCol w:w="1806"/>
        <w:gridCol w:w="2412"/>
      </w:tblGrid>
      <w:tr w14:paraId="0328469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blHeader/>
          <w:jc w:val="center"/>
        </w:trPr>
        <w:tc>
          <w:tcPr>
            <w:tcW w:w="2305" w:type="dxa"/>
            <w:tcBorders>
              <w:tl2br w:val="nil"/>
              <w:tr2bl w:val="nil"/>
            </w:tcBorders>
            <w:shd w:val="clear" w:color="auto" w:fill="auto"/>
            <w:noWrap/>
            <w:vAlign w:val="center"/>
          </w:tcPr>
          <w:p w14:paraId="4BE548C0">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项目</w:t>
            </w:r>
          </w:p>
        </w:tc>
        <w:tc>
          <w:tcPr>
            <w:tcW w:w="1993" w:type="dxa"/>
            <w:tcBorders>
              <w:tl2br w:val="nil"/>
              <w:tr2bl w:val="nil"/>
            </w:tcBorders>
            <w:shd w:val="clear" w:color="auto" w:fill="auto"/>
            <w:noWrap/>
            <w:vAlign w:val="center"/>
          </w:tcPr>
          <w:p w14:paraId="0B7429F3">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建筑面积（m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2</w:t>
            </w:r>
            <w:r>
              <w:rPr>
                <w:rFonts w:hint="default" w:ascii="Times New Roman" w:hAnsi="Times New Roman" w:eastAsia="宋体" w:cs="Times New Roman"/>
                <w:b/>
                <w:bCs/>
                <w:i w:val="0"/>
                <w:iCs w:val="0"/>
                <w:color w:val="000000"/>
                <w:kern w:val="0"/>
                <w:sz w:val="21"/>
                <w:szCs w:val="21"/>
                <w:u w:val="none"/>
                <w:lang w:val="en-US" w:eastAsia="zh-CN" w:bidi="ar"/>
              </w:rPr>
              <w:t>）</w:t>
            </w:r>
          </w:p>
        </w:tc>
        <w:tc>
          <w:tcPr>
            <w:tcW w:w="1806" w:type="dxa"/>
            <w:tcBorders>
              <w:tl2br w:val="nil"/>
              <w:tr2bl w:val="nil"/>
            </w:tcBorders>
            <w:shd w:val="clear" w:color="auto" w:fill="auto"/>
            <w:noWrap/>
            <w:vAlign w:val="center"/>
          </w:tcPr>
          <w:p w14:paraId="68167BBD">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占地面积（m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2</w:t>
            </w:r>
            <w:r>
              <w:rPr>
                <w:rFonts w:hint="default" w:ascii="Times New Roman" w:hAnsi="Times New Roman" w:eastAsia="宋体" w:cs="Times New Roman"/>
                <w:b/>
                <w:bCs/>
                <w:i w:val="0"/>
                <w:iCs w:val="0"/>
                <w:color w:val="000000"/>
                <w:kern w:val="0"/>
                <w:sz w:val="21"/>
                <w:szCs w:val="21"/>
                <w:u w:val="none"/>
                <w:lang w:val="en-US" w:eastAsia="zh-CN" w:bidi="ar"/>
              </w:rPr>
              <w:t>）</w:t>
            </w:r>
          </w:p>
        </w:tc>
        <w:tc>
          <w:tcPr>
            <w:tcW w:w="2412" w:type="dxa"/>
            <w:tcBorders>
              <w:tl2br w:val="nil"/>
              <w:tr2bl w:val="nil"/>
            </w:tcBorders>
            <w:shd w:val="clear" w:color="auto" w:fill="auto"/>
            <w:noWrap/>
            <w:vAlign w:val="center"/>
          </w:tcPr>
          <w:p w14:paraId="316B671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备注</w:t>
            </w:r>
          </w:p>
        </w:tc>
      </w:tr>
      <w:tr w14:paraId="4E2FFD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50F57A8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1、施工工厂</w:t>
            </w:r>
          </w:p>
        </w:tc>
        <w:tc>
          <w:tcPr>
            <w:tcW w:w="0" w:type="auto"/>
            <w:tcBorders>
              <w:tl2br w:val="nil"/>
              <w:tr2bl w:val="nil"/>
            </w:tcBorders>
            <w:shd w:val="clear" w:color="auto" w:fill="auto"/>
            <w:noWrap/>
            <w:vAlign w:val="center"/>
          </w:tcPr>
          <w:p w14:paraId="629364B9">
            <w:pPr>
              <w:spacing w:line="240" w:lineRule="auto"/>
              <w:jc w:val="center"/>
              <w:rPr>
                <w:rFonts w:hint="default" w:ascii="Times New Roman" w:hAnsi="Times New Roman" w:eastAsia="宋体" w:cs="Times New Roman"/>
                <w:i w:val="0"/>
                <w:iCs w:val="0"/>
                <w:color w:val="000000"/>
                <w:sz w:val="21"/>
                <w:szCs w:val="21"/>
                <w:u w:val="none"/>
              </w:rPr>
            </w:pPr>
          </w:p>
        </w:tc>
        <w:tc>
          <w:tcPr>
            <w:tcW w:w="1806" w:type="dxa"/>
            <w:tcBorders>
              <w:tl2br w:val="nil"/>
              <w:tr2bl w:val="nil"/>
            </w:tcBorders>
            <w:shd w:val="clear" w:color="auto" w:fill="auto"/>
            <w:noWrap/>
            <w:vAlign w:val="center"/>
          </w:tcPr>
          <w:p w14:paraId="4EAC81F9">
            <w:pPr>
              <w:spacing w:line="240" w:lineRule="auto"/>
              <w:jc w:val="center"/>
              <w:rPr>
                <w:rFonts w:hint="default" w:ascii="Times New Roman" w:hAnsi="Times New Roman" w:eastAsia="宋体" w:cs="Times New Roman"/>
                <w:i w:val="0"/>
                <w:iCs w:val="0"/>
                <w:color w:val="000000"/>
                <w:sz w:val="21"/>
                <w:szCs w:val="21"/>
                <w:u w:val="none"/>
              </w:rPr>
            </w:pPr>
          </w:p>
        </w:tc>
        <w:tc>
          <w:tcPr>
            <w:tcW w:w="2412" w:type="dxa"/>
            <w:tcBorders>
              <w:tl2br w:val="nil"/>
              <w:tr2bl w:val="nil"/>
            </w:tcBorders>
            <w:shd w:val="clear" w:color="auto" w:fill="auto"/>
            <w:noWrap/>
            <w:vAlign w:val="center"/>
          </w:tcPr>
          <w:p w14:paraId="2E649E75">
            <w:pPr>
              <w:spacing w:line="240" w:lineRule="auto"/>
              <w:jc w:val="center"/>
              <w:rPr>
                <w:rFonts w:hint="default" w:ascii="Times New Roman" w:hAnsi="Times New Roman" w:eastAsia="宋体" w:cs="Times New Roman"/>
                <w:i w:val="0"/>
                <w:iCs w:val="0"/>
                <w:color w:val="000000"/>
                <w:sz w:val="21"/>
                <w:szCs w:val="21"/>
                <w:u w:val="none"/>
              </w:rPr>
            </w:pPr>
          </w:p>
        </w:tc>
      </w:tr>
      <w:tr w14:paraId="1DAE47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1F22870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混凝土工厂</w:t>
            </w:r>
          </w:p>
        </w:tc>
        <w:tc>
          <w:tcPr>
            <w:tcW w:w="0" w:type="auto"/>
            <w:tcBorders>
              <w:tl2br w:val="nil"/>
              <w:tr2bl w:val="nil"/>
            </w:tcBorders>
            <w:shd w:val="clear" w:color="auto" w:fill="auto"/>
            <w:noWrap/>
            <w:vAlign w:val="center"/>
          </w:tcPr>
          <w:p w14:paraId="055A990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1806" w:type="dxa"/>
            <w:tcBorders>
              <w:tl2br w:val="nil"/>
              <w:tr2bl w:val="nil"/>
            </w:tcBorders>
            <w:shd w:val="clear" w:color="auto" w:fill="auto"/>
            <w:noWrap/>
            <w:vAlign w:val="center"/>
          </w:tcPr>
          <w:p w14:paraId="3A67F79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600</w:t>
            </w:r>
          </w:p>
        </w:tc>
        <w:tc>
          <w:tcPr>
            <w:tcW w:w="2412" w:type="dxa"/>
            <w:tcBorders>
              <w:tl2br w:val="nil"/>
              <w:tr2bl w:val="nil"/>
            </w:tcBorders>
            <w:shd w:val="clear" w:color="auto" w:fill="auto"/>
            <w:noWrap/>
            <w:vAlign w:val="center"/>
          </w:tcPr>
          <w:p w14:paraId="3DB6B548">
            <w:pPr>
              <w:spacing w:line="240" w:lineRule="auto"/>
              <w:jc w:val="center"/>
              <w:rPr>
                <w:rFonts w:hint="default" w:ascii="Times New Roman" w:hAnsi="Times New Roman" w:eastAsia="宋体" w:cs="Times New Roman"/>
                <w:i w:val="0"/>
                <w:iCs w:val="0"/>
                <w:color w:val="000000"/>
                <w:sz w:val="21"/>
                <w:szCs w:val="21"/>
                <w:u w:val="none"/>
              </w:rPr>
            </w:pPr>
          </w:p>
        </w:tc>
      </w:tr>
      <w:tr w14:paraId="4A178AD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0AC1595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制浆站</w:t>
            </w:r>
          </w:p>
        </w:tc>
        <w:tc>
          <w:tcPr>
            <w:tcW w:w="0" w:type="auto"/>
            <w:tcBorders>
              <w:tl2br w:val="nil"/>
              <w:tr2bl w:val="nil"/>
            </w:tcBorders>
            <w:shd w:val="clear" w:color="auto" w:fill="auto"/>
            <w:noWrap/>
            <w:vAlign w:val="center"/>
          </w:tcPr>
          <w:p w14:paraId="0552A95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1806" w:type="dxa"/>
            <w:tcBorders>
              <w:tl2br w:val="nil"/>
              <w:tr2bl w:val="nil"/>
            </w:tcBorders>
            <w:shd w:val="clear" w:color="auto" w:fill="auto"/>
            <w:noWrap/>
            <w:vAlign w:val="center"/>
          </w:tcPr>
          <w:p w14:paraId="3AF0444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200</w:t>
            </w:r>
          </w:p>
        </w:tc>
        <w:tc>
          <w:tcPr>
            <w:tcW w:w="2412" w:type="dxa"/>
            <w:tcBorders>
              <w:tl2br w:val="nil"/>
              <w:tr2bl w:val="nil"/>
            </w:tcBorders>
            <w:shd w:val="clear" w:color="auto" w:fill="auto"/>
            <w:noWrap/>
            <w:vAlign w:val="center"/>
          </w:tcPr>
          <w:p w14:paraId="47CC027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利用现有管理用房用地</w:t>
            </w:r>
          </w:p>
        </w:tc>
      </w:tr>
      <w:tr w14:paraId="231985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6571F70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钢筋加工厂</w:t>
            </w:r>
          </w:p>
        </w:tc>
        <w:tc>
          <w:tcPr>
            <w:tcW w:w="0" w:type="auto"/>
            <w:tcBorders>
              <w:tl2br w:val="nil"/>
              <w:tr2bl w:val="nil"/>
            </w:tcBorders>
            <w:shd w:val="clear" w:color="auto" w:fill="auto"/>
            <w:noWrap/>
            <w:vAlign w:val="center"/>
          </w:tcPr>
          <w:p w14:paraId="0AEBFB6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1806" w:type="dxa"/>
            <w:tcBorders>
              <w:tl2br w:val="nil"/>
              <w:tr2bl w:val="nil"/>
            </w:tcBorders>
            <w:shd w:val="clear" w:color="auto" w:fill="auto"/>
            <w:noWrap/>
            <w:vAlign w:val="center"/>
          </w:tcPr>
          <w:p w14:paraId="21D28B3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200</w:t>
            </w:r>
          </w:p>
        </w:tc>
        <w:tc>
          <w:tcPr>
            <w:tcW w:w="2412" w:type="dxa"/>
            <w:tcBorders>
              <w:tl2br w:val="nil"/>
              <w:tr2bl w:val="nil"/>
            </w:tcBorders>
            <w:shd w:val="clear" w:color="auto" w:fill="auto"/>
            <w:noWrap/>
            <w:vAlign w:val="center"/>
          </w:tcPr>
          <w:p w14:paraId="17C8F37A">
            <w:pPr>
              <w:spacing w:line="240" w:lineRule="auto"/>
              <w:jc w:val="center"/>
              <w:rPr>
                <w:rFonts w:hint="default" w:ascii="Times New Roman" w:hAnsi="Times New Roman" w:eastAsia="宋体" w:cs="Times New Roman"/>
                <w:i w:val="0"/>
                <w:iCs w:val="0"/>
                <w:color w:val="000000"/>
                <w:sz w:val="21"/>
                <w:szCs w:val="21"/>
                <w:u w:val="none"/>
              </w:rPr>
            </w:pPr>
          </w:p>
        </w:tc>
      </w:tr>
      <w:tr w14:paraId="7F5C98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3AA8444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木材加工厂</w:t>
            </w:r>
          </w:p>
        </w:tc>
        <w:tc>
          <w:tcPr>
            <w:tcW w:w="0" w:type="auto"/>
            <w:tcBorders>
              <w:tl2br w:val="nil"/>
              <w:tr2bl w:val="nil"/>
            </w:tcBorders>
            <w:shd w:val="clear" w:color="auto" w:fill="auto"/>
            <w:noWrap/>
            <w:vAlign w:val="center"/>
          </w:tcPr>
          <w:p w14:paraId="6889D7B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1806" w:type="dxa"/>
            <w:tcBorders>
              <w:tl2br w:val="nil"/>
              <w:tr2bl w:val="nil"/>
            </w:tcBorders>
            <w:shd w:val="clear" w:color="auto" w:fill="auto"/>
            <w:noWrap/>
            <w:vAlign w:val="center"/>
          </w:tcPr>
          <w:p w14:paraId="7754021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200</w:t>
            </w:r>
          </w:p>
        </w:tc>
        <w:tc>
          <w:tcPr>
            <w:tcW w:w="2412" w:type="dxa"/>
            <w:tcBorders>
              <w:tl2br w:val="nil"/>
              <w:tr2bl w:val="nil"/>
            </w:tcBorders>
            <w:shd w:val="clear" w:color="auto" w:fill="auto"/>
            <w:noWrap/>
            <w:vAlign w:val="center"/>
          </w:tcPr>
          <w:p w14:paraId="21716FAD">
            <w:pPr>
              <w:spacing w:line="240" w:lineRule="auto"/>
              <w:jc w:val="center"/>
              <w:rPr>
                <w:rFonts w:hint="default" w:ascii="Times New Roman" w:hAnsi="Times New Roman" w:eastAsia="宋体" w:cs="Times New Roman"/>
                <w:i w:val="0"/>
                <w:iCs w:val="0"/>
                <w:color w:val="000000"/>
                <w:sz w:val="21"/>
                <w:szCs w:val="21"/>
                <w:u w:val="none"/>
              </w:rPr>
            </w:pPr>
          </w:p>
        </w:tc>
      </w:tr>
      <w:tr w14:paraId="15346F3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6FDC776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机械设备停放场</w:t>
            </w:r>
          </w:p>
        </w:tc>
        <w:tc>
          <w:tcPr>
            <w:tcW w:w="0" w:type="auto"/>
            <w:tcBorders>
              <w:tl2br w:val="nil"/>
              <w:tr2bl w:val="nil"/>
            </w:tcBorders>
            <w:shd w:val="clear" w:color="auto" w:fill="auto"/>
            <w:noWrap/>
            <w:vAlign w:val="center"/>
          </w:tcPr>
          <w:p w14:paraId="79C46CF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806" w:type="dxa"/>
            <w:tcBorders>
              <w:tl2br w:val="nil"/>
              <w:tr2bl w:val="nil"/>
            </w:tcBorders>
            <w:shd w:val="clear" w:color="auto" w:fill="auto"/>
            <w:noWrap/>
            <w:vAlign w:val="center"/>
          </w:tcPr>
          <w:p w14:paraId="3D810B5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200</w:t>
            </w:r>
          </w:p>
        </w:tc>
        <w:tc>
          <w:tcPr>
            <w:tcW w:w="2412" w:type="dxa"/>
            <w:tcBorders>
              <w:tl2br w:val="nil"/>
              <w:tr2bl w:val="nil"/>
            </w:tcBorders>
            <w:shd w:val="clear" w:color="auto" w:fill="auto"/>
            <w:noWrap/>
            <w:vAlign w:val="center"/>
          </w:tcPr>
          <w:p w14:paraId="066B5A12">
            <w:pPr>
              <w:spacing w:line="240" w:lineRule="auto"/>
              <w:jc w:val="center"/>
              <w:rPr>
                <w:rFonts w:hint="default" w:ascii="Times New Roman" w:hAnsi="Times New Roman" w:eastAsia="宋体" w:cs="Times New Roman"/>
                <w:i w:val="0"/>
                <w:iCs w:val="0"/>
                <w:color w:val="000000"/>
                <w:sz w:val="21"/>
                <w:szCs w:val="21"/>
                <w:u w:val="none"/>
              </w:rPr>
            </w:pPr>
          </w:p>
        </w:tc>
      </w:tr>
      <w:tr w14:paraId="7B15C3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27374C5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试验室</w:t>
            </w:r>
          </w:p>
        </w:tc>
        <w:tc>
          <w:tcPr>
            <w:tcW w:w="0" w:type="auto"/>
            <w:tcBorders>
              <w:tl2br w:val="nil"/>
              <w:tr2bl w:val="nil"/>
            </w:tcBorders>
            <w:shd w:val="clear" w:color="auto" w:fill="auto"/>
            <w:noWrap/>
            <w:vAlign w:val="center"/>
          </w:tcPr>
          <w:p w14:paraId="2FE12EB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1806" w:type="dxa"/>
            <w:tcBorders>
              <w:tl2br w:val="nil"/>
              <w:tr2bl w:val="nil"/>
            </w:tcBorders>
            <w:shd w:val="clear" w:color="auto" w:fill="auto"/>
            <w:noWrap/>
            <w:vAlign w:val="center"/>
          </w:tcPr>
          <w:p w14:paraId="2D00268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2412" w:type="dxa"/>
            <w:tcBorders>
              <w:tl2br w:val="nil"/>
              <w:tr2bl w:val="nil"/>
            </w:tcBorders>
            <w:shd w:val="clear" w:color="auto" w:fill="auto"/>
            <w:noWrap/>
            <w:vAlign w:val="center"/>
          </w:tcPr>
          <w:p w14:paraId="28DCB11A">
            <w:pPr>
              <w:spacing w:line="240" w:lineRule="auto"/>
              <w:jc w:val="center"/>
              <w:rPr>
                <w:rFonts w:hint="default" w:ascii="Times New Roman" w:hAnsi="Times New Roman" w:eastAsia="宋体" w:cs="Times New Roman"/>
                <w:i w:val="0"/>
                <w:iCs w:val="0"/>
                <w:color w:val="000000"/>
                <w:sz w:val="21"/>
                <w:szCs w:val="21"/>
                <w:u w:val="none"/>
              </w:rPr>
            </w:pPr>
          </w:p>
        </w:tc>
      </w:tr>
      <w:tr w14:paraId="4688ACD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7E32862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水泵站</w:t>
            </w:r>
          </w:p>
        </w:tc>
        <w:tc>
          <w:tcPr>
            <w:tcW w:w="0" w:type="auto"/>
            <w:tcBorders>
              <w:tl2br w:val="nil"/>
              <w:tr2bl w:val="nil"/>
            </w:tcBorders>
            <w:shd w:val="clear" w:color="auto" w:fill="auto"/>
            <w:noWrap/>
            <w:vAlign w:val="center"/>
          </w:tcPr>
          <w:p w14:paraId="3BC7C81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1806" w:type="dxa"/>
            <w:tcBorders>
              <w:tl2br w:val="nil"/>
              <w:tr2bl w:val="nil"/>
            </w:tcBorders>
            <w:shd w:val="clear" w:color="auto" w:fill="auto"/>
            <w:noWrap/>
            <w:vAlign w:val="center"/>
          </w:tcPr>
          <w:p w14:paraId="75FBBCB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150</w:t>
            </w:r>
          </w:p>
        </w:tc>
        <w:tc>
          <w:tcPr>
            <w:tcW w:w="2412" w:type="dxa"/>
            <w:tcBorders>
              <w:tl2br w:val="nil"/>
              <w:tr2bl w:val="nil"/>
            </w:tcBorders>
            <w:shd w:val="clear" w:color="auto" w:fill="auto"/>
            <w:noWrap/>
            <w:vAlign w:val="center"/>
          </w:tcPr>
          <w:p w14:paraId="39C3333A">
            <w:pPr>
              <w:spacing w:line="240" w:lineRule="auto"/>
              <w:jc w:val="center"/>
              <w:rPr>
                <w:rFonts w:hint="default" w:ascii="Times New Roman" w:hAnsi="Times New Roman" w:eastAsia="宋体" w:cs="Times New Roman"/>
                <w:i w:val="0"/>
                <w:iCs w:val="0"/>
                <w:color w:val="000000"/>
                <w:sz w:val="21"/>
                <w:szCs w:val="21"/>
                <w:u w:val="none"/>
              </w:rPr>
            </w:pPr>
          </w:p>
        </w:tc>
      </w:tr>
      <w:tr w14:paraId="3E04E9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1A77431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2、施工仓库</w:t>
            </w:r>
          </w:p>
        </w:tc>
        <w:tc>
          <w:tcPr>
            <w:tcW w:w="0" w:type="auto"/>
            <w:tcBorders>
              <w:tl2br w:val="nil"/>
              <w:tr2bl w:val="nil"/>
            </w:tcBorders>
            <w:shd w:val="clear" w:color="auto" w:fill="auto"/>
            <w:noWrap/>
            <w:vAlign w:val="center"/>
          </w:tcPr>
          <w:p w14:paraId="112782CD">
            <w:pPr>
              <w:spacing w:line="240" w:lineRule="auto"/>
              <w:jc w:val="center"/>
              <w:rPr>
                <w:rFonts w:hint="default" w:ascii="Times New Roman" w:hAnsi="Times New Roman" w:eastAsia="宋体" w:cs="Times New Roman"/>
                <w:i w:val="0"/>
                <w:iCs w:val="0"/>
                <w:color w:val="000000"/>
                <w:sz w:val="21"/>
                <w:szCs w:val="21"/>
                <w:u w:val="none"/>
              </w:rPr>
            </w:pPr>
          </w:p>
        </w:tc>
        <w:tc>
          <w:tcPr>
            <w:tcW w:w="1806" w:type="dxa"/>
            <w:tcBorders>
              <w:tl2br w:val="nil"/>
              <w:tr2bl w:val="nil"/>
            </w:tcBorders>
            <w:shd w:val="clear" w:color="auto" w:fill="auto"/>
            <w:noWrap/>
            <w:vAlign w:val="center"/>
          </w:tcPr>
          <w:p w14:paraId="41FE8BC9">
            <w:pPr>
              <w:spacing w:line="240" w:lineRule="auto"/>
              <w:jc w:val="center"/>
              <w:rPr>
                <w:rFonts w:hint="default" w:ascii="Times New Roman" w:hAnsi="Times New Roman" w:eastAsia="宋体" w:cs="Times New Roman"/>
                <w:i w:val="0"/>
                <w:iCs w:val="0"/>
                <w:color w:val="000000"/>
                <w:sz w:val="21"/>
                <w:szCs w:val="21"/>
                <w:u w:val="none"/>
              </w:rPr>
            </w:pPr>
          </w:p>
        </w:tc>
        <w:tc>
          <w:tcPr>
            <w:tcW w:w="2412" w:type="dxa"/>
            <w:tcBorders>
              <w:tl2br w:val="nil"/>
              <w:tr2bl w:val="nil"/>
            </w:tcBorders>
            <w:shd w:val="clear" w:color="auto" w:fill="auto"/>
            <w:noWrap/>
            <w:vAlign w:val="center"/>
          </w:tcPr>
          <w:p w14:paraId="406C0F8C">
            <w:pPr>
              <w:spacing w:line="240" w:lineRule="auto"/>
              <w:jc w:val="center"/>
              <w:rPr>
                <w:rFonts w:hint="default" w:ascii="Times New Roman" w:hAnsi="Times New Roman" w:eastAsia="宋体" w:cs="Times New Roman"/>
                <w:i w:val="0"/>
                <w:iCs w:val="0"/>
                <w:color w:val="000000"/>
                <w:sz w:val="21"/>
                <w:szCs w:val="21"/>
                <w:u w:val="none"/>
              </w:rPr>
            </w:pPr>
          </w:p>
        </w:tc>
      </w:tr>
      <w:tr w14:paraId="2DC71D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741E4B9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水泥仓库</w:t>
            </w:r>
          </w:p>
        </w:tc>
        <w:tc>
          <w:tcPr>
            <w:tcW w:w="0" w:type="auto"/>
            <w:tcBorders>
              <w:tl2br w:val="nil"/>
              <w:tr2bl w:val="nil"/>
            </w:tcBorders>
            <w:shd w:val="clear" w:color="auto" w:fill="auto"/>
            <w:noWrap/>
            <w:vAlign w:val="center"/>
          </w:tcPr>
          <w:p w14:paraId="5625867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1806" w:type="dxa"/>
            <w:tcBorders>
              <w:tl2br w:val="nil"/>
              <w:tr2bl w:val="nil"/>
            </w:tcBorders>
            <w:shd w:val="clear" w:color="auto" w:fill="auto"/>
            <w:noWrap/>
            <w:vAlign w:val="center"/>
          </w:tcPr>
          <w:p w14:paraId="767FDBB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200</w:t>
            </w:r>
          </w:p>
        </w:tc>
        <w:tc>
          <w:tcPr>
            <w:tcW w:w="2412" w:type="dxa"/>
            <w:tcBorders>
              <w:tl2br w:val="nil"/>
              <w:tr2bl w:val="nil"/>
            </w:tcBorders>
            <w:shd w:val="clear" w:color="auto" w:fill="auto"/>
            <w:noWrap/>
            <w:vAlign w:val="center"/>
          </w:tcPr>
          <w:p w14:paraId="732F5806">
            <w:pPr>
              <w:spacing w:line="240" w:lineRule="auto"/>
              <w:jc w:val="center"/>
              <w:rPr>
                <w:rFonts w:hint="default" w:ascii="Times New Roman" w:hAnsi="Times New Roman" w:eastAsia="宋体" w:cs="Times New Roman"/>
                <w:i w:val="0"/>
                <w:iCs w:val="0"/>
                <w:color w:val="000000"/>
                <w:sz w:val="21"/>
                <w:szCs w:val="21"/>
                <w:u w:val="none"/>
              </w:rPr>
            </w:pPr>
          </w:p>
        </w:tc>
      </w:tr>
      <w:tr w14:paraId="1AC363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1EDDF55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其它材料仓库</w:t>
            </w:r>
          </w:p>
        </w:tc>
        <w:tc>
          <w:tcPr>
            <w:tcW w:w="0" w:type="auto"/>
            <w:tcBorders>
              <w:tl2br w:val="nil"/>
              <w:tr2bl w:val="nil"/>
            </w:tcBorders>
            <w:shd w:val="clear" w:color="auto" w:fill="auto"/>
            <w:noWrap/>
            <w:vAlign w:val="center"/>
          </w:tcPr>
          <w:p w14:paraId="08E5862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1806" w:type="dxa"/>
            <w:tcBorders>
              <w:tl2br w:val="nil"/>
              <w:tr2bl w:val="nil"/>
            </w:tcBorders>
            <w:shd w:val="clear" w:color="auto" w:fill="auto"/>
            <w:noWrap/>
            <w:vAlign w:val="center"/>
          </w:tcPr>
          <w:p w14:paraId="57B58D8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200</w:t>
            </w:r>
          </w:p>
        </w:tc>
        <w:tc>
          <w:tcPr>
            <w:tcW w:w="2412" w:type="dxa"/>
            <w:tcBorders>
              <w:tl2br w:val="nil"/>
              <w:tr2bl w:val="nil"/>
            </w:tcBorders>
            <w:shd w:val="clear" w:color="auto" w:fill="auto"/>
            <w:noWrap/>
            <w:vAlign w:val="center"/>
          </w:tcPr>
          <w:p w14:paraId="12F99932">
            <w:pPr>
              <w:spacing w:line="240" w:lineRule="auto"/>
              <w:jc w:val="center"/>
              <w:rPr>
                <w:rFonts w:hint="default" w:ascii="Times New Roman" w:hAnsi="Times New Roman" w:eastAsia="宋体" w:cs="Times New Roman"/>
                <w:i w:val="0"/>
                <w:iCs w:val="0"/>
                <w:color w:val="000000"/>
                <w:sz w:val="21"/>
                <w:szCs w:val="21"/>
                <w:u w:val="none"/>
              </w:rPr>
            </w:pPr>
          </w:p>
        </w:tc>
      </w:tr>
      <w:tr w14:paraId="027F38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6E85E8B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3、生活福利设施</w:t>
            </w:r>
          </w:p>
        </w:tc>
        <w:tc>
          <w:tcPr>
            <w:tcW w:w="0" w:type="auto"/>
            <w:tcBorders>
              <w:tl2br w:val="nil"/>
              <w:tr2bl w:val="nil"/>
            </w:tcBorders>
            <w:shd w:val="clear" w:color="auto" w:fill="auto"/>
            <w:noWrap/>
            <w:vAlign w:val="center"/>
          </w:tcPr>
          <w:p w14:paraId="440C8EA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1600</w:t>
            </w:r>
          </w:p>
        </w:tc>
        <w:tc>
          <w:tcPr>
            <w:tcW w:w="1806" w:type="dxa"/>
            <w:tcBorders>
              <w:tl2br w:val="nil"/>
              <w:tr2bl w:val="nil"/>
            </w:tcBorders>
            <w:shd w:val="clear" w:color="auto" w:fill="auto"/>
            <w:noWrap/>
            <w:vAlign w:val="center"/>
          </w:tcPr>
          <w:p w14:paraId="42C55E5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2412" w:type="dxa"/>
            <w:tcBorders>
              <w:tl2br w:val="nil"/>
              <w:tr2bl w:val="nil"/>
            </w:tcBorders>
            <w:shd w:val="clear" w:color="auto" w:fill="auto"/>
            <w:noWrap/>
            <w:vAlign w:val="center"/>
          </w:tcPr>
          <w:p w14:paraId="7105184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租用民房</w:t>
            </w:r>
          </w:p>
        </w:tc>
      </w:tr>
      <w:tr w14:paraId="141FA44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tcBorders>
              <w:tl2br w:val="nil"/>
              <w:tr2bl w:val="nil"/>
            </w:tcBorders>
            <w:shd w:val="clear" w:color="auto" w:fill="auto"/>
            <w:noWrap/>
            <w:vAlign w:val="center"/>
          </w:tcPr>
          <w:p w14:paraId="1834F87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合计</w:t>
            </w:r>
          </w:p>
        </w:tc>
        <w:tc>
          <w:tcPr>
            <w:tcW w:w="0" w:type="auto"/>
            <w:tcBorders>
              <w:tl2br w:val="nil"/>
              <w:tr2bl w:val="nil"/>
            </w:tcBorders>
            <w:shd w:val="clear" w:color="auto" w:fill="auto"/>
            <w:noWrap/>
            <w:vAlign w:val="center"/>
          </w:tcPr>
          <w:p w14:paraId="5157C18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2130</w:t>
            </w:r>
          </w:p>
        </w:tc>
        <w:tc>
          <w:tcPr>
            <w:tcW w:w="1806" w:type="dxa"/>
            <w:tcBorders>
              <w:tl2br w:val="nil"/>
              <w:tr2bl w:val="nil"/>
            </w:tcBorders>
            <w:shd w:val="clear" w:color="auto" w:fill="auto"/>
            <w:noWrap/>
            <w:vAlign w:val="center"/>
          </w:tcPr>
          <w:p w14:paraId="762B1C4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2000</w:t>
            </w:r>
          </w:p>
        </w:tc>
        <w:tc>
          <w:tcPr>
            <w:tcW w:w="2412" w:type="dxa"/>
            <w:tcBorders>
              <w:tl2br w:val="nil"/>
              <w:tr2bl w:val="nil"/>
            </w:tcBorders>
            <w:shd w:val="clear" w:color="auto" w:fill="auto"/>
            <w:noWrap/>
            <w:vAlign w:val="center"/>
          </w:tcPr>
          <w:p w14:paraId="3E17B906">
            <w:pPr>
              <w:spacing w:line="240" w:lineRule="auto"/>
              <w:jc w:val="center"/>
              <w:rPr>
                <w:rFonts w:hint="default" w:ascii="Times New Roman" w:hAnsi="Times New Roman" w:eastAsia="宋体" w:cs="Times New Roman"/>
                <w:i w:val="0"/>
                <w:iCs w:val="0"/>
                <w:color w:val="000000"/>
                <w:sz w:val="21"/>
                <w:szCs w:val="21"/>
                <w:u w:val="none"/>
              </w:rPr>
            </w:pPr>
          </w:p>
        </w:tc>
      </w:tr>
    </w:tbl>
    <w:p w14:paraId="261FB127">
      <w:pPr>
        <w:pStyle w:val="5"/>
        <w:bidi w:val="0"/>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bidi="ar-SA"/>
        </w:rPr>
      </w:pPr>
      <w:r>
        <w:rPr>
          <w:rFonts w:hint="default" w:ascii="Times New Roman" w:hAnsi="Times New Roman" w:eastAsia="宋体" w:cs="Times New Roman"/>
          <w:b/>
          <w:bCs/>
          <w:spacing w:val="0"/>
          <w:w w:val="100"/>
          <w:position w:val="0"/>
          <w:sz w:val="24"/>
          <w:szCs w:val="24"/>
        </w:rPr>
        <w:t>弃渣场规划</w:t>
      </w:r>
    </w:p>
    <w:p w14:paraId="5158420B">
      <w:pPr>
        <w:spacing w:line="360" w:lineRule="auto"/>
        <w:ind w:firstLine="480" w:firstLineChars="200"/>
        <w:jc w:val="left"/>
        <w:rPr>
          <w:rFonts w:hint="default" w:ascii="Times New Roman" w:hAnsi="Times New Roman" w:eastAsia="宋体" w:cs="Times New Roman"/>
          <w:color w:val="auto"/>
          <w:spacing w:val="0"/>
          <w:w w:val="100"/>
          <w:position w:val="0"/>
          <w:sz w:val="24"/>
          <w:u w:val="none" w:color="auto"/>
          <w:lang w:eastAsia="zh-CN"/>
        </w:rPr>
      </w:pPr>
      <w:r>
        <w:rPr>
          <w:rFonts w:hint="default" w:ascii="Times New Roman" w:hAnsi="Times New Roman" w:eastAsia="宋体" w:cs="Times New Roman"/>
          <w:color w:val="auto"/>
          <w:spacing w:val="0"/>
          <w:w w:val="100"/>
          <w:position w:val="0"/>
          <w:sz w:val="24"/>
          <w:u w:val="none" w:color="auto"/>
          <w:lang w:eastAsia="zh-CN"/>
        </w:rPr>
        <w:t>根据项目初步设计报告和水土保持方案报告，经土石方平衡规划，本次除险加固工程弃渣量为0.99万m</w:t>
      </w:r>
      <w:r>
        <w:rPr>
          <w:rFonts w:hint="default" w:ascii="Times New Roman" w:hAnsi="Times New Roman" w:eastAsia="宋体" w:cs="Times New Roman"/>
          <w:color w:val="auto"/>
          <w:spacing w:val="0"/>
          <w:w w:val="100"/>
          <w:position w:val="0"/>
          <w:sz w:val="24"/>
          <w:u w:val="none" w:color="auto"/>
          <w:vertAlign w:val="superscript"/>
          <w:lang w:eastAsia="zh-CN"/>
        </w:rPr>
        <w:t>3</w:t>
      </w:r>
      <w:r>
        <w:rPr>
          <w:rFonts w:hint="default" w:ascii="Times New Roman" w:hAnsi="Times New Roman" w:eastAsia="宋体" w:cs="Times New Roman"/>
          <w:color w:val="auto"/>
          <w:spacing w:val="0"/>
          <w:w w:val="100"/>
          <w:position w:val="0"/>
          <w:sz w:val="24"/>
          <w:u w:val="none" w:color="auto"/>
          <w:lang w:eastAsia="zh-CN"/>
        </w:rPr>
        <w:t>。经与建设方和施工方核实，原规划弃渣场占用基本农田，因此将原来引水渠沿线的弃渣场重新选址于大坝下游左侧空地，占地面积约为</w:t>
      </w:r>
      <w:r>
        <w:rPr>
          <w:rFonts w:hint="default" w:ascii="Times New Roman" w:hAnsi="Times New Roman" w:eastAsia="宋体" w:cs="Times New Roman"/>
          <w:color w:val="auto"/>
          <w:spacing w:val="0"/>
          <w:w w:val="100"/>
          <w:position w:val="0"/>
          <w:sz w:val="24"/>
          <w:u w:val="none" w:color="auto"/>
          <w:lang w:val="en-US" w:eastAsia="zh-CN"/>
        </w:rPr>
        <w:t>0.19hm</w:t>
      </w:r>
      <w:r>
        <w:rPr>
          <w:rFonts w:hint="default" w:ascii="Times New Roman" w:hAnsi="Times New Roman" w:eastAsia="宋体" w:cs="Times New Roman"/>
          <w:color w:val="auto"/>
          <w:spacing w:val="0"/>
          <w:w w:val="100"/>
          <w:position w:val="0"/>
          <w:sz w:val="24"/>
          <w:u w:val="none" w:color="auto"/>
          <w:vertAlign w:val="superscript"/>
          <w:lang w:val="en-US" w:eastAsia="zh-CN"/>
        </w:rPr>
        <w:t>2</w:t>
      </w:r>
      <w:r>
        <w:rPr>
          <w:rFonts w:hint="default" w:ascii="Times New Roman" w:hAnsi="Times New Roman" w:eastAsia="宋体" w:cs="Times New Roman"/>
          <w:color w:val="auto"/>
          <w:spacing w:val="0"/>
          <w:w w:val="100"/>
          <w:position w:val="0"/>
          <w:sz w:val="24"/>
          <w:u w:val="none" w:color="auto"/>
          <w:lang w:val="en-US" w:eastAsia="zh-CN"/>
        </w:rPr>
        <w:t>。</w:t>
      </w:r>
    </w:p>
    <w:p w14:paraId="5EDB885E">
      <w:pPr>
        <w:adjustRightInd w:val="0"/>
        <w:snapToGrid w:val="0"/>
        <w:spacing w:line="360" w:lineRule="auto"/>
        <w:jc w:val="center"/>
        <w:rPr>
          <w:rFonts w:hint="default" w:ascii="Times New Roman" w:hAnsi="Times New Roman" w:eastAsia="宋体" w:cs="Times New Roman"/>
          <w:b/>
          <w:bCs/>
          <w:color w:val="auto"/>
          <w:spacing w:val="0"/>
          <w:w w:val="100"/>
          <w:position w:val="0"/>
          <w:sz w:val="24"/>
          <w:szCs w:val="24"/>
          <w:u w:val="none" w:color="auto"/>
          <w:lang w:eastAsia="zh-CN"/>
        </w:rPr>
      </w:pPr>
      <w:r>
        <w:rPr>
          <w:rFonts w:hint="default" w:ascii="Times New Roman" w:hAnsi="Times New Roman" w:eastAsia="宋体" w:cs="Times New Roman"/>
          <w:b/>
          <w:bCs/>
          <w:color w:val="auto"/>
          <w:spacing w:val="0"/>
          <w:w w:val="100"/>
          <w:position w:val="0"/>
          <w:sz w:val="24"/>
          <w:szCs w:val="24"/>
          <w:u w:val="none" w:color="auto"/>
          <w:lang w:val="en-US" w:eastAsia="zh-CN"/>
        </w:rPr>
        <w:t xml:space="preserve">表2.2-4  </w:t>
      </w:r>
      <w:r>
        <w:rPr>
          <w:rFonts w:hint="default" w:ascii="Times New Roman" w:hAnsi="Times New Roman" w:eastAsia="宋体" w:cs="Times New Roman"/>
          <w:b/>
          <w:bCs/>
          <w:color w:val="auto"/>
          <w:spacing w:val="0"/>
          <w:w w:val="100"/>
          <w:position w:val="0"/>
          <w:sz w:val="24"/>
          <w:szCs w:val="24"/>
          <w:u w:val="none" w:color="auto"/>
          <w:lang w:eastAsia="zh-CN"/>
        </w:rPr>
        <w:t>弃渣场规划表</w:t>
      </w:r>
    </w:p>
    <w:tbl>
      <w:tblPr>
        <w:tblStyle w:val="39"/>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756"/>
        <w:gridCol w:w="1200"/>
        <w:gridCol w:w="1329"/>
        <w:gridCol w:w="1371"/>
        <w:gridCol w:w="1485"/>
        <w:gridCol w:w="1373"/>
      </w:tblGrid>
      <w:tr w14:paraId="3FE61B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blHeader/>
          <w:jc w:val="center"/>
        </w:trPr>
        <w:tc>
          <w:tcPr>
            <w:tcW w:w="1756" w:type="dxa"/>
            <w:tcBorders>
              <w:tl2br w:val="nil"/>
              <w:tr2bl w:val="nil"/>
            </w:tcBorders>
            <w:shd w:val="clear" w:color="auto" w:fill="auto"/>
            <w:noWrap/>
            <w:vAlign w:val="center"/>
          </w:tcPr>
          <w:p w14:paraId="5FFEACE2">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u w:val="none"/>
                <w:lang w:eastAsia="zh-CN"/>
              </w:rPr>
            </w:pPr>
            <w:r>
              <w:rPr>
                <w:rFonts w:hint="default" w:ascii="Times New Roman" w:hAnsi="Times New Roman" w:eastAsia="宋体" w:cs="Times New Roman"/>
                <w:b/>
                <w:bCs/>
                <w:i w:val="0"/>
                <w:iCs w:val="0"/>
                <w:color w:val="auto"/>
                <w:sz w:val="21"/>
                <w:szCs w:val="21"/>
                <w:u w:val="none"/>
                <w:lang w:eastAsia="zh-CN"/>
              </w:rPr>
              <w:t>弃渣场名称</w:t>
            </w:r>
          </w:p>
        </w:tc>
        <w:tc>
          <w:tcPr>
            <w:tcW w:w="1200" w:type="dxa"/>
            <w:tcBorders>
              <w:tl2br w:val="nil"/>
              <w:tr2bl w:val="nil"/>
            </w:tcBorders>
            <w:shd w:val="clear" w:color="auto" w:fill="auto"/>
            <w:noWrap/>
            <w:vAlign w:val="center"/>
          </w:tcPr>
          <w:p w14:paraId="3577EDCD">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弃渣量</w:t>
            </w:r>
          </w:p>
        </w:tc>
        <w:tc>
          <w:tcPr>
            <w:tcW w:w="1329" w:type="dxa"/>
            <w:tcBorders>
              <w:tl2br w:val="nil"/>
              <w:tr2bl w:val="nil"/>
            </w:tcBorders>
            <w:shd w:val="clear" w:color="auto" w:fill="auto"/>
            <w:noWrap/>
            <w:vAlign w:val="center"/>
          </w:tcPr>
          <w:p w14:paraId="5176A25C">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default" w:ascii="Times New Roman" w:hAnsi="Times New Roman" w:eastAsia="宋体" w:cs="Times New Roman"/>
                <w:b/>
                <w:bCs/>
                <w:i w:val="0"/>
                <w:iCs w:val="0"/>
                <w:color w:val="auto"/>
                <w:kern w:val="0"/>
                <w:sz w:val="21"/>
                <w:szCs w:val="21"/>
                <w:u w:val="none"/>
                <w:lang w:val="en-US" w:eastAsia="zh-CN" w:bidi="ar"/>
              </w:rPr>
              <w:t>原地面高程</w:t>
            </w:r>
          </w:p>
        </w:tc>
        <w:tc>
          <w:tcPr>
            <w:tcW w:w="1371" w:type="dxa"/>
            <w:tcBorders>
              <w:tl2br w:val="nil"/>
              <w:tr2bl w:val="nil"/>
            </w:tcBorders>
            <w:shd w:val="clear" w:color="auto" w:fill="auto"/>
            <w:noWrap/>
            <w:vAlign w:val="center"/>
          </w:tcPr>
          <w:p w14:paraId="7F849C8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default" w:ascii="Times New Roman" w:hAnsi="Times New Roman" w:eastAsia="宋体" w:cs="Times New Roman"/>
                <w:b/>
                <w:bCs/>
                <w:i w:val="0"/>
                <w:iCs w:val="0"/>
                <w:color w:val="auto"/>
                <w:kern w:val="0"/>
                <w:sz w:val="21"/>
                <w:szCs w:val="21"/>
                <w:u w:val="none"/>
                <w:lang w:val="en-US" w:eastAsia="zh-CN" w:bidi="ar"/>
              </w:rPr>
              <w:t>弃渣后高程</w:t>
            </w:r>
          </w:p>
        </w:tc>
        <w:tc>
          <w:tcPr>
            <w:tcW w:w="1485" w:type="dxa"/>
            <w:tcBorders>
              <w:tl2br w:val="nil"/>
              <w:tr2bl w:val="nil"/>
            </w:tcBorders>
            <w:shd w:val="clear" w:color="auto" w:fill="auto"/>
            <w:noWrap/>
            <w:vAlign w:val="center"/>
          </w:tcPr>
          <w:p w14:paraId="2BE0B4C5">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u w:val="none"/>
                <w:lang w:eastAsia="zh-CN"/>
              </w:rPr>
            </w:pPr>
            <w:r>
              <w:rPr>
                <w:rFonts w:hint="default" w:ascii="Times New Roman" w:hAnsi="Times New Roman" w:eastAsia="宋体" w:cs="Times New Roman"/>
                <w:b/>
                <w:bCs/>
                <w:i w:val="0"/>
                <w:iCs w:val="0"/>
                <w:color w:val="auto"/>
                <w:sz w:val="21"/>
                <w:szCs w:val="21"/>
                <w:u w:val="none"/>
                <w:lang w:eastAsia="zh-CN"/>
              </w:rPr>
              <w:t>弃渣平均高度</w:t>
            </w:r>
          </w:p>
        </w:tc>
        <w:tc>
          <w:tcPr>
            <w:tcW w:w="1373" w:type="dxa"/>
            <w:tcBorders>
              <w:tl2br w:val="nil"/>
              <w:tr2bl w:val="nil"/>
            </w:tcBorders>
            <w:shd w:val="clear" w:color="auto" w:fill="auto"/>
            <w:noWrap/>
            <w:vAlign w:val="center"/>
          </w:tcPr>
          <w:p w14:paraId="4AF6F6AE">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弃渣面积</w:t>
            </w:r>
          </w:p>
        </w:tc>
      </w:tr>
      <w:tr w14:paraId="488C19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56" w:type="dxa"/>
            <w:tcBorders>
              <w:tl2br w:val="nil"/>
              <w:tr2bl w:val="nil"/>
            </w:tcBorders>
            <w:shd w:val="clear" w:color="auto" w:fill="auto"/>
            <w:noWrap/>
            <w:vAlign w:val="center"/>
          </w:tcPr>
          <w:p w14:paraId="7165514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lang w:eastAsia="zh-CN"/>
              </w:rPr>
            </w:pPr>
            <w:r>
              <w:rPr>
                <w:rFonts w:hint="default" w:ascii="Times New Roman" w:hAnsi="Times New Roman" w:eastAsia="宋体" w:cs="Times New Roman"/>
                <w:i w:val="0"/>
                <w:iCs w:val="0"/>
                <w:color w:val="auto"/>
                <w:sz w:val="21"/>
                <w:szCs w:val="21"/>
                <w:u w:val="none"/>
                <w:lang w:eastAsia="zh-CN"/>
              </w:rPr>
              <w:t>大坝下游弃渣场</w:t>
            </w:r>
          </w:p>
        </w:tc>
        <w:tc>
          <w:tcPr>
            <w:tcW w:w="1200" w:type="dxa"/>
            <w:tcBorders>
              <w:tl2br w:val="nil"/>
              <w:tr2bl w:val="nil"/>
            </w:tcBorders>
            <w:shd w:val="clear" w:color="auto" w:fill="auto"/>
            <w:noWrap/>
            <w:vAlign w:val="center"/>
          </w:tcPr>
          <w:p w14:paraId="563F55A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0.99</w:t>
            </w:r>
            <w:r>
              <w:rPr>
                <w:rFonts w:hint="default" w:ascii="Times New Roman" w:hAnsi="Times New Roman" w:eastAsia="宋体" w:cs="Times New Roman"/>
                <w:color w:val="auto"/>
                <w:spacing w:val="0"/>
                <w:w w:val="100"/>
                <w:position w:val="0"/>
                <w:sz w:val="24"/>
                <w:u w:val="none" w:color="auto"/>
                <w:lang w:eastAsia="zh-CN"/>
              </w:rPr>
              <w:t>万m</w:t>
            </w:r>
            <w:r>
              <w:rPr>
                <w:rFonts w:hint="default" w:ascii="Times New Roman" w:hAnsi="Times New Roman" w:eastAsia="宋体" w:cs="Times New Roman"/>
                <w:color w:val="auto"/>
                <w:spacing w:val="0"/>
                <w:w w:val="100"/>
                <w:position w:val="0"/>
                <w:sz w:val="24"/>
                <w:u w:val="none" w:color="auto"/>
                <w:vertAlign w:val="superscript"/>
                <w:lang w:eastAsia="zh-CN"/>
              </w:rPr>
              <w:t>3</w:t>
            </w:r>
          </w:p>
        </w:tc>
        <w:tc>
          <w:tcPr>
            <w:tcW w:w="1329" w:type="dxa"/>
            <w:tcBorders>
              <w:tl2br w:val="nil"/>
              <w:tr2bl w:val="nil"/>
            </w:tcBorders>
            <w:shd w:val="clear" w:color="auto" w:fill="auto"/>
            <w:noWrap/>
            <w:vAlign w:val="center"/>
          </w:tcPr>
          <w:p w14:paraId="170EC3A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4</w:t>
            </w:r>
            <w:r>
              <w:rPr>
                <w:rFonts w:hint="eastAsia" w:ascii="Times New Roman" w:hAnsi="Times New Roman" w:eastAsia="宋体" w:cs="Times New Roman"/>
                <w:i w:val="0"/>
                <w:iCs w:val="0"/>
                <w:color w:val="auto"/>
                <w:sz w:val="21"/>
                <w:szCs w:val="21"/>
                <w:u w:val="none"/>
                <w:lang w:val="en-US" w:eastAsia="zh-CN"/>
              </w:rPr>
              <w:t>8.7</w:t>
            </w:r>
            <w:r>
              <w:rPr>
                <w:rFonts w:hint="default" w:ascii="Times New Roman" w:hAnsi="Times New Roman" w:eastAsia="宋体" w:cs="Times New Roman"/>
                <w:i w:val="0"/>
                <w:iCs w:val="0"/>
                <w:color w:val="auto"/>
                <w:sz w:val="21"/>
                <w:szCs w:val="21"/>
                <w:u w:val="none"/>
                <w:lang w:val="en-US" w:eastAsia="zh-CN"/>
              </w:rPr>
              <w:t>-54</w:t>
            </w:r>
            <w:r>
              <w:rPr>
                <w:rFonts w:hint="default" w:ascii="Times New Roman" w:hAnsi="Times New Roman" w:eastAsia="宋体" w:cs="Times New Roman"/>
                <w:color w:val="auto"/>
                <w:spacing w:val="0"/>
                <w:w w:val="100"/>
                <w:position w:val="0"/>
                <w:sz w:val="24"/>
                <w:u w:val="none" w:color="auto"/>
                <w:lang w:eastAsia="zh-CN"/>
              </w:rPr>
              <w:t>m</w:t>
            </w:r>
          </w:p>
        </w:tc>
        <w:tc>
          <w:tcPr>
            <w:tcW w:w="1371" w:type="dxa"/>
            <w:tcBorders>
              <w:tl2br w:val="nil"/>
              <w:tr2bl w:val="nil"/>
            </w:tcBorders>
            <w:shd w:val="clear" w:color="auto" w:fill="auto"/>
            <w:noWrap/>
            <w:vAlign w:val="center"/>
          </w:tcPr>
          <w:p w14:paraId="3ECF92C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5</w:t>
            </w:r>
            <w:r>
              <w:rPr>
                <w:rFonts w:hint="eastAsia" w:ascii="Times New Roman" w:hAnsi="Times New Roman" w:eastAsia="宋体" w:cs="Times New Roman"/>
                <w:i w:val="0"/>
                <w:iCs w:val="0"/>
                <w:color w:val="auto"/>
                <w:sz w:val="21"/>
                <w:szCs w:val="21"/>
                <w:u w:val="none"/>
                <w:lang w:val="en-US" w:eastAsia="zh-CN"/>
              </w:rPr>
              <w:t>4</w:t>
            </w:r>
            <w:r>
              <w:rPr>
                <w:rFonts w:hint="default" w:ascii="Times New Roman" w:hAnsi="Times New Roman" w:eastAsia="宋体" w:cs="Times New Roman"/>
                <w:i w:val="0"/>
                <w:iCs w:val="0"/>
                <w:color w:val="auto"/>
                <w:sz w:val="21"/>
                <w:szCs w:val="21"/>
                <w:u w:val="none"/>
                <w:lang w:val="en-US" w:eastAsia="zh-CN"/>
              </w:rPr>
              <w:t>-5</w:t>
            </w:r>
            <w:r>
              <w:rPr>
                <w:rFonts w:hint="eastAsia" w:ascii="Times New Roman" w:hAnsi="Times New Roman" w:eastAsia="宋体" w:cs="Times New Roman"/>
                <w:i w:val="0"/>
                <w:iCs w:val="0"/>
                <w:color w:val="auto"/>
                <w:sz w:val="21"/>
                <w:szCs w:val="21"/>
                <w:u w:val="none"/>
                <w:lang w:val="en-US" w:eastAsia="zh-CN"/>
              </w:rPr>
              <w:t>5</w:t>
            </w:r>
            <w:r>
              <w:rPr>
                <w:rFonts w:hint="default" w:ascii="Times New Roman" w:hAnsi="Times New Roman" w:eastAsia="宋体" w:cs="Times New Roman"/>
                <w:color w:val="auto"/>
                <w:spacing w:val="0"/>
                <w:w w:val="100"/>
                <w:position w:val="0"/>
                <w:sz w:val="24"/>
                <w:u w:val="none" w:color="auto"/>
                <w:lang w:eastAsia="zh-CN"/>
              </w:rPr>
              <w:t>m</w:t>
            </w:r>
          </w:p>
        </w:tc>
        <w:tc>
          <w:tcPr>
            <w:tcW w:w="1485" w:type="dxa"/>
            <w:tcBorders>
              <w:tl2br w:val="nil"/>
              <w:tr2bl w:val="nil"/>
            </w:tcBorders>
            <w:shd w:val="clear" w:color="auto" w:fill="auto"/>
            <w:noWrap/>
            <w:vAlign w:val="center"/>
          </w:tcPr>
          <w:p w14:paraId="18AEE8B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5</w:t>
            </w:r>
            <w:r>
              <w:rPr>
                <w:rFonts w:hint="default" w:ascii="Times New Roman" w:hAnsi="Times New Roman" w:eastAsia="宋体" w:cs="Times New Roman"/>
                <w:i w:val="0"/>
                <w:iCs w:val="0"/>
                <w:color w:val="auto"/>
                <w:sz w:val="21"/>
                <w:szCs w:val="21"/>
                <w:u w:val="none"/>
                <w:lang w:val="en-US" w:eastAsia="zh-CN"/>
              </w:rPr>
              <w:t>.5</w:t>
            </w:r>
            <w:r>
              <w:rPr>
                <w:rFonts w:hint="default" w:ascii="Times New Roman" w:hAnsi="Times New Roman" w:eastAsia="宋体" w:cs="Times New Roman"/>
                <w:color w:val="auto"/>
                <w:spacing w:val="0"/>
                <w:w w:val="100"/>
                <w:position w:val="0"/>
                <w:sz w:val="24"/>
                <w:u w:val="none" w:color="auto"/>
                <w:lang w:eastAsia="zh-CN"/>
              </w:rPr>
              <w:t>m</w:t>
            </w:r>
          </w:p>
        </w:tc>
        <w:tc>
          <w:tcPr>
            <w:tcW w:w="1373" w:type="dxa"/>
            <w:tcBorders>
              <w:tl2br w:val="nil"/>
              <w:tr2bl w:val="nil"/>
            </w:tcBorders>
            <w:shd w:val="clear" w:color="auto" w:fill="auto"/>
            <w:noWrap/>
            <w:vAlign w:val="center"/>
          </w:tcPr>
          <w:p w14:paraId="6BAAE813">
            <w:pPr>
              <w:spacing w:line="240" w:lineRule="auto"/>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1900</w:t>
            </w:r>
            <w:r>
              <w:rPr>
                <w:rFonts w:hint="default" w:ascii="Times New Roman" w:hAnsi="Times New Roman" w:eastAsia="宋体" w:cs="Times New Roman"/>
                <w:color w:val="auto"/>
                <w:spacing w:val="0"/>
                <w:w w:val="100"/>
                <w:position w:val="0"/>
                <w:sz w:val="24"/>
                <w:u w:val="none" w:color="auto"/>
                <w:lang w:eastAsia="zh-CN"/>
              </w:rPr>
              <w:t>m</w:t>
            </w:r>
            <w:r>
              <w:rPr>
                <w:rFonts w:hint="default" w:ascii="Times New Roman" w:hAnsi="Times New Roman" w:eastAsia="宋体" w:cs="Times New Roman"/>
                <w:color w:val="auto"/>
                <w:spacing w:val="0"/>
                <w:w w:val="100"/>
                <w:position w:val="0"/>
                <w:sz w:val="24"/>
                <w:u w:val="none" w:color="auto"/>
                <w:vertAlign w:val="superscript"/>
                <w:lang w:val="en-US" w:eastAsia="zh-CN"/>
              </w:rPr>
              <w:t>2</w:t>
            </w:r>
          </w:p>
        </w:tc>
      </w:tr>
    </w:tbl>
    <w:p w14:paraId="6DD67D69">
      <w:pPr>
        <w:pStyle w:val="5"/>
        <w:keepNext/>
        <w:keepLines/>
        <w:pageBreakBefore w:val="0"/>
        <w:widowControl w:val="0"/>
        <w:kinsoku/>
        <w:wordWrap/>
        <w:overflowPunct/>
        <w:topLinePunct w:val="0"/>
        <w:autoSpaceDE/>
        <w:autoSpaceDN/>
        <w:bidi w:val="0"/>
        <w:adjustRightInd/>
        <w:snapToGrid/>
        <w:spacing w:before="0" w:beforeLines="50" w:line="360" w:lineRule="auto"/>
        <w:textAlignment w:val="auto"/>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bidi="ar-SA"/>
        </w:rPr>
      </w:pPr>
      <w:r>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bidi="ar-SA"/>
        </w:rPr>
        <w:t xml:space="preserve"> </w:t>
      </w:r>
      <w:r>
        <w:rPr>
          <w:rFonts w:hint="default" w:ascii="Times New Roman" w:hAnsi="Times New Roman" w:eastAsia="宋体" w:cs="Times New Roman"/>
          <w:b/>
          <w:bCs/>
          <w:spacing w:val="0"/>
          <w:w w:val="100"/>
          <w:position w:val="0"/>
          <w:sz w:val="24"/>
          <w:szCs w:val="24"/>
        </w:rPr>
        <w:t>施工临时占地</w:t>
      </w:r>
    </w:p>
    <w:p w14:paraId="61B03802">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eastAsia="zh-CN"/>
        </w:rPr>
        <w:t>施工临时占地包括施工临建设施、弃渣场、临时堆场和施工道路等，施工占地面积见下表：</w:t>
      </w:r>
    </w:p>
    <w:p w14:paraId="370D6E5C">
      <w:pPr>
        <w:adjustRightInd w:val="0"/>
        <w:snapToGrid w:val="0"/>
        <w:spacing w:line="360" w:lineRule="auto"/>
        <w:jc w:val="center"/>
        <w:rPr>
          <w:rFonts w:hint="default" w:ascii="Times New Roman" w:hAnsi="Times New Roman" w:eastAsia="宋体" w:cs="Times New Roman"/>
          <w:b/>
          <w:bCs/>
          <w:color w:val="auto"/>
          <w:spacing w:val="0"/>
          <w:w w:val="100"/>
          <w:position w:val="0"/>
          <w:sz w:val="24"/>
          <w:szCs w:val="24"/>
          <w:u w:val="none" w:color="auto"/>
          <w:lang w:val="en-US" w:eastAsia="zh-CN"/>
        </w:rPr>
      </w:pPr>
      <w:r>
        <w:rPr>
          <w:rFonts w:hint="default" w:ascii="Times New Roman" w:hAnsi="Times New Roman" w:eastAsia="宋体" w:cs="Times New Roman"/>
          <w:b/>
          <w:bCs/>
          <w:color w:val="auto"/>
          <w:spacing w:val="0"/>
          <w:w w:val="100"/>
          <w:position w:val="0"/>
          <w:sz w:val="24"/>
          <w:szCs w:val="24"/>
          <w:u w:val="none" w:color="auto"/>
          <w:lang w:eastAsia="zh-CN"/>
        </w:rPr>
        <w:t>表</w:t>
      </w:r>
      <w:r>
        <w:rPr>
          <w:rFonts w:hint="default" w:ascii="Times New Roman" w:hAnsi="Times New Roman" w:eastAsia="宋体" w:cs="Times New Roman"/>
          <w:b/>
          <w:bCs/>
          <w:color w:val="auto"/>
          <w:spacing w:val="0"/>
          <w:w w:val="100"/>
          <w:position w:val="0"/>
          <w:sz w:val="24"/>
          <w:szCs w:val="24"/>
          <w:u w:val="none" w:color="auto"/>
          <w:lang w:val="en-US" w:eastAsia="zh-CN"/>
        </w:rPr>
        <w:t>2.2-5  施工临时占地面积表</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484"/>
        <w:gridCol w:w="2100"/>
        <w:gridCol w:w="2300"/>
        <w:gridCol w:w="2632"/>
      </w:tblGrid>
      <w:tr w14:paraId="34D7B6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blHeader/>
          <w:jc w:val="center"/>
        </w:trPr>
        <w:tc>
          <w:tcPr>
            <w:tcW w:w="1484" w:type="dxa"/>
            <w:tcBorders>
              <w:tl2br w:val="nil"/>
              <w:tr2bl w:val="nil"/>
            </w:tcBorders>
            <w:shd w:val="clear" w:color="auto" w:fill="auto"/>
            <w:noWrap/>
            <w:vAlign w:val="center"/>
          </w:tcPr>
          <w:p w14:paraId="45E089D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lang w:eastAsia="zh-CN"/>
              </w:rPr>
            </w:pPr>
            <w:r>
              <w:rPr>
                <w:rFonts w:hint="default" w:ascii="Times New Roman" w:hAnsi="Times New Roman" w:eastAsia="宋体" w:cs="Times New Roman"/>
                <w:b/>
                <w:bCs/>
                <w:i w:val="0"/>
                <w:iCs w:val="0"/>
                <w:color w:val="000000"/>
                <w:sz w:val="21"/>
                <w:szCs w:val="21"/>
                <w:u w:val="none"/>
                <w:lang w:eastAsia="zh-CN"/>
              </w:rPr>
              <w:t>序号</w:t>
            </w:r>
          </w:p>
        </w:tc>
        <w:tc>
          <w:tcPr>
            <w:tcW w:w="2100" w:type="dxa"/>
            <w:tcBorders>
              <w:tl2br w:val="nil"/>
              <w:tr2bl w:val="nil"/>
            </w:tcBorders>
            <w:shd w:val="clear" w:color="auto" w:fill="auto"/>
            <w:noWrap/>
            <w:vAlign w:val="center"/>
          </w:tcPr>
          <w:p w14:paraId="2DED5F00">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项目</w:t>
            </w:r>
          </w:p>
        </w:tc>
        <w:tc>
          <w:tcPr>
            <w:tcW w:w="2300" w:type="dxa"/>
            <w:tcBorders>
              <w:tl2br w:val="nil"/>
              <w:tr2bl w:val="nil"/>
            </w:tcBorders>
            <w:shd w:val="clear" w:color="auto" w:fill="auto"/>
            <w:noWrap/>
            <w:vAlign w:val="center"/>
          </w:tcPr>
          <w:p w14:paraId="01DD8F4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临时占地面积（m</w:t>
            </w:r>
            <w:r>
              <w:rPr>
                <w:rFonts w:hint="default" w:ascii="Times New Roman" w:hAnsi="Times New Roman" w:eastAsia="宋体" w:cs="Times New Roman"/>
                <w:b/>
                <w:bCs/>
                <w:i w:val="0"/>
                <w:iCs w:val="0"/>
                <w:color w:val="000000"/>
                <w:kern w:val="0"/>
                <w:sz w:val="21"/>
                <w:szCs w:val="21"/>
                <w:u w:val="none"/>
                <w:vertAlign w:val="superscript"/>
                <w:lang w:val="en-US" w:eastAsia="zh-CN" w:bidi="ar"/>
              </w:rPr>
              <w:t>2</w:t>
            </w:r>
            <w:r>
              <w:rPr>
                <w:rFonts w:hint="default" w:ascii="Times New Roman" w:hAnsi="Times New Roman" w:eastAsia="宋体" w:cs="Times New Roman"/>
                <w:b/>
                <w:bCs/>
                <w:i w:val="0"/>
                <w:iCs w:val="0"/>
                <w:color w:val="000000"/>
                <w:kern w:val="0"/>
                <w:sz w:val="21"/>
                <w:szCs w:val="21"/>
                <w:u w:val="none"/>
                <w:lang w:val="en-US" w:eastAsia="zh-CN" w:bidi="ar"/>
              </w:rPr>
              <w:t>）</w:t>
            </w:r>
          </w:p>
        </w:tc>
        <w:tc>
          <w:tcPr>
            <w:tcW w:w="2632" w:type="dxa"/>
            <w:tcBorders>
              <w:tl2br w:val="nil"/>
              <w:tr2bl w:val="nil"/>
            </w:tcBorders>
            <w:shd w:val="clear" w:color="auto" w:fill="auto"/>
            <w:noWrap/>
            <w:vAlign w:val="center"/>
          </w:tcPr>
          <w:p w14:paraId="71CBF29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备注</w:t>
            </w:r>
          </w:p>
        </w:tc>
      </w:tr>
      <w:tr w14:paraId="01533A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84" w:type="dxa"/>
            <w:tcBorders>
              <w:tl2br w:val="nil"/>
              <w:tr2bl w:val="nil"/>
            </w:tcBorders>
            <w:shd w:val="clear" w:color="auto" w:fill="auto"/>
            <w:noWrap/>
            <w:vAlign w:val="center"/>
          </w:tcPr>
          <w:p w14:paraId="6298A8A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w:t>
            </w:r>
          </w:p>
        </w:tc>
        <w:tc>
          <w:tcPr>
            <w:tcW w:w="2100" w:type="dxa"/>
            <w:tcBorders>
              <w:tl2br w:val="nil"/>
              <w:tr2bl w:val="nil"/>
            </w:tcBorders>
            <w:shd w:val="clear" w:color="auto" w:fill="auto"/>
            <w:noWrap/>
            <w:vAlign w:val="center"/>
          </w:tcPr>
          <w:p w14:paraId="6804FEE2">
            <w:pPr>
              <w:spacing w:line="240" w:lineRule="auto"/>
              <w:jc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施工临建设施区</w:t>
            </w:r>
          </w:p>
        </w:tc>
        <w:tc>
          <w:tcPr>
            <w:tcW w:w="2300" w:type="dxa"/>
            <w:tcBorders>
              <w:tl2br w:val="nil"/>
              <w:tr2bl w:val="nil"/>
            </w:tcBorders>
            <w:shd w:val="clear" w:color="auto" w:fill="auto"/>
            <w:noWrap/>
            <w:vAlign w:val="center"/>
          </w:tcPr>
          <w:p w14:paraId="7BF4C654">
            <w:pPr>
              <w:spacing w:line="240" w:lineRule="auto"/>
              <w:jc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3000</w:t>
            </w:r>
          </w:p>
        </w:tc>
        <w:tc>
          <w:tcPr>
            <w:tcW w:w="2632" w:type="dxa"/>
            <w:tcBorders>
              <w:tl2br w:val="nil"/>
              <w:tr2bl w:val="nil"/>
            </w:tcBorders>
            <w:shd w:val="clear" w:color="auto" w:fill="auto"/>
            <w:noWrap/>
            <w:vAlign w:val="center"/>
          </w:tcPr>
          <w:p w14:paraId="54D70B3D">
            <w:pPr>
              <w:spacing w:line="240" w:lineRule="auto"/>
              <w:jc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大坝下游</w:t>
            </w:r>
          </w:p>
        </w:tc>
      </w:tr>
      <w:tr w14:paraId="5D25A6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84" w:type="dxa"/>
            <w:tcBorders>
              <w:tl2br w:val="nil"/>
              <w:tr2bl w:val="nil"/>
            </w:tcBorders>
            <w:shd w:val="clear" w:color="auto" w:fill="auto"/>
            <w:noWrap/>
            <w:vAlign w:val="center"/>
          </w:tcPr>
          <w:p w14:paraId="75633A2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2</w:t>
            </w:r>
          </w:p>
        </w:tc>
        <w:tc>
          <w:tcPr>
            <w:tcW w:w="2100" w:type="dxa"/>
            <w:tcBorders>
              <w:tl2br w:val="nil"/>
              <w:tr2bl w:val="nil"/>
            </w:tcBorders>
            <w:shd w:val="clear" w:color="auto" w:fill="auto"/>
            <w:noWrap/>
            <w:vAlign w:val="center"/>
          </w:tcPr>
          <w:p w14:paraId="5B49A91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临时堆场</w:t>
            </w:r>
          </w:p>
        </w:tc>
        <w:tc>
          <w:tcPr>
            <w:tcW w:w="2300" w:type="dxa"/>
            <w:tcBorders>
              <w:tl2br w:val="nil"/>
              <w:tr2bl w:val="nil"/>
            </w:tcBorders>
            <w:shd w:val="clear" w:color="auto" w:fill="auto"/>
            <w:noWrap/>
            <w:vAlign w:val="center"/>
          </w:tcPr>
          <w:p w14:paraId="452CAB7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5300</w:t>
            </w:r>
          </w:p>
        </w:tc>
        <w:tc>
          <w:tcPr>
            <w:tcW w:w="2632" w:type="dxa"/>
            <w:tcBorders>
              <w:tl2br w:val="nil"/>
              <w:tr2bl w:val="nil"/>
            </w:tcBorders>
            <w:shd w:val="clear" w:color="auto" w:fill="auto"/>
            <w:noWrap/>
            <w:vAlign w:val="center"/>
          </w:tcPr>
          <w:p w14:paraId="383D6A75">
            <w:pPr>
              <w:spacing w:line="240" w:lineRule="auto"/>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lang w:eastAsia="zh-CN"/>
              </w:rPr>
              <w:t>大坝下游</w:t>
            </w:r>
          </w:p>
        </w:tc>
      </w:tr>
      <w:tr w14:paraId="1D724F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84" w:type="dxa"/>
            <w:tcBorders>
              <w:tl2br w:val="nil"/>
              <w:tr2bl w:val="nil"/>
            </w:tcBorders>
            <w:shd w:val="clear" w:color="auto" w:fill="auto"/>
            <w:noWrap/>
            <w:vAlign w:val="center"/>
          </w:tcPr>
          <w:p w14:paraId="507E8F0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3</w:t>
            </w:r>
          </w:p>
        </w:tc>
        <w:tc>
          <w:tcPr>
            <w:tcW w:w="2100" w:type="dxa"/>
            <w:tcBorders>
              <w:tl2br w:val="nil"/>
              <w:tr2bl w:val="nil"/>
            </w:tcBorders>
            <w:shd w:val="clear" w:color="auto" w:fill="auto"/>
            <w:noWrap/>
            <w:vAlign w:val="center"/>
          </w:tcPr>
          <w:p w14:paraId="3A92447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弃渣场</w:t>
            </w:r>
          </w:p>
        </w:tc>
        <w:tc>
          <w:tcPr>
            <w:tcW w:w="2300" w:type="dxa"/>
            <w:tcBorders>
              <w:tl2br w:val="nil"/>
              <w:tr2bl w:val="nil"/>
            </w:tcBorders>
            <w:shd w:val="clear" w:color="auto" w:fill="auto"/>
            <w:noWrap/>
            <w:vAlign w:val="center"/>
          </w:tcPr>
          <w:p w14:paraId="77F5CF1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1900</w:t>
            </w:r>
          </w:p>
        </w:tc>
        <w:tc>
          <w:tcPr>
            <w:tcW w:w="2632" w:type="dxa"/>
            <w:tcBorders>
              <w:tl2br w:val="nil"/>
              <w:tr2bl w:val="nil"/>
            </w:tcBorders>
            <w:shd w:val="clear" w:color="auto" w:fill="auto"/>
            <w:noWrap/>
            <w:vAlign w:val="center"/>
          </w:tcPr>
          <w:p w14:paraId="6A5098C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lang w:eastAsia="zh-CN"/>
              </w:rPr>
              <w:t>大坝下游</w:t>
            </w:r>
          </w:p>
        </w:tc>
      </w:tr>
      <w:tr w14:paraId="338122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84" w:type="dxa"/>
            <w:tcBorders>
              <w:tl2br w:val="nil"/>
              <w:tr2bl w:val="nil"/>
            </w:tcBorders>
            <w:shd w:val="clear" w:color="auto" w:fill="auto"/>
            <w:noWrap/>
            <w:vAlign w:val="center"/>
          </w:tcPr>
          <w:p w14:paraId="5A0F5B3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4</w:t>
            </w:r>
          </w:p>
        </w:tc>
        <w:tc>
          <w:tcPr>
            <w:tcW w:w="2100" w:type="dxa"/>
            <w:tcBorders>
              <w:tl2br w:val="nil"/>
              <w:tr2bl w:val="nil"/>
            </w:tcBorders>
            <w:shd w:val="clear" w:color="auto" w:fill="auto"/>
            <w:noWrap/>
            <w:vAlign w:val="center"/>
          </w:tcPr>
          <w:p w14:paraId="54B6E04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施工道路</w:t>
            </w:r>
          </w:p>
        </w:tc>
        <w:tc>
          <w:tcPr>
            <w:tcW w:w="2300" w:type="dxa"/>
            <w:tcBorders>
              <w:tl2br w:val="nil"/>
              <w:tr2bl w:val="nil"/>
            </w:tcBorders>
            <w:shd w:val="clear" w:color="auto" w:fill="auto"/>
            <w:noWrap/>
            <w:vAlign w:val="center"/>
          </w:tcPr>
          <w:p w14:paraId="5389B1F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（2500）</w:t>
            </w:r>
          </w:p>
        </w:tc>
        <w:tc>
          <w:tcPr>
            <w:tcW w:w="2632" w:type="dxa"/>
            <w:tcBorders>
              <w:tl2br w:val="nil"/>
              <w:tr2bl w:val="nil"/>
            </w:tcBorders>
            <w:shd w:val="clear" w:color="auto" w:fill="auto"/>
            <w:noWrap/>
            <w:vAlign w:val="center"/>
          </w:tcPr>
          <w:p w14:paraId="1375A97F">
            <w:pPr>
              <w:spacing w:line="240" w:lineRule="auto"/>
              <w:jc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利用现有道路或在场内，不计入新增用地面积</w:t>
            </w:r>
          </w:p>
        </w:tc>
      </w:tr>
      <w:tr w14:paraId="647F47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84" w:type="dxa"/>
            <w:tcBorders>
              <w:tl2br w:val="nil"/>
              <w:tr2bl w:val="nil"/>
            </w:tcBorders>
            <w:shd w:val="clear" w:color="auto" w:fill="auto"/>
            <w:noWrap/>
            <w:vAlign w:val="center"/>
          </w:tcPr>
          <w:p w14:paraId="18E32AF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5</w:t>
            </w:r>
          </w:p>
        </w:tc>
        <w:tc>
          <w:tcPr>
            <w:tcW w:w="2100" w:type="dxa"/>
            <w:tcBorders>
              <w:tl2br w:val="nil"/>
              <w:tr2bl w:val="nil"/>
            </w:tcBorders>
            <w:shd w:val="clear" w:color="auto" w:fill="auto"/>
            <w:noWrap/>
            <w:vAlign w:val="center"/>
          </w:tcPr>
          <w:p w14:paraId="1AE8924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lang w:eastAsia="zh-CN"/>
              </w:rPr>
              <w:t>合计</w:t>
            </w:r>
          </w:p>
        </w:tc>
        <w:tc>
          <w:tcPr>
            <w:tcW w:w="2300" w:type="dxa"/>
            <w:tcBorders>
              <w:tl2br w:val="nil"/>
              <w:tr2bl w:val="nil"/>
            </w:tcBorders>
            <w:shd w:val="clear" w:color="auto" w:fill="auto"/>
            <w:noWrap/>
            <w:vAlign w:val="center"/>
          </w:tcPr>
          <w:p w14:paraId="550A695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10200</w:t>
            </w:r>
          </w:p>
        </w:tc>
        <w:tc>
          <w:tcPr>
            <w:tcW w:w="2632" w:type="dxa"/>
            <w:tcBorders>
              <w:tl2br w:val="nil"/>
              <w:tr2bl w:val="nil"/>
            </w:tcBorders>
            <w:shd w:val="clear" w:color="auto" w:fill="auto"/>
            <w:noWrap/>
            <w:vAlign w:val="center"/>
          </w:tcPr>
          <w:p w14:paraId="15C6D6DB">
            <w:pPr>
              <w:spacing w:line="240" w:lineRule="auto"/>
              <w:jc w:val="center"/>
              <w:rPr>
                <w:rFonts w:hint="default" w:ascii="Times New Roman" w:hAnsi="Times New Roman" w:eastAsia="宋体" w:cs="Times New Roman"/>
                <w:i w:val="0"/>
                <w:iCs w:val="0"/>
                <w:color w:val="000000"/>
                <w:sz w:val="21"/>
                <w:szCs w:val="21"/>
                <w:u w:val="none"/>
              </w:rPr>
            </w:pPr>
          </w:p>
        </w:tc>
      </w:tr>
    </w:tbl>
    <w:p w14:paraId="679BBBF8">
      <w:pPr>
        <w:pStyle w:val="3"/>
        <w:bidi w:val="0"/>
        <w:rPr>
          <w:rFonts w:hint="default" w:ascii="Times New Roman" w:hAnsi="Times New Roman" w:cs="Times New Roman"/>
        </w:rPr>
      </w:pPr>
      <w:bookmarkStart w:id="103" w:name="_Toc30250"/>
      <w:r>
        <w:rPr>
          <w:rFonts w:hint="default" w:ascii="Times New Roman" w:hAnsi="Times New Roman" w:cs="Times New Roman"/>
        </w:rPr>
        <w:t>施工总进度</w:t>
      </w:r>
      <w:bookmarkEnd w:id="103"/>
    </w:p>
    <w:p w14:paraId="1AE304C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施工总进度根据水库除险加固项目轻重缓急、施工难度程度、工程量大小，资金供应情况等因素，并考虑管理单位意见进行安排，水库灌溉用水季节为每年的4～9月，其余时段为枯水期，一般无灌溉供水要求，主要工程施工进度计划主要在枯水期进行编制。</w:t>
      </w:r>
    </w:p>
    <w:p w14:paraId="7332BA5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根据枢纽建筑物的布置特点、施工条件，确定工程总工期8个月，从第一年9月至第二年4月。</w:t>
      </w:r>
    </w:p>
    <w:p w14:paraId="20FAD43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（1）准备工作</w:t>
      </w:r>
    </w:p>
    <w:p w14:paraId="0910411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第1年9月为施工准备期，主要完成场内交通、风水电系统、砼系统修建、施工仓库、施工工厂及生活福利设施的建设。</w:t>
      </w:r>
    </w:p>
    <w:p w14:paraId="423252A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（2）主体工程</w:t>
      </w:r>
    </w:p>
    <w:p w14:paraId="3ED797F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主体工程包括大坝、溢洪道、输水隧洞、引水渠和管理设施等部位的除险加固。其中，大坝上游坝坡和防渗处理需要通过输水隧洞放水降低水库水位后进行，拟在一个枯水期内从第1年10月至第2年3月完成全部土建、装修和金结安装工程。</w:t>
      </w:r>
    </w:p>
    <w:p w14:paraId="2CB2CD8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（3）扫尾工程</w:t>
      </w:r>
    </w:p>
    <w:p w14:paraId="120D198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第2年4月为工程完建期。</w:t>
      </w:r>
    </w:p>
    <w:p w14:paraId="43B3F163">
      <w:pPr>
        <w:pStyle w:val="3"/>
        <w:bidi w:val="0"/>
        <w:rPr>
          <w:rFonts w:hint="default" w:ascii="Times New Roman" w:hAnsi="Times New Roman" w:cs="Times New Roman"/>
        </w:rPr>
      </w:pPr>
      <w:bookmarkStart w:id="104" w:name="_Toc25348"/>
      <w:r>
        <w:rPr>
          <w:rFonts w:hint="default" w:ascii="Times New Roman" w:hAnsi="Times New Roman" w:cs="Times New Roman"/>
        </w:rPr>
        <w:t>建设征地与移民安置</w:t>
      </w:r>
      <w:bookmarkEnd w:id="104"/>
    </w:p>
    <w:p w14:paraId="0D56E5FA">
      <w:pPr>
        <w:pStyle w:val="4"/>
        <w:bidi w:val="0"/>
        <w:rPr>
          <w:rFonts w:hint="default" w:ascii="Times New Roman" w:hAnsi="Times New Roman" w:cs="Times New Roman"/>
          <w:lang w:val="en-US" w:eastAsia="zh-CN"/>
        </w:rPr>
      </w:pPr>
      <w:bookmarkStart w:id="105" w:name="_Toc2166"/>
      <w:r>
        <w:rPr>
          <w:rFonts w:hint="default" w:ascii="Times New Roman" w:hAnsi="Times New Roman" w:cs="Times New Roman"/>
          <w:lang w:val="en-US" w:eastAsia="zh-CN"/>
        </w:rPr>
        <w:t>建设征地</w:t>
      </w:r>
      <w:bookmarkEnd w:id="105"/>
    </w:p>
    <w:p w14:paraId="612428C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东山水库除险加固工程占地范围包括永久征地和施工临时占地两部分。</w:t>
      </w:r>
    </w:p>
    <w:p w14:paraId="767B6F1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永久征地范围：主要为溢洪道征地，根据设计院水工专业提供的成果确定。</w:t>
      </w:r>
    </w:p>
    <w:p w14:paraId="47C1509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lang w:eastAsia="zh-CN"/>
        </w:rPr>
      </w:pPr>
      <w:r>
        <w:rPr>
          <w:rFonts w:hint="default" w:ascii="Times New Roman" w:hAnsi="Times New Roman" w:eastAsia="宋体" w:cs="Times New Roman"/>
          <w:color w:val="auto"/>
          <w:spacing w:val="0"/>
          <w:w w:val="100"/>
          <w:position w:val="0"/>
          <w:sz w:val="24"/>
          <w:szCs w:val="24"/>
          <w:u w:val="none" w:color="auto"/>
          <w:lang w:val="en-US" w:eastAsia="zh-CN"/>
        </w:rPr>
        <w:t>临时占地范围：主要为施工临建设施、施工道路、临时堆土场和弃渣场等用地，施工用地根据设计院施工专业提供的成果确定。</w:t>
      </w:r>
      <w:r>
        <w:rPr>
          <w:rFonts w:hint="default" w:ascii="Times New Roman" w:hAnsi="Times New Roman" w:eastAsia="宋体" w:cs="Times New Roman"/>
          <w:color w:val="auto"/>
          <w:spacing w:val="0"/>
          <w:w w:val="100"/>
          <w:position w:val="0"/>
          <w:sz w:val="24"/>
          <w:szCs w:val="24"/>
        </w:rPr>
        <w:t>根据工程占地范围，工程占地具体占地范围见</w:t>
      </w:r>
      <w:r>
        <w:rPr>
          <w:rFonts w:hint="default" w:ascii="Times New Roman" w:hAnsi="Times New Roman" w:eastAsia="宋体" w:cs="Times New Roman"/>
          <w:color w:val="auto"/>
          <w:spacing w:val="0"/>
          <w:w w:val="100"/>
          <w:position w:val="0"/>
          <w:sz w:val="24"/>
          <w:szCs w:val="24"/>
          <w:lang w:eastAsia="zh-CN"/>
        </w:rPr>
        <w:t>下</w:t>
      </w:r>
      <w:r>
        <w:rPr>
          <w:rFonts w:hint="default" w:ascii="Times New Roman" w:hAnsi="Times New Roman" w:eastAsia="宋体" w:cs="Times New Roman"/>
          <w:color w:val="auto"/>
          <w:spacing w:val="0"/>
          <w:w w:val="100"/>
          <w:position w:val="0"/>
          <w:sz w:val="24"/>
          <w:szCs w:val="24"/>
        </w:rPr>
        <w:t>表</w:t>
      </w:r>
      <w:r>
        <w:rPr>
          <w:rFonts w:hint="default" w:ascii="Times New Roman" w:hAnsi="Times New Roman" w:eastAsia="宋体" w:cs="Times New Roman"/>
          <w:color w:val="auto"/>
          <w:spacing w:val="0"/>
          <w:w w:val="100"/>
          <w:position w:val="0"/>
          <w:sz w:val="24"/>
          <w:szCs w:val="24"/>
          <w:lang w:eastAsia="zh-CN"/>
        </w:rPr>
        <w:t>：</w:t>
      </w:r>
    </w:p>
    <w:p w14:paraId="6A1E02E8">
      <w:pPr>
        <w:pageBreakBefore w:val="0"/>
        <w:kinsoku w:val="0"/>
        <w:wordWrap w:val="0"/>
        <w:overflowPunct/>
        <w:topLinePunct/>
        <w:autoSpaceDE/>
        <w:autoSpaceDN/>
        <w:bidi w:val="0"/>
        <w:jc w:val="center"/>
        <w:rPr>
          <w:rFonts w:hint="default" w:ascii="Times New Roman" w:hAnsi="Times New Roman" w:eastAsia="宋体" w:cs="Times New Roman"/>
          <w:b/>
          <w:caps w:val="0"/>
          <w:smallCaps w:val="0"/>
          <w:color w:val="auto"/>
          <w:spacing w:val="0"/>
          <w:w w:val="100"/>
          <w:position w:val="0"/>
          <w:sz w:val="24"/>
          <w:szCs w:val="24"/>
          <w:u w:val="none" w:color="auto"/>
        </w:rPr>
      </w:pPr>
      <w:r>
        <w:rPr>
          <w:rFonts w:hint="default" w:ascii="Times New Roman" w:hAnsi="Times New Roman" w:eastAsia="宋体" w:cs="Times New Roman"/>
          <w:b/>
          <w:caps w:val="0"/>
          <w:smallCaps w:val="0"/>
          <w:color w:val="auto"/>
          <w:spacing w:val="0"/>
          <w:w w:val="100"/>
          <w:position w:val="0"/>
          <w:sz w:val="24"/>
          <w:szCs w:val="24"/>
          <w:u w:val="none" w:color="auto"/>
          <w:lang w:val="en-US" w:eastAsia="zh-CN"/>
        </w:rPr>
        <w:t xml:space="preserve">表2.4-1  </w:t>
      </w:r>
      <w:r>
        <w:rPr>
          <w:rFonts w:hint="default" w:ascii="Times New Roman" w:hAnsi="Times New Roman" w:eastAsia="宋体" w:cs="Times New Roman"/>
          <w:b/>
          <w:caps w:val="0"/>
          <w:smallCaps w:val="0"/>
          <w:color w:val="auto"/>
          <w:spacing w:val="0"/>
          <w:w w:val="100"/>
          <w:position w:val="0"/>
          <w:sz w:val="24"/>
          <w:szCs w:val="24"/>
          <w:u w:val="none" w:color="auto"/>
        </w:rPr>
        <w:t>工程征地汇总统计表</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772"/>
        <w:gridCol w:w="2160"/>
        <w:gridCol w:w="2172"/>
        <w:gridCol w:w="2412"/>
      </w:tblGrid>
      <w:tr w14:paraId="355FD8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blHeader/>
          <w:jc w:val="center"/>
        </w:trPr>
        <w:tc>
          <w:tcPr>
            <w:tcW w:w="1772" w:type="dxa"/>
            <w:tcBorders>
              <w:tl2br w:val="nil"/>
              <w:tr2bl w:val="nil"/>
            </w:tcBorders>
            <w:shd w:val="clear" w:color="auto" w:fill="auto"/>
            <w:noWrap/>
            <w:vAlign w:val="center"/>
          </w:tcPr>
          <w:p w14:paraId="46601060">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lang w:eastAsia="zh-CN"/>
              </w:rPr>
            </w:pPr>
            <w:r>
              <w:rPr>
                <w:rFonts w:hint="default" w:ascii="Times New Roman" w:hAnsi="Times New Roman" w:eastAsia="宋体" w:cs="Times New Roman"/>
                <w:b/>
                <w:bCs/>
                <w:i w:val="0"/>
                <w:iCs w:val="0"/>
                <w:color w:val="000000"/>
                <w:sz w:val="21"/>
                <w:szCs w:val="21"/>
                <w:u w:val="none"/>
                <w:lang w:eastAsia="zh-CN"/>
              </w:rPr>
              <w:t>序号</w:t>
            </w:r>
          </w:p>
        </w:tc>
        <w:tc>
          <w:tcPr>
            <w:tcW w:w="2160" w:type="dxa"/>
            <w:tcBorders>
              <w:tl2br w:val="nil"/>
              <w:tr2bl w:val="nil"/>
            </w:tcBorders>
            <w:shd w:val="clear" w:color="auto" w:fill="auto"/>
            <w:noWrap/>
            <w:vAlign w:val="center"/>
          </w:tcPr>
          <w:p w14:paraId="2A12909A">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项目</w:t>
            </w:r>
          </w:p>
        </w:tc>
        <w:tc>
          <w:tcPr>
            <w:tcW w:w="2172" w:type="dxa"/>
            <w:tcBorders>
              <w:tl2br w:val="nil"/>
              <w:tr2bl w:val="nil"/>
            </w:tcBorders>
            <w:shd w:val="clear" w:color="auto" w:fill="auto"/>
            <w:noWrap/>
            <w:vAlign w:val="center"/>
          </w:tcPr>
          <w:p w14:paraId="77947D69">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lang w:eastAsia="zh-CN"/>
              </w:rPr>
            </w:pPr>
            <w:r>
              <w:rPr>
                <w:rFonts w:hint="default" w:ascii="Times New Roman" w:hAnsi="Times New Roman" w:eastAsia="宋体" w:cs="Times New Roman"/>
                <w:b/>
                <w:bCs/>
                <w:i w:val="0"/>
                <w:iCs w:val="0"/>
                <w:color w:val="000000"/>
                <w:sz w:val="21"/>
                <w:szCs w:val="21"/>
                <w:u w:val="none"/>
                <w:lang w:eastAsia="zh-CN"/>
              </w:rPr>
              <w:t>单位</w:t>
            </w:r>
          </w:p>
        </w:tc>
        <w:tc>
          <w:tcPr>
            <w:tcW w:w="2412" w:type="dxa"/>
            <w:tcBorders>
              <w:tl2br w:val="nil"/>
              <w:tr2bl w:val="nil"/>
            </w:tcBorders>
            <w:shd w:val="clear" w:color="auto" w:fill="auto"/>
            <w:noWrap/>
            <w:vAlign w:val="center"/>
          </w:tcPr>
          <w:p w14:paraId="1E3B8CF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lang w:eastAsia="zh-CN"/>
              </w:rPr>
            </w:pPr>
            <w:r>
              <w:rPr>
                <w:rFonts w:hint="default" w:ascii="Times New Roman" w:hAnsi="Times New Roman" w:eastAsia="宋体" w:cs="Times New Roman"/>
                <w:b/>
                <w:bCs/>
                <w:i w:val="0"/>
                <w:iCs w:val="0"/>
                <w:color w:val="000000"/>
                <w:sz w:val="21"/>
                <w:szCs w:val="21"/>
                <w:u w:val="none"/>
                <w:lang w:eastAsia="zh-CN"/>
              </w:rPr>
              <w:t>数量</w:t>
            </w:r>
          </w:p>
        </w:tc>
      </w:tr>
      <w:tr w14:paraId="4458D5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72" w:type="dxa"/>
            <w:vMerge w:val="restart"/>
            <w:tcBorders>
              <w:tl2br w:val="nil"/>
              <w:tr2bl w:val="nil"/>
            </w:tcBorders>
            <w:shd w:val="clear" w:color="auto" w:fill="auto"/>
            <w:noWrap/>
            <w:vAlign w:val="center"/>
          </w:tcPr>
          <w:p w14:paraId="75B53DD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eastAsia="zh-CN"/>
              </w:rPr>
              <w:t>永久征地</w:t>
            </w:r>
          </w:p>
        </w:tc>
        <w:tc>
          <w:tcPr>
            <w:tcW w:w="2160" w:type="dxa"/>
            <w:tcBorders>
              <w:tl2br w:val="nil"/>
              <w:tr2bl w:val="nil"/>
            </w:tcBorders>
            <w:shd w:val="clear" w:color="auto" w:fill="auto"/>
            <w:noWrap/>
            <w:vAlign w:val="center"/>
          </w:tcPr>
          <w:p w14:paraId="2F17BDE6">
            <w:pPr>
              <w:spacing w:line="240" w:lineRule="auto"/>
              <w:jc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溢洪道占地</w:t>
            </w:r>
          </w:p>
        </w:tc>
        <w:tc>
          <w:tcPr>
            <w:tcW w:w="2172" w:type="dxa"/>
            <w:tcBorders>
              <w:tl2br w:val="nil"/>
              <w:tr2bl w:val="nil"/>
            </w:tcBorders>
            <w:shd w:val="clear" w:color="auto" w:fill="auto"/>
            <w:noWrap/>
            <w:vAlign w:val="center"/>
          </w:tcPr>
          <w:p w14:paraId="78B39D95">
            <w:pPr>
              <w:spacing w:line="240" w:lineRule="auto"/>
              <w:jc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亩</w:t>
            </w:r>
          </w:p>
        </w:tc>
        <w:tc>
          <w:tcPr>
            <w:tcW w:w="2412" w:type="dxa"/>
            <w:tcBorders>
              <w:tl2br w:val="nil"/>
              <w:tr2bl w:val="nil"/>
            </w:tcBorders>
            <w:shd w:val="clear" w:color="auto" w:fill="auto"/>
            <w:noWrap/>
            <w:vAlign w:val="center"/>
          </w:tcPr>
          <w:p w14:paraId="2A053160">
            <w:pPr>
              <w:spacing w:line="240" w:lineRule="auto"/>
              <w:jc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1.5</w:t>
            </w:r>
          </w:p>
        </w:tc>
      </w:tr>
      <w:tr w14:paraId="43E0D4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72" w:type="dxa"/>
            <w:vMerge w:val="continue"/>
            <w:tcBorders>
              <w:tl2br w:val="nil"/>
              <w:tr2bl w:val="nil"/>
            </w:tcBorders>
            <w:shd w:val="clear" w:color="auto" w:fill="auto"/>
            <w:noWrap/>
            <w:vAlign w:val="center"/>
          </w:tcPr>
          <w:p w14:paraId="38FA02B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eastAsia="zh-CN"/>
              </w:rPr>
            </w:pPr>
          </w:p>
        </w:tc>
        <w:tc>
          <w:tcPr>
            <w:tcW w:w="2160" w:type="dxa"/>
            <w:tcBorders>
              <w:tl2br w:val="nil"/>
              <w:tr2bl w:val="nil"/>
            </w:tcBorders>
            <w:shd w:val="clear" w:color="auto" w:fill="auto"/>
            <w:noWrap/>
            <w:vAlign w:val="center"/>
          </w:tcPr>
          <w:p w14:paraId="5F738F12">
            <w:pPr>
              <w:spacing w:line="240" w:lineRule="auto"/>
              <w:jc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小计</w:t>
            </w:r>
          </w:p>
        </w:tc>
        <w:tc>
          <w:tcPr>
            <w:tcW w:w="2172" w:type="dxa"/>
            <w:tcBorders>
              <w:tl2br w:val="nil"/>
              <w:tr2bl w:val="nil"/>
            </w:tcBorders>
            <w:shd w:val="clear" w:color="auto" w:fill="auto"/>
            <w:noWrap/>
            <w:vAlign w:val="center"/>
          </w:tcPr>
          <w:p w14:paraId="2CF82FE4">
            <w:pPr>
              <w:spacing w:line="240" w:lineRule="auto"/>
              <w:jc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亩</w:t>
            </w:r>
          </w:p>
        </w:tc>
        <w:tc>
          <w:tcPr>
            <w:tcW w:w="2412" w:type="dxa"/>
            <w:tcBorders>
              <w:tl2br w:val="nil"/>
              <w:tr2bl w:val="nil"/>
            </w:tcBorders>
            <w:shd w:val="clear" w:color="auto" w:fill="auto"/>
            <w:noWrap/>
            <w:vAlign w:val="center"/>
          </w:tcPr>
          <w:p w14:paraId="6A1DBAAA">
            <w:pPr>
              <w:spacing w:line="240" w:lineRule="auto"/>
              <w:jc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sz w:val="21"/>
                <w:szCs w:val="21"/>
                <w:u w:val="none"/>
                <w:lang w:val="en-US" w:eastAsia="zh-CN"/>
              </w:rPr>
              <w:t>1.5</w:t>
            </w:r>
          </w:p>
        </w:tc>
      </w:tr>
      <w:tr w14:paraId="6F385F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72" w:type="dxa"/>
            <w:vMerge w:val="restart"/>
            <w:tcBorders>
              <w:tl2br w:val="nil"/>
              <w:tr2bl w:val="nil"/>
            </w:tcBorders>
            <w:shd w:val="clear" w:color="auto" w:fill="auto"/>
            <w:noWrap/>
            <w:vAlign w:val="center"/>
          </w:tcPr>
          <w:p w14:paraId="534BE79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临时占地</w:t>
            </w:r>
          </w:p>
        </w:tc>
        <w:tc>
          <w:tcPr>
            <w:tcW w:w="2160" w:type="dxa"/>
            <w:tcBorders>
              <w:tl2br w:val="nil"/>
              <w:tr2bl w:val="nil"/>
            </w:tcBorders>
            <w:shd w:val="clear" w:color="auto" w:fill="auto"/>
            <w:noWrap/>
            <w:vAlign w:val="center"/>
          </w:tcPr>
          <w:p w14:paraId="08DDFE3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临建设施</w:t>
            </w:r>
          </w:p>
        </w:tc>
        <w:tc>
          <w:tcPr>
            <w:tcW w:w="2172" w:type="dxa"/>
            <w:tcBorders>
              <w:tl2br w:val="nil"/>
              <w:tr2bl w:val="nil"/>
            </w:tcBorders>
            <w:shd w:val="clear" w:color="auto" w:fill="auto"/>
            <w:noWrap/>
            <w:vAlign w:val="center"/>
          </w:tcPr>
          <w:p w14:paraId="255D4B0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亩</w:t>
            </w:r>
          </w:p>
        </w:tc>
        <w:tc>
          <w:tcPr>
            <w:tcW w:w="2412" w:type="dxa"/>
            <w:tcBorders>
              <w:tl2br w:val="nil"/>
              <w:tr2bl w:val="nil"/>
            </w:tcBorders>
            <w:shd w:val="clear" w:color="auto" w:fill="auto"/>
            <w:noWrap/>
            <w:vAlign w:val="center"/>
          </w:tcPr>
          <w:p w14:paraId="3DE26212">
            <w:pPr>
              <w:spacing w:line="240" w:lineRule="auto"/>
              <w:jc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4.5</w:t>
            </w:r>
          </w:p>
        </w:tc>
      </w:tr>
      <w:tr w14:paraId="6015AF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72" w:type="dxa"/>
            <w:vMerge w:val="continue"/>
            <w:tcBorders>
              <w:tl2br w:val="nil"/>
              <w:tr2bl w:val="nil"/>
            </w:tcBorders>
            <w:shd w:val="clear" w:color="auto" w:fill="auto"/>
            <w:noWrap/>
            <w:vAlign w:val="center"/>
          </w:tcPr>
          <w:p w14:paraId="3B94663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p>
        </w:tc>
        <w:tc>
          <w:tcPr>
            <w:tcW w:w="2160" w:type="dxa"/>
            <w:tcBorders>
              <w:tl2br w:val="nil"/>
              <w:tr2bl w:val="nil"/>
            </w:tcBorders>
            <w:shd w:val="clear" w:color="auto" w:fill="auto"/>
            <w:noWrap/>
            <w:vAlign w:val="center"/>
          </w:tcPr>
          <w:p w14:paraId="7E287E9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施工道路</w:t>
            </w:r>
          </w:p>
        </w:tc>
        <w:tc>
          <w:tcPr>
            <w:tcW w:w="2172" w:type="dxa"/>
            <w:tcBorders>
              <w:tl2br w:val="nil"/>
              <w:tr2bl w:val="nil"/>
            </w:tcBorders>
            <w:shd w:val="clear" w:color="auto" w:fill="auto"/>
            <w:noWrap/>
            <w:vAlign w:val="center"/>
          </w:tcPr>
          <w:p w14:paraId="63FA3ED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亩</w:t>
            </w:r>
          </w:p>
        </w:tc>
        <w:tc>
          <w:tcPr>
            <w:tcW w:w="2412" w:type="dxa"/>
            <w:tcBorders>
              <w:tl2br w:val="nil"/>
              <w:tr2bl w:val="nil"/>
            </w:tcBorders>
            <w:shd w:val="clear" w:color="auto" w:fill="auto"/>
            <w:noWrap/>
            <w:vAlign w:val="center"/>
          </w:tcPr>
          <w:p w14:paraId="6338DDD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（3.75）</w:t>
            </w:r>
          </w:p>
        </w:tc>
      </w:tr>
      <w:tr w14:paraId="68D5A6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72" w:type="dxa"/>
            <w:vMerge w:val="continue"/>
            <w:tcBorders>
              <w:tl2br w:val="nil"/>
              <w:tr2bl w:val="nil"/>
            </w:tcBorders>
            <w:shd w:val="clear" w:color="auto" w:fill="auto"/>
            <w:noWrap/>
            <w:vAlign w:val="center"/>
          </w:tcPr>
          <w:p w14:paraId="17744C9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p>
        </w:tc>
        <w:tc>
          <w:tcPr>
            <w:tcW w:w="2160" w:type="dxa"/>
            <w:tcBorders>
              <w:tl2br w:val="nil"/>
              <w:tr2bl w:val="nil"/>
            </w:tcBorders>
            <w:shd w:val="clear" w:color="auto" w:fill="auto"/>
            <w:noWrap/>
            <w:vAlign w:val="center"/>
          </w:tcPr>
          <w:p w14:paraId="755685D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弃渣场、堆场</w:t>
            </w:r>
          </w:p>
        </w:tc>
        <w:tc>
          <w:tcPr>
            <w:tcW w:w="2172" w:type="dxa"/>
            <w:tcBorders>
              <w:tl2br w:val="nil"/>
              <w:tr2bl w:val="nil"/>
            </w:tcBorders>
            <w:shd w:val="clear" w:color="auto" w:fill="auto"/>
            <w:noWrap/>
            <w:vAlign w:val="center"/>
          </w:tcPr>
          <w:p w14:paraId="1407670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eastAsia="zh-CN"/>
              </w:rPr>
            </w:pPr>
            <w:r>
              <w:rPr>
                <w:rFonts w:hint="default" w:ascii="Times New Roman" w:hAnsi="Times New Roman" w:eastAsia="宋体" w:cs="Times New Roman"/>
                <w:i w:val="0"/>
                <w:iCs w:val="0"/>
                <w:color w:val="000000"/>
                <w:sz w:val="21"/>
                <w:szCs w:val="21"/>
                <w:u w:val="none"/>
                <w:lang w:eastAsia="zh-CN"/>
              </w:rPr>
              <w:t>亩</w:t>
            </w:r>
          </w:p>
        </w:tc>
        <w:tc>
          <w:tcPr>
            <w:tcW w:w="2412" w:type="dxa"/>
            <w:tcBorders>
              <w:tl2br w:val="nil"/>
              <w:tr2bl w:val="nil"/>
            </w:tcBorders>
            <w:shd w:val="clear" w:color="auto" w:fill="auto"/>
            <w:noWrap/>
            <w:vAlign w:val="center"/>
          </w:tcPr>
          <w:p w14:paraId="1838D0AF">
            <w:pPr>
              <w:spacing w:line="240" w:lineRule="auto"/>
              <w:jc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10.85</w:t>
            </w:r>
          </w:p>
        </w:tc>
      </w:tr>
      <w:tr w14:paraId="459B4AE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72" w:type="dxa"/>
            <w:vMerge w:val="continue"/>
            <w:tcBorders>
              <w:tl2br w:val="nil"/>
              <w:tr2bl w:val="nil"/>
            </w:tcBorders>
            <w:shd w:val="clear" w:color="auto" w:fill="auto"/>
            <w:noWrap/>
            <w:vAlign w:val="center"/>
          </w:tcPr>
          <w:p w14:paraId="4926354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p>
        </w:tc>
        <w:tc>
          <w:tcPr>
            <w:tcW w:w="2160" w:type="dxa"/>
            <w:tcBorders>
              <w:tl2br w:val="nil"/>
              <w:tr2bl w:val="nil"/>
            </w:tcBorders>
            <w:shd w:val="clear" w:color="auto" w:fill="auto"/>
            <w:noWrap/>
            <w:vAlign w:val="center"/>
          </w:tcPr>
          <w:p w14:paraId="3CA83DF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sz w:val="21"/>
                <w:szCs w:val="21"/>
                <w:u w:val="none"/>
                <w:lang w:eastAsia="zh-CN"/>
              </w:rPr>
              <w:t>小计</w:t>
            </w:r>
          </w:p>
        </w:tc>
        <w:tc>
          <w:tcPr>
            <w:tcW w:w="2172" w:type="dxa"/>
            <w:tcBorders>
              <w:tl2br w:val="nil"/>
              <w:tr2bl w:val="nil"/>
            </w:tcBorders>
            <w:shd w:val="clear" w:color="auto" w:fill="auto"/>
            <w:noWrap/>
            <w:vAlign w:val="center"/>
          </w:tcPr>
          <w:p w14:paraId="208A0A0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eastAsia="zh-CN"/>
              </w:rPr>
              <w:t>亩</w:t>
            </w:r>
          </w:p>
        </w:tc>
        <w:tc>
          <w:tcPr>
            <w:tcW w:w="2412" w:type="dxa"/>
            <w:tcBorders>
              <w:tl2br w:val="nil"/>
              <w:tr2bl w:val="nil"/>
            </w:tcBorders>
            <w:shd w:val="clear" w:color="auto" w:fill="auto"/>
            <w:noWrap/>
            <w:vAlign w:val="center"/>
          </w:tcPr>
          <w:p w14:paraId="51731DC1">
            <w:pPr>
              <w:spacing w:line="240" w:lineRule="auto"/>
              <w:jc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15.35</w:t>
            </w:r>
          </w:p>
        </w:tc>
      </w:tr>
    </w:tbl>
    <w:p w14:paraId="70174F45">
      <w:pPr>
        <w:pageBreakBefore w:val="0"/>
        <w:kinsoku w:val="0"/>
        <w:wordWrap w:val="0"/>
        <w:overflowPunct/>
        <w:topLinePunct/>
        <w:autoSpaceDE/>
        <w:autoSpaceDN/>
        <w:bidi w:val="0"/>
        <w:jc w:val="center"/>
        <w:rPr>
          <w:rFonts w:hint="default" w:ascii="Times New Roman" w:hAnsi="Times New Roman" w:eastAsia="宋体" w:cs="Times New Roman"/>
          <w:caps w:val="0"/>
          <w:smallCaps w:val="0"/>
          <w:color w:val="auto"/>
          <w:spacing w:val="0"/>
          <w:w w:val="100"/>
          <w:position w:val="0"/>
          <w:sz w:val="21"/>
          <w:szCs w:val="21"/>
          <w:u w:val="none" w:color="auto"/>
          <w:lang w:val="en-US" w:eastAsia="zh-CN"/>
        </w:rPr>
      </w:pPr>
    </w:p>
    <w:p w14:paraId="5902455E">
      <w:pPr>
        <w:pStyle w:val="4"/>
        <w:bidi w:val="0"/>
        <w:rPr>
          <w:rFonts w:hint="default" w:ascii="Times New Roman" w:hAnsi="Times New Roman" w:cs="Times New Roman"/>
          <w:lang w:val="en-US" w:eastAsia="zh-CN"/>
        </w:rPr>
      </w:pPr>
      <w:bookmarkStart w:id="106" w:name="_Toc12875"/>
      <w:r>
        <w:rPr>
          <w:rFonts w:hint="default" w:ascii="Times New Roman" w:hAnsi="Times New Roman" w:cs="Times New Roman"/>
          <w:lang w:val="en-US" w:eastAsia="zh-CN"/>
        </w:rPr>
        <w:t>移民安置</w:t>
      </w:r>
      <w:bookmarkEnd w:id="106"/>
    </w:p>
    <w:p w14:paraId="59FAA1AE">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根据本工程建设征地实物成果，本工程不涉及搬迁人口，无搬迁安置任务。工程建设征地对当地影响程度较小，对当地群众的生产生活基本不会造成影响，本阶段生产安置规划采取一次性补偿自行恢复生产的安置方式，不做具体的移民安置规划。</w:t>
      </w:r>
    </w:p>
    <w:p w14:paraId="59785026">
      <w:pPr>
        <w:pStyle w:val="3"/>
        <w:bidi w:val="0"/>
        <w:rPr>
          <w:rFonts w:hint="default" w:ascii="Times New Roman" w:hAnsi="Times New Roman" w:cs="Times New Roman"/>
          <w:lang w:val="en-US" w:eastAsia="zh-CN"/>
        </w:rPr>
      </w:pPr>
      <w:bookmarkStart w:id="107" w:name="_Toc3005"/>
      <w:r>
        <w:rPr>
          <w:rFonts w:hint="default" w:ascii="Times New Roman" w:hAnsi="Times New Roman" w:cs="Times New Roman"/>
          <w:lang w:val="en-US" w:eastAsia="zh-CN"/>
        </w:rPr>
        <w:t>工程分析</w:t>
      </w:r>
      <w:bookmarkEnd w:id="107"/>
    </w:p>
    <w:p w14:paraId="16706CBD">
      <w:pPr>
        <w:pStyle w:val="4"/>
        <w:bidi w:val="0"/>
        <w:rPr>
          <w:rFonts w:hint="default" w:ascii="Times New Roman" w:hAnsi="Times New Roman" w:cs="Times New Roman"/>
          <w:lang w:val="en-US" w:eastAsia="zh-CN"/>
        </w:rPr>
      </w:pPr>
      <w:bookmarkStart w:id="108" w:name="_Toc19015"/>
      <w:r>
        <w:rPr>
          <w:rFonts w:hint="default" w:ascii="Times New Roman" w:hAnsi="Times New Roman" w:cs="Times New Roman"/>
          <w:lang w:val="en-US" w:eastAsia="zh-CN"/>
        </w:rPr>
        <w:t>施工工艺</w:t>
      </w:r>
      <w:bookmarkEnd w:id="108"/>
    </w:p>
    <w:p w14:paraId="38060372">
      <w:pPr>
        <w:keepNext w:val="0"/>
        <w:keepLines w:val="0"/>
        <w:pageBreakBefore w:val="0"/>
        <w:widowControl w:val="0"/>
        <w:kinsoku w:val="0"/>
        <w:wordWrap w:val="0"/>
        <w:overflowPunct/>
        <w:topLinePunct/>
        <w:autoSpaceDE/>
        <w:autoSpaceDN/>
        <w:bidi w:val="0"/>
        <w:adjustRightInd w:val="0"/>
        <w:snapToGrid/>
        <w:spacing w:line="360" w:lineRule="auto"/>
        <w:ind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rPr>
      </w:pPr>
      <w:r>
        <w:rPr>
          <w:rFonts w:hint="default" w:ascii="Times New Roman" w:hAnsi="Times New Roman" w:eastAsia="宋体" w:cs="Times New Roman"/>
          <w:b/>
          <w:bCs/>
          <w:caps w:val="0"/>
          <w:smallCaps w:val="0"/>
          <w:color w:val="auto"/>
          <w:spacing w:val="0"/>
          <w:w w:val="100"/>
          <w:kern w:val="0"/>
          <w:position w:val="0"/>
          <w:sz w:val="24"/>
          <w:szCs w:val="24"/>
          <w:u w:val="none" w:color="auto"/>
        </w:rPr>
        <w:t>（1）土石方工程</w:t>
      </w:r>
    </w:p>
    <w:p w14:paraId="22341D5A">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本工程工作面不大，土石方开挖主要采用小型机械开挖，少量机械无法到达的地方采用人工施工。</w:t>
      </w:r>
    </w:p>
    <w:p w14:paraId="1A62B0E7">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本工程土石方开挖部位较多，有大坝、溢洪道、输水隧洞和引水渠等，地点较分散，平面距离有近千米，垂直高差近30m，规模较小，总量不多，主要是表土剥离、基础开挖和老建筑物拆除，尺寸较精细。而周边地形起伏大，修路、堆渣、弃渣都较困难。</w:t>
      </w:r>
    </w:p>
    <w:p w14:paraId="27A6E12C">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按照工程实际情况，运输道路以现有上坝公路和坝项公路以及周边现有社会道路为主，修建至输水隧洞工作桥及启闭排架等施工道路。</w:t>
      </w:r>
    </w:p>
    <w:p w14:paraId="79143B88">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大坝和输水隧洞开挖利用料较多，需要临时堆料场，根据周边地形条件，大坝和输水隧洞临时堆料布置原大坝下游输水隧洞暗涵附近较平坦处。</w:t>
      </w:r>
    </w:p>
    <w:p w14:paraId="477B3656">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弃渣量不多，根据工程区地形条件和实际需要，弃渣场采用集中布置的方式，主要布置于</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大坝下游</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0E2CF027">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土方开挖采用1m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rPr>
        <w:t>反铲挖掘机开挖，部分临时时堆放，用做回填料，其余部分采用5t自卸汽车运至弃</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渣</w:t>
      </w:r>
      <w:r>
        <w:rPr>
          <w:rFonts w:hint="default" w:ascii="Times New Roman" w:hAnsi="Times New Roman" w:eastAsia="宋体" w:cs="Times New Roman"/>
          <w:caps w:val="0"/>
          <w:smallCaps w:val="0"/>
          <w:color w:val="auto"/>
          <w:spacing w:val="0"/>
          <w:w w:val="100"/>
          <w:kern w:val="0"/>
          <w:position w:val="0"/>
          <w:sz w:val="24"/>
          <w:szCs w:val="24"/>
          <w:u w:val="none" w:color="auto"/>
        </w:rPr>
        <w:t>场弃渣。</w:t>
      </w:r>
    </w:p>
    <w:p w14:paraId="542D763F">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石方开挖总量较少，主要为岩性硬度</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一</w:t>
      </w:r>
      <w:r>
        <w:rPr>
          <w:rFonts w:hint="default" w:ascii="Times New Roman" w:hAnsi="Times New Roman" w:eastAsia="宋体" w:cs="Times New Roman"/>
          <w:caps w:val="0"/>
          <w:smallCaps w:val="0"/>
          <w:color w:val="auto"/>
          <w:spacing w:val="0"/>
          <w:w w:val="100"/>
          <w:kern w:val="0"/>
          <w:position w:val="0"/>
          <w:sz w:val="24"/>
          <w:szCs w:val="24"/>
          <w:u w:val="none" w:color="auto"/>
        </w:rPr>
        <w:t>般的花岗岩，考虑到爆破手续麻烦，对周边建筑物影响较大，本工程拟采用机械开挖的方式。石方开挖采用液压破碎机破碎，渣料采用1m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rPr>
        <w:t>反铲挖掘机挖装，5t自卸汽车运至弃料场弃渣。</w:t>
      </w:r>
    </w:p>
    <w:p w14:paraId="283C4983">
      <w:pPr>
        <w:keepNext w:val="0"/>
        <w:keepLines w:val="0"/>
        <w:pageBreakBefore w:val="0"/>
        <w:widowControl w:val="0"/>
        <w:kinsoku/>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本工程回填料主要利用工程开挖料，不足料</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外购</w:t>
      </w:r>
      <w:r>
        <w:rPr>
          <w:rFonts w:hint="default" w:ascii="Times New Roman" w:hAnsi="Times New Roman" w:eastAsia="宋体" w:cs="Times New Roman"/>
          <w:caps w:val="0"/>
          <w:smallCaps w:val="0"/>
          <w:color w:val="auto"/>
          <w:spacing w:val="0"/>
          <w:w w:val="100"/>
          <w:kern w:val="0"/>
          <w:position w:val="0"/>
          <w:sz w:val="24"/>
          <w:szCs w:val="24"/>
          <w:u w:val="none" w:color="auto"/>
        </w:rPr>
        <w:t>。利用料采用1m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rPr>
        <w:t>反铲挖掘机挖装，5t自卸汽车运至填筑面。料场取料采用1m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rPr>
        <w:t>挖掘机开挖，5t自卸汽车运至填筑面。大坝采用振动碾压实。输水隧洞和引水渠采用5~7t羊足碾配合蛙夯夯实。</w:t>
      </w:r>
    </w:p>
    <w:p w14:paraId="26A0ABD9">
      <w:pPr>
        <w:keepNext w:val="0"/>
        <w:keepLines w:val="0"/>
        <w:pageBreakBefore w:val="0"/>
        <w:widowControl w:val="0"/>
        <w:kinsoku/>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根据项目初步设计方案和水土保持方案，</w:t>
      </w:r>
      <w:r>
        <w:rPr>
          <w:rFonts w:hint="default" w:ascii="Times New Roman" w:hAnsi="Times New Roman" w:eastAsia="宋体" w:cs="Times New Roman"/>
          <w:sz w:val="24"/>
          <w:szCs w:val="24"/>
        </w:rPr>
        <w:t>本项目开挖土石方开挖3.4</w:t>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rPr>
        <w:t>万m³（其中表土剥离0.35万m³、土方开挖2.</w:t>
      </w:r>
      <w:r>
        <w:rPr>
          <w:rFonts w:hint="default" w:ascii="Times New Roman" w:hAnsi="Times New Roman" w:eastAsia="宋体" w:cs="Times New Roman"/>
          <w:sz w:val="24"/>
          <w:szCs w:val="24"/>
          <w:lang w:val="en-US" w:eastAsia="zh-CN"/>
        </w:rPr>
        <w:t>76</w:t>
      </w:r>
      <w:r>
        <w:rPr>
          <w:rFonts w:hint="default" w:ascii="Times New Roman" w:hAnsi="Times New Roman" w:eastAsia="宋体" w:cs="Times New Roman"/>
          <w:sz w:val="24"/>
          <w:szCs w:val="24"/>
        </w:rPr>
        <w:t>万m³、拆除及石方开挖0.33万m³），回填土石方3.</w:t>
      </w:r>
      <w:r>
        <w:rPr>
          <w:rFonts w:hint="default" w:ascii="Times New Roman" w:hAnsi="Times New Roman" w:eastAsia="宋体" w:cs="Times New Roman"/>
          <w:sz w:val="24"/>
          <w:szCs w:val="24"/>
          <w:lang w:val="en-US" w:eastAsia="zh-CN"/>
        </w:rPr>
        <w:t>44</w:t>
      </w:r>
      <w:r>
        <w:rPr>
          <w:rFonts w:hint="default" w:ascii="Times New Roman" w:hAnsi="Times New Roman" w:eastAsia="宋体" w:cs="Times New Roman"/>
          <w:sz w:val="24"/>
          <w:szCs w:val="24"/>
        </w:rPr>
        <w:t>万m³（其中表土回覆0.35万m³、土方回填2.</w:t>
      </w:r>
      <w:r>
        <w:rPr>
          <w:rFonts w:hint="default" w:ascii="Times New Roman" w:hAnsi="Times New Roman" w:eastAsia="宋体" w:cs="Times New Roman"/>
          <w:sz w:val="24"/>
          <w:szCs w:val="24"/>
          <w:lang w:val="en-US" w:eastAsia="zh-CN"/>
        </w:rPr>
        <w:t>10</w:t>
      </w:r>
      <w:r>
        <w:rPr>
          <w:rFonts w:hint="default" w:ascii="Times New Roman" w:hAnsi="Times New Roman" w:eastAsia="宋体" w:cs="Times New Roman"/>
          <w:sz w:val="24"/>
          <w:szCs w:val="24"/>
        </w:rPr>
        <w:t>万m³、场坪回填0.99万m³），借方0.37万m³（土方来源为湖南海霸食品有限公司建设的项目产生多余土方），土石方责任由华容水利水电建筑工程有限公司华容县东山水库除险加固工程工程总承包项目部承担本项目运输责任，相关运输承诺见附件。</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本工程土石方平衡表见下表：</w:t>
      </w:r>
    </w:p>
    <w:p w14:paraId="14AE0444">
      <w:pPr>
        <w:pageBreakBefore w:val="0"/>
        <w:kinsoku w:val="0"/>
        <w:wordWrap w:val="0"/>
        <w:overflowPunct/>
        <w:topLinePunct/>
        <w:autoSpaceDE/>
        <w:autoSpaceDN/>
        <w:bidi w:val="0"/>
        <w:jc w:val="right"/>
        <w:rPr>
          <w:rFonts w:hint="default" w:ascii="Times New Roman" w:hAnsi="Times New Roman" w:eastAsia="宋体" w:cs="Times New Roman"/>
          <w:b/>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caps w:val="0"/>
          <w:smallCaps w:val="0"/>
          <w:color w:val="auto"/>
          <w:spacing w:val="0"/>
          <w:w w:val="100"/>
          <w:position w:val="0"/>
          <w:sz w:val="24"/>
          <w:szCs w:val="24"/>
          <w:u w:val="none" w:color="auto"/>
          <w:lang w:val="en-US" w:eastAsia="zh-CN"/>
        </w:rPr>
        <w:t xml:space="preserve">表2.5-1  </w:t>
      </w:r>
      <w:r>
        <w:rPr>
          <w:rFonts w:hint="default" w:ascii="Times New Roman" w:hAnsi="Times New Roman" w:eastAsia="宋体" w:cs="Times New Roman"/>
          <w:b/>
          <w:caps w:val="0"/>
          <w:smallCaps w:val="0"/>
          <w:color w:val="auto"/>
          <w:spacing w:val="0"/>
          <w:w w:val="100"/>
          <w:position w:val="0"/>
          <w:sz w:val="24"/>
          <w:szCs w:val="24"/>
          <w:u w:val="none" w:color="auto"/>
        </w:rPr>
        <w:t>工程</w:t>
      </w:r>
      <w:r>
        <w:rPr>
          <w:rFonts w:hint="default" w:ascii="Times New Roman" w:hAnsi="Times New Roman" w:eastAsia="宋体" w:cs="Times New Roman"/>
          <w:b/>
          <w:caps w:val="0"/>
          <w:smallCaps w:val="0"/>
          <w:color w:val="auto"/>
          <w:spacing w:val="0"/>
          <w:w w:val="100"/>
          <w:position w:val="0"/>
          <w:sz w:val="24"/>
          <w:szCs w:val="24"/>
          <w:u w:val="none" w:color="auto"/>
          <w:lang w:eastAsia="zh-CN"/>
        </w:rPr>
        <w:t>土石方平衡表</w:t>
      </w:r>
      <w:r>
        <w:rPr>
          <w:rFonts w:hint="default" w:ascii="Times New Roman" w:hAnsi="Times New Roman" w:eastAsia="宋体" w:cs="Times New Roman"/>
          <w:b/>
          <w:caps w:val="0"/>
          <w:smallCaps w:val="0"/>
          <w:color w:val="auto"/>
          <w:spacing w:val="0"/>
          <w:w w:val="100"/>
          <w:position w:val="0"/>
          <w:sz w:val="24"/>
          <w:szCs w:val="24"/>
          <w:u w:val="none" w:color="auto"/>
          <w:lang w:val="en-US" w:eastAsia="zh-CN"/>
        </w:rPr>
        <w:t xml:space="preserve">             单位：</w:t>
      </w:r>
      <w:r>
        <w:rPr>
          <w:rFonts w:hint="default" w:ascii="Times New Roman" w:hAnsi="Times New Roman" w:eastAsia="宋体" w:cs="Times New Roman"/>
          <w:b/>
          <w:bCs/>
          <w:color w:val="000000"/>
          <w:kern w:val="0"/>
          <w:sz w:val="21"/>
          <w:szCs w:val="21"/>
        </w:rPr>
        <w:t>m³</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877"/>
        <w:gridCol w:w="720"/>
        <w:gridCol w:w="1122"/>
        <w:gridCol w:w="961"/>
        <w:gridCol w:w="1077"/>
        <w:gridCol w:w="857"/>
        <w:gridCol w:w="792"/>
        <w:gridCol w:w="995"/>
        <w:gridCol w:w="929"/>
      </w:tblGrid>
      <w:tr w14:paraId="0C761B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exact"/>
          <w:tblHeader/>
          <w:jc w:val="center"/>
        </w:trPr>
        <w:tc>
          <w:tcPr>
            <w:tcW w:w="882" w:type="dxa"/>
            <w:vMerge w:val="restart"/>
            <w:shd w:val="clear" w:color="auto" w:fill="auto"/>
            <w:vAlign w:val="center"/>
          </w:tcPr>
          <w:p w14:paraId="17CA11D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lang w:eastAsia="zh-CN"/>
              </w:rPr>
            </w:pPr>
            <w:r>
              <w:rPr>
                <w:rFonts w:hint="default" w:ascii="Times New Roman" w:hAnsi="Times New Roman" w:eastAsia="宋体" w:cs="Times New Roman"/>
                <w:b/>
                <w:bCs/>
                <w:color w:val="000000"/>
                <w:kern w:val="0"/>
                <w:sz w:val="21"/>
                <w:szCs w:val="21"/>
              </w:rPr>
              <w:t>项目</w:t>
            </w:r>
            <w:r>
              <w:rPr>
                <w:rFonts w:hint="default" w:ascii="Times New Roman" w:hAnsi="Times New Roman" w:eastAsia="宋体" w:cs="Times New Roman"/>
                <w:b/>
                <w:bCs/>
                <w:color w:val="000000"/>
                <w:kern w:val="0"/>
                <w:sz w:val="21"/>
                <w:szCs w:val="21"/>
                <w:lang w:eastAsia="zh-CN"/>
              </w:rPr>
              <w:t>分区</w:t>
            </w:r>
          </w:p>
        </w:tc>
        <w:tc>
          <w:tcPr>
            <w:tcW w:w="2818" w:type="dxa"/>
            <w:gridSpan w:val="3"/>
            <w:shd w:val="clear" w:color="auto" w:fill="auto"/>
            <w:vAlign w:val="center"/>
          </w:tcPr>
          <w:p w14:paraId="50451A8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lang w:eastAsia="zh-CN"/>
              </w:rPr>
              <w:t>土方</w:t>
            </w:r>
            <w:r>
              <w:rPr>
                <w:rFonts w:hint="default" w:ascii="Times New Roman" w:hAnsi="Times New Roman" w:eastAsia="宋体" w:cs="Times New Roman"/>
                <w:b/>
                <w:bCs/>
                <w:color w:val="000000"/>
                <w:kern w:val="0"/>
                <w:sz w:val="21"/>
                <w:szCs w:val="21"/>
              </w:rPr>
              <w:t>开挖</w:t>
            </w:r>
          </w:p>
        </w:tc>
        <w:tc>
          <w:tcPr>
            <w:tcW w:w="1945" w:type="dxa"/>
            <w:gridSpan w:val="2"/>
            <w:shd w:val="clear" w:color="auto" w:fill="auto"/>
            <w:vAlign w:val="center"/>
          </w:tcPr>
          <w:p w14:paraId="64E2F1E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rPr>
              <w:t>土方</w:t>
            </w:r>
            <w:r>
              <w:rPr>
                <w:rFonts w:hint="default" w:ascii="Times New Roman" w:hAnsi="Times New Roman" w:eastAsia="宋体" w:cs="Times New Roman"/>
                <w:b/>
                <w:bCs/>
                <w:color w:val="000000"/>
                <w:kern w:val="0"/>
                <w:sz w:val="21"/>
                <w:szCs w:val="21"/>
                <w:lang w:eastAsia="zh-CN"/>
              </w:rPr>
              <w:t>回</w:t>
            </w:r>
            <w:r>
              <w:rPr>
                <w:rFonts w:hint="default" w:ascii="Times New Roman" w:hAnsi="Times New Roman" w:eastAsia="宋体" w:cs="Times New Roman"/>
                <w:b/>
                <w:bCs/>
                <w:color w:val="000000"/>
                <w:kern w:val="0"/>
                <w:sz w:val="21"/>
                <w:szCs w:val="21"/>
              </w:rPr>
              <w:t>填</w:t>
            </w:r>
          </w:p>
        </w:tc>
        <w:tc>
          <w:tcPr>
            <w:tcW w:w="796" w:type="dxa"/>
            <w:shd w:val="clear" w:color="auto" w:fill="auto"/>
            <w:vAlign w:val="center"/>
          </w:tcPr>
          <w:p w14:paraId="2FC5F8B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lang w:eastAsia="zh-CN"/>
              </w:rPr>
            </w:pPr>
            <w:r>
              <w:rPr>
                <w:rFonts w:hint="default" w:ascii="Times New Roman" w:hAnsi="Times New Roman" w:eastAsia="宋体" w:cs="Times New Roman"/>
                <w:b/>
                <w:bCs/>
                <w:color w:val="000000"/>
                <w:kern w:val="0"/>
                <w:sz w:val="21"/>
                <w:szCs w:val="21"/>
                <w:lang w:eastAsia="zh-CN"/>
              </w:rPr>
              <w:t>借方</w:t>
            </w:r>
          </w:p>
        </w:tc>
        <w:tc>
          <w:tcPr>
            <w:tcW w:w="1001" w:type="dxa"/>
            <w:shd w:val="clear" w:color="auto" w:fill="auto"/>
            <w:vAlign w:val="center"/>
          </w:tcPr>
          <w:p w14:paraId="53E13B0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lang w:eastAsia="zh-CN"/>
              </w:rPr>
            </w:pPr>
            <w:r>
              <w:rPr>
                <w:rFonts w:hint="default" w:ascii="Times New Roman" w:hAnsi="Times New Roman" w:eastAsia="宋体" w:cs="Times New Roman"/>
                <w:b/>
                <w:bCs/>
                <w:color w:val="000000"/>
                <w:kern w:val="0"/>
                <w:sz w:val="21"/>
                <w:szCs w:val="21"/>
                <w:lang w:eastAsia="zh-CN"/>
              </w:rPr>
              <w:t>调出</w:t>
            </w:r>
          </w:p>
        </w:tc>
        <w:tc>
          <w:tcPr>
            <w:tcW w:w="934" w:type="dxa"/>
            <w:shd w:val="clear" w:color="auto" w:fill="auto"/>
            <w:vAlign w:val="center"/>
          </w:tcPr>
          <w:p w14:paraId="2EE2B46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lang w:eastAsia="zh-CN"/>
              </w:rPr>
            </w:pPr>
            <w:r>
              <w:rPr>
                <w:rFonts w:hint="default" w:ascii="Times New Roman" w:hAnsi="Times New Roman" w:eastAsia="宋体" w:cs="Times New Roman"/>
                <w:b/>
                <w:bCs/>
                <w:color w:val="000000"/>
                <w:kern w:val="0"/>
                <w:sz w:val="21"/>
                <w:szCs w:val="21"/>
                <w:lang w:eastAsia="zh-CN"/>
              </w:rPr>
              <w:t>调入</w:t>
            </w:r>
          </w:p>
        </w:tc>
      </w:tr>
      <w:tr w14:paraId="5F12CE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67" w:hRule="atLeast"/>
          <w:tblHeader/>
          <w:jc w:val="center"/>
        </w:trPr>
        <w:tc>
          <w:tcPr>
            <w:tcW w:w="882" w:type="dxa"/>
            <w:vMerge w:val="continue"/>
            <w:shd w:val="clear" w:color="auto" w:fill="auto"/>
            <w:vAlign w:val="center"/>
          </w:tcPr>
          <w:p w14:paraId="15DCEA5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rPr>
            </w:pPr>
          </w:p>
        </w:tc>
        <w:tc>
          <w:tcPr>
            <w:tcW w:w="724" w:type="dxa"/>
            <w:shd w:val="clear" w:color="auto" w:fill="auto"/>
            <w:vAlign w:val="center"/>
          </w:tcPr>
          <w:p w14:paraId="2500E6F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lang w:eastAsia="zh-CN"/>
              </w:rPr>
            </w:pPr>
            <w:r>
              <w:rPr>
                <w:rFonts w:hint="default" w:ascii="Times New Roman" w:hAnsi="Times New Roman" w:eastAsia="宋体" w:cs="Times New Roman"/>
                <w:b/>
                <w:bCs/>
                <w:color w:val="000000"/>
                <w:kern w:val="0"/>
                <w:sz w:val="21"/>
                <w:szCs w:val="21"/>
                <w:lang w:eastAsia="zh-CN"/>
              </w:rPr>
              <w:t>部位</w:t>
            </w:r>
          </w:p>
        </w:tc>
        <w:tc>
          <w:tcPr>
            <w:tcW w:w="1128" w:type="dxa"/>
            <w:shd w:val="clear" w:color="auto" w:fill="auto"/>
            <w:vAlign w:val="center"/>
          </w:tcPr>
          <w:p w14:paraId="0E827E8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lang w:eastAsia="zh-CN"/>
              </w:rPr>
            </w:pPr>
            <w:r>
              <w:rPr>
                <w:rFonts w:hint="default" w:ascii="Times New Roman" w:hAnsi="Times New Roman" w:eastAsia="宋体" w:cs="Times New Roman"/>
                <w:b/>
                <w:bCs/>
                <w:color w:val="000000"/>
                <w:kern w:val="0"/>
                <w:sz w:val="21"/>
                <w:szCs w:val="21"/>
                <w:lang w:eastAsia="zh-CN"/>
              </w:rPr>
              <w:t>开挖类别</w:t>
            </w:r>
          </w:p>
        </w:tc>
        <w:tc>
          <w:tcPr>
            <w:tcW w:w="966" w:type="dxa"/>
            <w:shd w:val="clear" w:color="auto" w:fill="auto"/>
            <w:vAlign w:val="center"/>
          </w:tcPr>
          <w:p w14:paraId="008BB20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lang w:eastAsia="zh-CN"/>
              </w:rPr>
            </w:pPr>
            <w:r>
              <w:rPr>
                <w:rFonts w:hint="default" w:ascii="Times New Roman" w:hAnsi="Times New Roman" w:eastAsia="宋体" w:cs="Times New Roman"/>
                <w:b/>
                <w:bCs/>
                <w:color w:val="000000"/>
                <w:kern w:val="0"/>
                <w:sz w:val="21"/>
                <w:szCs w:val="21"/>
                <w:lang w:eastAsia="zh-CN"/>
              </w:rPr>
              <w:t>工程量</w:t>
            </w:r>
          </w:p>
        </w:tc>
        <w:tc>
          <w:tcPr>
            <w:tcW w:w="1083" w:type="dxa"/>
            <w:shd w:val="clear" w:color="auto" w:fill="auto"/>
            <w:vAlign w:val="center"/>
          </w:tcPr>
          <w:p w14:paraId="5F8C5C4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lang w:eastAsia="zh-CN"/>
              </w:rPr>
            </w:pPr>
            <w:r>
              <w:rPr>
                <w:rFonts w:hint="default" w:ascii="Times New Roman" w:hAnsi="Times New Roman" w:eastAsia="宋体" w:cs="Times New Roman"/>
                <w:b/>
                <w:bCs/>
                <w:color w:val="000000"/>
                <w:kern w:val="0"/>
                <w:sz w:val="21"/>
                <w:szCs w:val="21"/>
                <w:lang w:eastAsia="zh-CN"/>
              </w:rPr>
              <w:t>利用方</w:t>
            </w:r>
          </w:p>
        </w:tc>
        <w:tc>
          <w:tcPr>
            <w:tcW w:w="862" w:type="dxa"/>
            <w:shd w:val="clear" w:color="auto" w:fill="auto"/>
            <w:vAlign w:val="center"/>
          </w:tcPr>
          <w:p w14:paraId="24AF2F8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lang w:eastAsia="zh-CN"/>
              </w:rPr>
              <w:t>外借</w:t>
            </w:r>
            <w:r>
              <w:rPr>
                <w:rFonts w:hint="default" w:ascii="Times New Roman" w:hAnsi="Times New Roman" w:eastAsia="宋体" w:cs="Times New Roman"/>
                <w:b/>
                <w:bCs/>
                <w:color w:val="000000"/>
                <w:kern w:val="0"/>
                <w:sz w:val="21"/>
                <w:szCs w:val="21"/>
              </w:rPr>
              <w:t>方</w:t>
            </w:r>
          </w:p>
        </w:tc>
        <w:tc>
          <w:tcPr>
            <w:tcW w:w="796" w:type="dxa"/>
            <w:shd w:val="clear" w:color="auto" w:fill="auto"/>
            <w:vAlign w:val="center"/>
          </w:tcPr>
          <w:p w14:paraId="4D5E862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lang w:eastAsia="zh-CN"/>
              </w:rPr>
              <w:t>工程量</w:t>
            </w:r>
          </w:p>
        </w:tc>
        <w:tc>
          <w:tcPr>
            <w:tcW w:w="1001" w:type="dxa"/>
            <w:shd w:val="clear" w:color="auto" w:fill="auto"/>
            <w:vAlign w:val="center"/>
          </w:tcPr>
          <w:p w14:paraId="342BECF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lang w:eastAsia="zh-CN"/>
              </w:rPr>
              <w:t>工程量</w:t>
            </w:r>
          </w:p>
        </w:tc>
        <w:tc>
          <w:tcPr>
            <w:tcW w:w="934" w:type="dxa"/>
            <w:shd w:val="clear" w:color="auto" w:fill="auto"/>
            <w:vAlign w:val="center"/>
          </w:tcPr>
          <w:p w14:paraId="5CA4047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kern w:val="0"/>
                <w:sz w:val="21"/>
                <w:szCs w:val="21"/>
                <w:lang w:eastAsia="zh-CN"/>
              </w:rPr>
            </w:pPr>
            <w:r>
              <w:rPr>
                <w:rFonts w:hint="default" w:ascii="Times New Roman" w:hAnsi="Times New Roman" w:eastAsia="宋体" w:cs="Times New Roman"/>
                <w:b/>
                <w:bCs/>
                <w:color w:val="000000"/>
                <w:kern w:val="0"/>
                <w:sz w:val="21"/>
                <w:szCs w:val="21"/>
                <w:lang w:eastAsia="zh-CN"/>
              </w:rPr>
              <w:t>工程量</w:t>
            </w:r>
          </w:p>
        </w:tc>
      </w:tr>
      <w:tr w14:paraId="41F521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exact"/>
          <w:jc w:val="center"/>
        </w:trPr>
        <w:tc>
          <w:tcPr>
            <w:tcW w:w="882" w:type="dxa"/>
            <w:vMerge w:val="restart"/>
            <w:shd w:val="clear" w:color="auto" w:fill="auto"/>
            <w:vAlign w:val="center"/>
          </w:tcPr>
          <w:p w14:paraId="1C8D6134">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主体工程区</w:t>
            </w:r>
          </w:p>
        </w:tc>
        <w:tc>
          <w:tcPr>
            <w:tcW w:w="724" w:type="dxa"/>
            <w:vMerge w:val="restart"/>
            <w:shd w:val="clear" w:color="auto" w:fill="auto"/>
            <w:vAlign w:val="center"/>
          </w:tcPr>
          <w:p w14:paraId="6301D8F1">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大坝</w:t>
            </w:r>
          </w:p>
        </w:tc>
        <w:tc>
          <w:tcPr>
            <w:tcW w:w="1128" w:type="dxa"/>
            <w:shd w:val="clear" w:color="auto" w:fill="auto"/>
            <w:vAlign w:val="center"/>
          </w:tcPr>
          <w:p w14:paraId="1B40A852">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土方</w:t>
            </w:r>
          </w:p>
        </w:tc>
        <w:tc>
          <w:tcPr>
            <w:tcW w:w="966" w:type="dxa"/>
            <w:shd w:val="clear" w:color="auto" w:fill="auto"/>
            <w:vAlign w:val="center"/>
          </w:tcPr>
          <w:p w14:paraId="33A34580">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7431</w:t>
            </w:r>
          </w:p>
        </w:tc>
        <w:tc>
          <w:tcPr>
            <w:tcW w:w="1083" w:type="dxa"/>
            <w:shd w:val="clear" w:color="auto" w:fill="auto"/>
            <w:vAlign w:val="center"/>
          </w:tcPr>
          <w:p w14:paraId="258418D2">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5245</w:t>
            </w:r>
          </w:p>
        </w:tc>
        <w:tc>
          <w:tcPr>
            <w:tcW w:w="862" w:type="dxa"/>
            <w:shd w:val="clear" w:color="auto" w:fill="auto"/>
            <w:vAlign w:val="center"/>
          </w:tcPr>
          <w:p w14:paraId="38D9C21B">
            <w:pPr>
              <w:jc w:val="center"/>
              <w:rPr>
                <w:rFonts w:hint="default" w:ascii="Times New Roman" w:hAnsi="Times New Roman" w:eastAsia="宋体" w:cs="Times New Roman"/>
                <w:color w:val="000000"/>
                <w:sz w:val="21"/>
                <w:szCs w:val="21"/>
              </w:rPr>
            </w:pPr>
          </w:p>
        </w:tc>
        <w:tc>
          <w:tcPr>
            <w:tcW w:w="796" w:type="dxa"/>
            <w:shd w:val="clear" w:color="auto" w:fill="auto"/>
            <w:vAlign w:val="center"/>
          </w:tcPr>
          <w:p w14:paraId="18E2DDF4">
            <w:pPr>
              <w:jc w:val="center"/>
              <w:rPr>
                <w:rFonts w:hint="default" w:ascii="Times New Roman" w:hAnsi="Times New Roman" w:eastAsia="宋体" w:cs="Times New Roman"/>
                <w:color w:val="000000"/>
                <w:sz w:val="21"/>
                <w:szCs w:val="21"/>
              </w:rPr>
            </w:pPr>
          </w:p>
        </w:tc>
        <w:tc>
          <w:tcPr>
            <w:tcW w:w="1001" w:type="dxa"/>
            <w:shd w:val="clear" w:color="auto" w:fill="auto"/>
            <w:vAlign w:val="center"/>
          </w:tcPr>
          <w:p w14:paraId="13F20A44">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2186</w:t>
            </w:r>
          </w:p>
        </w:tc>
        <w:tc>
          <w:tcPr>
            <w:tcW w:w="934" w:type="dxa"/>
            <w:shd w:val="clear" w:color="auto" w:fill="auto"/>
            <w:vAlign w:val="center"/>
          </w:tcPr>
          <w:p w14:paraId="704F1754">
            <w:pPr>
              <w:jc w:val="center"/>
              <w:rPr>
                <w:rFonts w:hint="default" w:ascii="Times New Roman" w:hAnsi="Times New Roman" w:eastAsia="宋体" w:cs="Times New Roman"/>
                <w:color w:val="000000"/>
                <w:sz w:val="21"/>
                <w:szCs w:val="21"/>
              </w:rPr>
            </w:pPr>
          </w:p>
        </w:tc>
      </w:tr>
      <w:tr w14:paraId="653260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exact"/>
          <w:jc w:val="center"/>
        </w:trPr>
        <w:tc>
          <w:tcPr>
            <w:tcW w:w="882" w:type="dxa"/>
            <w:vMerge w:val="continue"/>
            <w:shd w:val="clear" w:color="auto" w:fill="auto"/>
            <w:vAlign w:val="center"/>
          </w:tcPr>
          <w:p w14:paraId="50C424A6">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p>
        </w:tc>
        <w:tc>
          <w:tcPr>
            <w:tcW w:w="724" w:type="dxa"/>
            <w:vMerge w:val="continue"/>
            <w:shd w:val="clear" w:color="auto" w:fill="auto"/>
            <w:vAlign w:val="center"/>
          </w:tcPr>
          <w:p w14:paraId="703BFDF8">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p>
        </w:tc>
        <w:tc>
          <w:tcPr>
            <w:tcW w:w="1128" w:type="dxa"/>
            <w:shd w:val="clear" w:color="auto" w:fill="auto"/>
            <w:vAlign w:val="center"/>
          </w:tcPr>
          <w:p w14:paraId="7A45264F">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拆除</w:t>
            </w:r>
          </w:p>
        </w:tc>
        <w:tc>
          <w:tcPr>
            <w:tcW w:w="966" w:type="dxa"/>
            <w:shd w:val="clear" w:color="auto" w:fill="auto"/>
            <w:vAlign w:val="center"/>
          </w:tcPr>
          <w:p w14:paraId="2B84880B">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2089</w:t>
            </w:r>
          </w:p>
        </w:tc>
        <w:tc>
          <w:tcPr>
            <w:tcW w:w="1083" w:type="dxa"/>
            <w:shd w:val="clear" w:color="auto" w:fill="auto"/>
            <w:vAlign w:val="center"/>
          </w:tcPr>
          <w:p w14:paraId="095369E0">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862" w:type="dxa"/>
            <w:shd w:val="clear" w:color="auto" w:fill="auto"/>
            <w:vAlign w:val="center"/>
          </w:tcPr>
          <w:p w14:paraId="7C30500F">
            <w:pPr>
              <w:jc w:val="center"/>
              <w:rPr>
                <w:rFonts w:hint="default" w:ascii="Times New Roman" w:hAnsi="Times New Roman" w:eastAsia="宋体" w:cs="Times New Roman"/>
                <w:color w:val="000000"/>
                <w:sz w:val="21"/>
                <w:szCs w:val="21"/>
              </w:rPr>
            </w:pPr>
          </w:p>
        </w:tc>
        <w:tc>
          <w:tcPr>
            <w:tcW w:w="796" w:type="dxa"/>
            <w:shd w:val="clear" w:color="auto" w:fill="auto"/>
            <w:vAlign w:val="center"/>
          </w:tcPr>
          <w:p w14:paraId="76424C8A">
            <w:pPr>
              <w:jc w:val="center"/>
              <w:rPr>
                <w:rFonts w:hint="default" w:ascii="Times New Roman" w:hAnsi="Times New Roman" w:eastAsia="宋体" w:cs="Times New Roman"/>
                <w:color w:val="000000"/>
                <w:sz w:val="21"/>
                <w:szCs w:val="21"/>
              </w:rPr>
            </w:pPr>
          </w:p>
        </w:tc>
        <w:tc>
          <w:tcPr>
            <w:tcW w:w="1001" w:type="dxa"/>
            <w:shd w:val="clear" w:color="auto" w:fill="auto"/>
            <w:vAlign w:val="center"/>
          </w:tcPr>
          <w:p w14:paraId="581AB8AF">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2089</w:t>
            </w:r>
          </w:p>
        </w:tc>
        <w:tc>
          <w:tcPr>
            <w:tcW w:w="934" w:type="dxa"/>
            <w:shd w:val="clear" w:color="auto" w:fill="auto"/>
            <w:vAlign w:val="center"/>
          </w:tcPr>
          <w:p w14:paraId="02C5448F">
            <w:pPr>
              <w:jc w:val="center"/>
              <w:rPr>
                <w:rFonts w:hint="default" w:ascii="Times New Roman" w:hAnsi="Times New Roman" w:eastAsia="宋体" w:cs="Times New Roman"/>
                <w:color w:val="000000"/>
                <w:sz w:val="21"/>
                <w:szCs w:val="21"/>
              </w:rPr>
            </w:pPr>
          </w:p>
        </w:tc>
      </w:tr>
      <w:tr w14:paraId="27DCF0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exact"/>
          <w:jc w:val="center"/>
        </w:trPr>
        <w:tc>
          <w:tcPr>
            <w:tcW w:w="882" w:type="dxa"/>
            <w:vMerge w:val="continue"/>
            <w:shd w:val="clear" w:color="auto" w:fill="auto"/>
            <w:vAlign w:val="center"/>
          </w:tcPr>
          <w:p w14:paraId="1ABC5EEB">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p>
        </w:tc>
        <w:tc>
          <w:tcPr>
            <w:tcW w:w="724" w:type="dxa"/>
            <w:vMerge w:val="restart"/>
            <w:shd w:val="clear" w:color="auto" w:fill="auto"/>
            <w:vAlign w:val="center"/>
          </w:tcPr>
          <w:p w14:paraId="1DEEDA0E">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溢洪道</w:t>
            </w:r>
          </w:p>
        </w:tc>
        <w:tc>
          <w:tcPr>
            <w:tcW w:w="1128" w:type="dxa"/>
            <w:shd w:val="clear" w:color="auto" w:fill="auto"/>
            <w:vAlign w:val="center"/>
          </w:tcPr>
          <w:p w14:paraId="0E6036E2">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表土</w:t>
            </w:r>
          </w:p>
        </w:tc>
        <w:tc>
          <w:tcPr>
            <w:tcW w:w="966" w:type="dxa"/>
            <w:shd w:val="clear" w:color="auto" w:fill="auto"/>
            <w:vAlign w:val="center"/>
          </w:tcPr>
          <w:p w14:paraId="4369A071">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480</w:t>
            </w:r>
          </w:p>
        </w:tc>
        <w:tc>
          <w:tcPr>
            <w:tcW w:w="1083" w:type="dxa"/>
            <w:shd w:val="clear" w:color="auto" w:fill="auto"/>
            <w:vAlign w:val="center"/>
          </w:tcPr>
          <w:p w14:paraId="60ED7CE4">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480</w:t>
            </w:r>
          </w:p>
        </w:tc>
        <w:tc>
          <w:tcPr>
            <w:tcW w:w="862" w:type="dxa"/>
            <w:shd w:val="clear" w:color="auto" w:fill="auto"/>
            <w:vAlign w:val="center"/>
          </w:tcPr>
          <w:p w14:paraId="7F652D06">
            <w:pPr>
              <w:jc w:val="center"/>
              <w:rPr>
                <w:rFonts w:hint="default" w:ascii="Times New Roman" w:hAnsi="Times New Roman" w:eastAsia="宋体" w:cs="Times New Roman"/>
                <w:color w:val="000000"/>
                <w:sz w:val="21"/>
                <w:szCs w:val="21"/>
              </w:rPr>
            </w:pPr>
          </w:p>
        </w:tc>
        <w:tc>
          <w:tcPr>
            <w:tcW w:w="796" w:type="dxa"/>
            <w:shd w:val="clear" w:color="auto" w:fill="auto"/>
            <w:vAlign w:val="center"/>
          </w:tcPr>
          <w:p w14:paraId="4C43A035">
            <w:pPr>
              <w:jc w:val="center"/>
              <w:rPr>
                <w:rFonts w:hint="default" w:ascii="Times New Roman" w:hAnsi="Times New Roman" w:eastAsia="宋体" w:cs="Times New Roman"/>
                <w:color w:val="000000"/>
                <w:sz w:val="21"/>
                <w:szCs w:val="21"/>
              </w:rPr>
            </w:pPr>
          </w:p>
        </w:tc>
        <w:tc>
          <w:tcPr>
            <w:tcW w:w="1001" w:type="dxa"/>
            <w:shd w:val="clear" w:color="auto" w:fill="auto"/>
            <w:vAlign w:val="center"/>
          </w:tcPr>
          <w:p w14:paraId="120D6A4E">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934" w:type="dxa"/>
            <w:shd w:val="clear" w:color="auto" w:fill="auto"/>
            <w:vAlign w:val="center"/>
          </w:tcPr>
          <w:p w14:paraId="34ED3B14">
            <w:pPr>
              <w:jc w:val="center"/>
              <w:rPr>
                <w:rFonts w:hint="default" w:ascii="Times New Roman" w:hAnsi="Times New Roman" w:eastAsia="宋体" w:cs="Times New Roman"/>
                <w:color w:val="000000"/>
                <w:sz w:val="21"/>
                <w:szCs w:val="21"/>
              </w:rPr>
            </w:pPr>
          </w:p>
        </w:tc>
      </w:tr>
      <w:tr w14:paraId="59A9CE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exact"/>
          <w:jc w:val="center"/>
        </w:trPr>
        <w:tc>
          <w:tcPr>
            <w:tcW w:w="882" w:type="dxa"/>
            <w:vMerge w:val="continue"/>
            <w:shd w:val="clear" w:color="auto" w:fill="auto"/>
            <w:vAlign w:val="center"/>
          </w:tcPr>
          <w:p w14:paraId="6137AFCA">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p>
        </w:tc>
        <w:tc>
          <w:tcPr>
            <w:tcW w:w="724" w:type="dxa"/>
            <w:vMerge w:val="continue"/>
            <w:shd w:val="clear" w:color="auto" w:fill="auto"/>
            <w:vAlign w:val="center"/>
          </w:tcPr>
          <w:p w14:paraId="7F8C071D">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等线" w:cs="Times New Roman"/>
                <w:color w:val="000000"/>
                <w:sz w:val="21"/>
                <w:szCs w:val="21"/>
              </w:rPr>
            </w:pPr>
          </w:p>
        </w:tc>
        <w:tc>
          <w:tcPr>
            <w:tcW w:w="1128" w:type="dxa"/>
            <w:shd w:val="clear" w:color="auto" w:fill="auto"/>
            <w:vAlign w:val="center"/>
          </w:tcPr>
          <w:p w14:paraId="389EAA15">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土方</w:t>
            </w:r>
          </w:p>
        </w:tc>
        <w:tc>
          <w:tcPr>
            <w:tcW w:w="966" w:type="dxa"/>
            <w:shd w:val="clear" w:color="auto" w:fill="auto"/>
            <w:vAlign w:val="center"/>
          </w:tcPr>
          <w:p w14:paraId="49F8E072">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4929</w:t>
            </w:r>
          </w:p>
        </w:tc>
        <w:tc>
          <w:tcPr>
            <w:tcW w:w="1083" w:type="dxa"/>
            <w:shd w:val="clear" w:color="auto" w:fill="auto"/>
            <w:vAlign w:val="center"/>
          </w:tcPr>
          <w:p w14:paraId="6A490846">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2912</w:t>
            </w:r>
          </w:p>
        </w:tc>
        <w:tc>
          <w:tcPr>
            <w:tcW w:w="862" w:type="dxa"/>
            <w:shd w:val="clear" w:color="auto" w:fill="auto"/>
            <w:vAlign w:val="center"/>
          </w:tcPr>
          <w:p w14:paraId="62608C4D">
            <w:pPr>
              <w:jc w:val="center"/>
              <w:rPr>
                <w:rFonts w:hint="default" w:ascii="Times New Roman" w:hAnsi="Times New Roman" w:eastAsia="宋体" w:cs="Times New Roman"/>
                <w:color w:val="000000"/>
                <w:sz w:val="21"/>
                <w:szCs w:val="21"/>
              </w:rPr>
            </w:pPr>
          </w:p>
        </w:tc>
        <w:tc>
          <w:tcPr>
            <w:tcW w:w="796" w:type="dxa"/>
            <w:shd w:val="clear" w:color="auto" w:fill="auto"/>
            <w:vAlign w:val="center"/>
          </w:tcPr>
          <w:p w14:paraId="4C91DA20">
            <w:pPr>
              <w:jc w:val="center"/>
              <w:rPr>
                <w:rFonts w:hint="default" w:ascii="Times New Roman" w:hAnsi="Times New Roman" w:eastAsia="宋体" w:cs="Times New Roman"/>
                <w:color w:val="000000"/>
                <w:sz w:val="21"/>
                <w:szCs w:val="21"/>
              </w:rPr>
            </w:pPr>
          </w:p>
        </w:tc>
        <w:tc>
          <w:tcPr>
            <w:tcW w:w="1001" w:type="dxa"/>
            <w:shd w:val="clear" w:color="auto" w:fill="auto"/>
            <w:vAlign w:val="center"/>
          </w:tcPr>
          <w:p w14:paraId="386FA781">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2017</w:t>
            </w:r>
          </w:p>
        </w:tc>
        <w:tc>
          <w:tcPr>
            <w:tcW w:w="934" w:type="dxa"/>
            <w:shd w:val="clear" w:color="auto" w:fill="auto"/>
            <w:vAlign w:val="center"/>
          </w:tcPr>
          <w:p w14:paraId="170F4DD8">
            <w:pPr>
              <w:jc w:val="center"/>
              <w:rPr>
                <w:rFonts w:hint="default" w:ascii="Times New Roman" w:hAnsi="Times New Roman" w:eastAsia="宋体" w:cs="Times New Roman"/>
                <w:color w:val="000000"/>
                <w:sz w:val="21"/>
                <w:szCs w:val="21"/>
              </w:rPr>
            </w:pPr>
          </w:p>
        </w:tc>
      </w:tr>
      <w:tr w14:paraId="68B94D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exact"/>
          <w:jc w:val="center"/>
        </w:trPr>
        <w:tc>
          <w:tcPr>
            <w:tcW w:w="882" w:type="dxa"/>
            <w:vMerge w:val="continue"/>
            <w:shd w:val="clear" w:color="auto" w:fill="auto"/>
            <w:vAlign w:val="center"/>
          </w:tcPr>
          <w:p w14:paraId="5B16AF9B">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p>
        </w:tc>
        <w:tc>
          <w:tcPr>
            <w:tcW w:w="724" w:type="dxa"/>
            <w:vMerge w:val="continue"/>
            <w:shd w:val="clear" w:color="auto" w:fill="auto"/>
            <w:vAlign w:val="center"/>
          </w:tcPr>
          <w:p w14:paraId="0F9E4D94">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p>
        </w:tc>
        <w:tc>
          <w:tcPr>
            <w:tcW w:w="1128" w:type="dxa"/>
            <w:shd w:val="clear" w:color="auto" w:fill="auto"/>
            <w:vAlign w:val="center"/>
          </w:tcPr>
          <w:p w14:paraId="1A5D23CA">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拆除</w:t>
            </w:r>
          </w:p>
        </w:tc>
        <w:tc>
          <w:tcPr>
            <w:tcW w:w="966" w:type="dxa"/>
            <w:shd w:val="clear" w:color="auto" w:fill="auto"/>
            <w:vAlign w:val="center"/>
          </w:tcPr>
          <w:p w14:paraId="11B0BBBC">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693</w:t>
            </w:r>
          </w:p>
        </w:tc>
        <w:tc>
          <w:tcPr>
            <w:tcW w:w="1083" w:type="dxa"/>
            <w:shd w:val="clear" w:color="auto" w:fill="auto"/>
            <w:vAlign w:val="center"/>
          </w:tcPr>
          <w:p w14:paraId="605001F9">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862" w:type="dxa"/>
            <w:shd w:val="clear" w:color="auto" w:fill="auto"/>
            <w:vAlign w:val="center"/>
          </w:tcPr>
          <w:p w14:paraId="5A32E771">
            <w:pPr>
              <w:jc w:val="center"/>
              <w:rPr>
                <w:rFonts w:hint="default" w:ascii="Times New Roman" w:hAnsi="Times New Roman" w:eastAsia="宋体" w:cs="Times New Roman"/>
                <w:color w:val="000000"/>
                <w:sz w:val="21"/>
                <w:szCs w:val="21"/>
              </w:rPr>
            </w:pPr>
          </w:p>
        </w:tc>
        <w:tc>
          <w:tcPr>
            <w:tcW w:w="796" w:type="dxa"/>
            <w:shd w:val="clear" w:color="auto" w:fill="auto"/>
            <w:vAlign w:val="center"/>
          </w:tcPr>
          <w:p w14:paraId="7D91B6B5">
            <w:pPr>
              <w:jc w:val="center"/>
              <w:rPr>
                <w:rFonts w:hint="default" w:ascii="Times New Roman" w:hAnsi="Times New Roman" w:eastAsia="宋体" w:cs="Times New Roman"/>
                <w:color w:val="000000"/>
                <w:sz w:val="21"/>
                <w:szCs w:val="21"/>
              </w:rPr>
            </w:pPr>
          </w:p>
        </w:tc>
        <w:tc>
          <w:tcPr>
            <w:tcW w:w="1001" w:type="dxa"/>
            <w:shd w:val="clear" w:color="auto" w:fill="auto"/>
            <w:vAlign w:val="center"/>
          </w:tcPr>
          <w:p w14:paraId="0FC9DB07">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693</w:t>
            </w:r>
          </w:p>
        </w:tc>
        <w:tc>
          <w:tcPr>
            <w:tcW w:w="934" w:type="dxa"/>
            <w:shd w:val="clear" w:color="auto" w:fill="auto"/>
            <w:vAlign w:val="center"/>
          </w:tcPr>
          <w:p w14:paraId="2EB09B84">
            <w:pPr>
              <w:jc w:val="center"/>
              <w:rPr>
                <w:rFonts w:hint="default" w:ascii="Times New Roman" w:hAnsi="Times New Roman" w:eastAsia="宋体" w:cs="Times New Roman"/>
                <w:color w:val="000000"/>
                <w:sz w:val="21"/>
                <w:szCs w:val="21"/>
              </w:rPr>
            </w:pPr>
          </w:p>
        </w:tc>
      </w:tr>
      <w:tr w14:paraId="2DE7D5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exact"/>
          <w:jc w:val="center"/>
        </w:trPr>
        <w:tc>
          <w:tcPr>
            <w:tcW w:w="882" w:type="dxa"/>
            <w:vMerge w:val="continue"/>
            <w:shd w:val="clear" w:color="auto" w:fill="auto"/>
            <w:vAlign w:val="center"/>
          </w:tcPr>
          <w:p w14:paraId="01C800DF">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p>
        </w:tc>
        <w:tc>
          <w:tcPr>
            <w:tcW w:w="724" w:type="dxa"/>
            <w:vMerge w:val="continue"/>
            <w:shd w:val="clear" w:color="auto" w:fill="auto"/>
            <w:vAlign w:val="center"/>
          </w:tcPr>
          <w:p w14:paraId="7B316573">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p>
        </w:tc>
        <w:tc>
          <w:tcPr>
            <w:tcW w:w="1128" w:type="dxa"/>
            <w:shd w:val="clear" w:color="auto" w:fill="auto"/>
            <w:vAlign w:val="center"/>
          </w:tcPr>
          <w:p w14:paraId="7F285269">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石方</w:t>
            </w:r>
          </w:p>
        </w:tc>
        <w:tc>
          <w:tcPr>
            <w:tcW w:w="966" w:type="dxa"/>
            <w:shd w:val="clear" w:color="auto" w:fill="auto"/>
            <w:vAlign w:val="center"/>
          </w:tcPr>
          <w:p w14:paraId="03AA1F1B">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81</w:t>
            </w:r>
          </w:p>
        </w:tc>
        <w:tc>
          <w:tcPr>
            <w:tcW w:w="1083" w:type="dxa"/>
            <w:shd w:val="clear" w:color="auto" w:fill="auto"/>
            <w:vAlign w:val="center"/>
          </w:tcPr>
          <w:p w14:paraId="0EFE91AE">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862" w:type="dxa"/>
            <w:shd w:val="clear" w:color="auto" w:fill="auto"/>
            <w:vAlign w:val="center"/>
          </w:tcPr>
          <w:p w14:paraId="380B4C74">
            <w:pPr>
              <w:jc w:val="center"/>
              <w:rPr>
                <w:rFonts w:hint="default" w:ascii="Times New Roman" w:hAnsi="Times New Roman" w:eastAsia="宋体" w:cs="Times New Roman"/>
                <w:color w:val="000000"/>
                <w:sz w:val="21"/>
                <w:szCs w:val="21"/>
              </w:rPr>
            </w:pPr>
          </w:p>
        </w:tc>
        <w:tc>
          <w:tcPr>
            <w:tcW w:w="796" w:type="dxa"/>
            <w:shd w:val="clear" w:color="auto" w:fill="auto"/>
            <w:vAlign w:val="center"/>
          </w:tcPr>
          <w:p w14:paraId="22194172">
            <w:pPr>
              <w:jc w:val="center"/>
              <w:rPr>
                <w:rFonts w:hint="default" w:ascii="Times New Roman" w:hAnsi="Times New Roman" w:eastAsia="宋体" w:cs="Times New Roman"/>
                <w:color w:val="000000"/>
                <w:sz w:val="21"/>
                <w:szCs w:val="21"/>
              </w:rPr>
            </w:pPr>
          </w:p>
        </w:tc>
        <w:tc>
          <w:tcPr>
            <w:tcW w:w="1001" w:type="dxa"/>
            <w:shd w:val="clear" w:color="auto" w:fill="auto"/>
            <w:vAlign w:val="center"/>
          </w:tcPr>
          <w:p w14:paraId="776329CB">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81</w:t>
            </w:r>
          </w:p>
        </w:tc>
        <w:tc>
          <w:tcPr>
            <w:tcW w:w="934" w:type="dxa"/>
            <w:shd w:val="clear" w:color="auto" w:fill="auto"/>
            <w:vAlign w:val="center"/>
          </w:tcPr>
          <w:p w14:paraId="6D9BC19F">
            <w:pPr>
              <w:jc w:val="center"/>
              <w:rPr>
                <w:rFonts w:hint="default" w:ascii="Times New Roman" w:hAnsi="Times New Roman" w:eastAsia="宋体" w:cs="Times New Roman"/>
                <w:color w:val="000000"/>
                <w:sz w:val="21"/>
                <w:szCs w:val="21"/>
              </w:rPr>
            </w:pPr>
          </w:p>
        </w:tc>
      </w:tr>
      <w:tr w14:paraId="3F18F8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exact"/>
          <w:jc w:val="center"/>
        </w:trPr>
        <w:tc>
          <w:tcPr>
            <w:tcW w:w="882" w:type="dxa"/>
            <w:vMerge w:val="continue"/>
            <w:shd w:val="clear" w:color="auto" w:fill="auto"/>
            <w:vAlign w:val="center"/>
          </w:tcPr>
          <w:p w14:paraId="4DEC2B23">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p>
        </w:tc>
        <w:tc>
          <w:tcPr>
            <w:tcW w:w="724" w:type="dxa"/>
            <w:vMerge w:val="restart"/>
            <w:shd w:val="clear" w:color="auto" w:fill="auto"/>
            <w:vAlign w:val="center"/>
          </w:tcPr>
          <w:p w14:paraId="554FCFAC">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输水隧洞</w:t>
            </w:r>
          </w:p>
        </w:tc>
        <w:tc>
          <w:tcPr>
            <w:tcW w:w="1128" w:type="dxa"/>
            <w:shd w:val="clear" w:color="auto" w:fill="auto"/>
            <w:vAlign w:val="center"/>
          </w:tcPr>
          <w:p w14:paraId="672C9149">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eastAsia="zh-CN"/>
              </w:rPr>
              <w:t>土方</w:t>
            </w:r>
          </w:p>
        </w:tc>
        <w:tc>
          <w:tcPr>
            <w:tcW w:w="966" w:type="dxa"/>
            <w:shd w:val="clear" w:color="auto" w:fill="auto"/>
            <w:vAlign w:val="center"/>
          </w:tcPr>
          <w:p w14:paraId="5F7C401C">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12105</w:t>
            </w:r>
          </w:p>
        </w:tc>
        <w:tc>
          <w:tcPr>
            <w:tcW w:w="1083" w:type="dxa"/>
            <w:shd w:val="clear" w:color="auto" w:fill="auto"/>
            <w:vAlign w:val="center"/>
          </w:tcPr>
          <w:p w14:paraId="66DB4003">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10681</w:t>
            </w:r>
          </w:p>
        </w:tc>
        <w:tc>
          <w:tcPr>
            <w:tcW w:w="862" w:type="dxa"/>
            <w:shd w:val="clear" w:color="auto" w:fill="auto"/>
            <w:vAlign w:val="center"/>
          </w:tcPr>
          <w:p w14:paraId="09AAE6FB">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2731</w:t>
            </w:r>
          </w:p>
        </w:tc>
        <w:tc>
          <w:tcPr>
            <w:tcW w:w="796" w:type="dxa"/>
            <w:shd w:val="clear" w:color="auto" w:fill="auto"/>
            <w:vAlign w:val="center"/>
          </w:tcPr>
          <w:p w14:paraId="07C5A369">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2731</w:t>
            </w:r>
          </w:p>
        </w:tc>
        <w:tc>
          <w:tcPr>
            <w:tcW w:w="1001" w:type="dxa"/>
            <w:shd w:val="clear" w:color="auto" w:fill="auto"/>
            <w:vAlign w:val="center"/>
          </w:tcPr>
          <w:p w14:paraId="4766CB40">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1424</w:t>
            </w:r>
          </w:p>
        </w:tc>
        <w:tc>
          <w:tcPr>
            <w:tcW w:w="934" w:type="dxa"/>
            <w:shd w:val="clear" w:color="auto" w:fill="auto"/>
            <w:vAlign w:val="center"/>
          </w:tcPr>
          <w:p w14:paraId="64156ADC">
            <w:pPr>
              <w:jc w:val="center"/>
              <w:rPr>
                <w:rFonts w:hint="default" w:ascii="Times New Roman" w:hAnsi="Times New Roman" w:eastAsia="宋体" w:cs="Times New Roman"/>
                <w:color w:val="000000"/>
                <w:sz w:val="21"/>
                <w:szCs w:val="21"/>
              </w:rPr>
            </w:pPr>
          </w:p>
        </w:tc>
      </w:tr>
      <w:tr w14:paraId="02F253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exact"/>
          <w:jc w:val="center"/>
        </w:trPr>
        <w:tc>
          <w:tcPr>
            <w:tcW w:w="882" w:type="dxa"/>
            <w:vMerge w:val="continue"/>
            <w:shd w:val="clear" w:color="auto" w:fill="auto"/>
            <w:vAlign w:val="center"/>
          </w:tcPr>
          <w:p w14:paraId="2D36CE47">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p>
        </w:tc>
        <w:tc>
          <w:tcPr>
            <w:tcW w:w="724" w:type="dxa"/>
            <w:vMerge w:val="continue"/>
            <w:shd w:val="clear" w:color="auto" w:fill="auto"/>
            <w:vAlign w:val="center"/>
          </w:tcPr>
          <w:p w14:paraId="2726955C">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p>
        </w:tc>
        <w:tc>
          <w:tcPr>
            <w:tcW w:w="1128" w:type="dxa"/>
            <w:shd w:val="clear" w:color="auto" w:fill="auto"/>
            <w:vAlign w:val="center"/>
          </w:tcPr>
          <w:p w14:paraId="754F2D5C">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eastAsia="zh-CN"/>
              </w:rPr>
              <w:t>拆除</w:t>
            </w:r>
          </w:p>
        </w:tc>
        <w:tc>
          <w:tcPr>
            <w:tcW w:w="966" w:type="dxa"/>
            <w:shd w:val="clear" w:color="auto" w:fill="auto"/>
            <w:vAlign w:val="center"/>
          </w:tcPr>
          <w:p w14:paraId="43E0B5E2">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488</w:t>
            </w:r>
          </w:p>
        </w:tc>
        <w:tc>
          <w:tcPr>
            <w:tcW w:w="1083" w:type="dxa"/>
            <w:shd w:val="clear" w:color="auto" w:fill="auto"/>
            <w:vAlign w:val="center"/>
          </w:tcPr>
          <w:p w14:paraId="2FFE46A4">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862" w:type="dxa"/>
            <w:shd w:val="clear" w:color="auto" w:fill="auto"/>
            <w:vAlign w:val="center"/>
          </w:tcPr>
          <w:p w14:paraId="7211F995">
            <w:pPr>
              <w:jc w:val="center"/>
              <w:rPr>
                <w:rFonts w:hint="default" w:ascii="Times New Roman" w:hAnsi="Times New Roman" w:eastAsia="宋体" w:cs="Times New Roman"/>
                <w:color w:val="000000"/>
                <w:sz w:val="21"/>
                <w:szCs w:val="21"/>
              </w:rPr>
            </w:pPr>
          </w:p>
        </w:tc>
        <w:tc>
          <w:tcPr>
            <w:tcW w:w="796" w:type="dxa"/>
            <w:shd w:val="clear" w:color="auto" w:fill="auto"/>
            <w:vAlign w:val="center"/>
          </w:tcPr>
          <w:p w14:paraId="46A81135">
            <w:pPr>
              <w:jc w:val="center"/>
              <w:rPr>
                <w:rFonts w:hint="default" w:ascii="Times New Roman" w:hAnsi="Times New Roman" w:eastAsia="宋体" w:cs="Times New Roman"/>
                <w:color w:val="000000"/>
                <w:sz w:val="21"/>
                <w:szCs w:val="21"/>
              </w:rPr>
            </w:pPr>
          </w:p>
        </w:tc>
        <w:tc>
          <w:tcPr>
            <w:tcW w:w="1001" w:type="dxa"/>
            <w:shd w:val="clear" w:color="auto" w:fill="auto"/>
            <w:vAlign w:val="center"/>
          </w:tcPr>
          <w:p w14:paraId="7D28F6BD">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488</w:t>
            </w:r>
          </w:p>
        </w:tc>
        <w:tc>
          <w:tcPr>
            <w:tcW w:w="934" w:type="dxa"/>
            <w:shd w:val="clear" w:color="auto" w:fill="auto"/>
            <w:vAlign w:val="center"/>
          </w:tcPr>
          <w:p w14:paraId="1919E2B9">
            <w:pPr>
              <w:jc w:val="center"/>
              <w:rPr>
                <w:rFonts w:hint="default" w:ascii="Times New Roman" w:hAnsi="Times New Roman" w:eastAsia="宋体" w:cs="Times New Roman"/>
                <w:color w:val="000000"/>
                <w:sz w:val="21"/>
                <w:szCs w:val="21"/>
              </w:rPr>
            </w:pPr>
          </w:p>
        </w:tc>
      </w:tr>
      <w:tr w14:paraId="3AB309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exact"/>
          <w:jc w:val="center"/>
        </w:trPr>
        <w:tc>
          <w:tcPr>
            <w:tcW w:w="882" w:type="dxa"/>
            <w:vMerge w:val="continue"/>
            <w:shd w:val="clear" w:color="auto" w:fill="auto"/>
            <w:vAlign w:val="center"/>
          </w:tcPr>
          <w:p w14:paraId="2146F96D">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p>
        </w:tc>
        <w:tc>
          <w:tcPr>
            <w:tcW w:w="724" w:type="dxa"/>
            <w:vMerge w:val="restart"/>
            <w:shd w:val="clear" w:color="auto" w:fill="auto"/>
            <w:vAlign w:val="center"/>
          </w:tcPr>
          <w:p w14:paraId="52887406">
            <w:pPr>
              <w:keepNext w:val="0"/>
              <w:keepLines w:val="0"/>
              <w:pageBreakBefore w:val="0"/>
              <w:kinsoku/>
              <w:wordWrap/>
              <w:overflowPunct/>
              <w:topLinePunct w:val="0"/>
              <w:autoSpaceDE/>
              <w:autoSpaceDN/>
              <w:bidi w:val="0"/>
              <w:spacing w:line="240" w:lineRule="auto"/>
              <w:ind w:firstLine="0" w:firstLineChars="0"/>
              <w:jc w:val="both"/>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引水渠</w:t>
            </w:r>
          </w:p>
        </w:tc>
        <w:tc>
          <w:tcPr>
            <w:tcW w:w="1128" w:type="dxa"/>
            <w:shd w:val="clear" w:color="auto" w:fill="auto"/>
            <w:vAlign w:val="center"/>
          </w:tcPr>
          <w:p w14:paraId="184A5AC7">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eastAsia="zh-CN"/>
              </w:rPr>
              <w:t>土方</w:t>
            </w:r>
          </w:p>
        </w:tc>
        <w:tc>
          <w:tcPr>
            <w:tcW w:w="966" w:type="dxa"/>
            <w:shd w:val="clear" w:color="auto" w:fill="auto"/>
            <w:vAlign w:val="center"/>
          </w:tcPr>
          <w:p w14:paraId="40F8E209">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3050</w:t>
            </w:r>
          </w:p>
        </w:tc>
        <w:tc>
          <w:tcPr>
            <w:tcW w:w="1083" w:type="dxa"/>
            <w:shd w:val="clear" w:color="auto" w:fill="auto"/>
            <w:vAlign w:val="center"/>
          </w:tcPr>
          <w:p w14:paraId="74D624FF">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2153</w:t>
            </w:r>
          </w:p>
        </w:tc>
        <w:tc>
          <w:tcPr>
            <w:tcW w:w="862" w:type="dxa"/>
            <w:shd w:val="clear" w:color="auto" w:fill="auto"/>
            <w:vAlign w:val="center"/>
          </w:tcPr>
          <w:p w14:paraId="2546812A">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961</w:t>
            </w:r>
          </w:p>
        </w:tc>
        <w:tc>
          <w:tcPr>
            <w:tcW w:w="796" w:type="dxa"/>
            <w:shd w:val="clear" w:color="auto" w:fill="auto"/>
            <w:vAlign w:val="center"/>
          </w:tcPr>
          <w:p w14:paraId="0AA73E69">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961</w:t>
            </w:r>
          </w:p>
        </w:tc>
        <w:tc>
          <w:tcPr>
            <w:tcW w:w="1001" w:type="dxa"/>
            <w:shd w:val="clear" w:color="auto" w:fill="auto"/>
            <w:vAlign w:val="center"/>
          </w:tcPr>
          <w:p w14:paraId="5CB9802A">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897</w:t>
            </w:r>
          </w:p>
        </w:tc>
        <w:tc>
          <w:tcPr>
            <w:tcW w:w="934" w:type="dxa"/>
            <w:shd w:val="clear" w:color="auto" w:fill="auto"/>
            <w:vAlign w:val="center"/>
          </w:tcPr>
          <w:p w14:paraId="2E2A346F">
            <w:pPr>
              <w:jc w:val="center"/>
              <w:rPr>
                <w:rFonts w:hint="default" w:ascii="Times New Roman" w:hAnsi="Times New Roman" w:eastAsia="宋体" w:cs="Times New Roman"/>
                <w:color w:val="000000"/>
                <w:sz w:val="21"/>
                <w:szCs w:val="21"/>
              </w:rPr>
            </w:pPr>
          </w:p>
        </w:tc>
      </w:tr>
      <w:tr w14:paraId="55049C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exact"/>
          <w:jc w:val="center"/>
        </w:trPr>
        <w:tc>
          <w:tcPr>
            <w:tcW w:w="882" w:type="dxa"/>
            <w:vMerge w:val="continue"/>
            <w:shd w:val="clear" w:color="auto" w:fill="auto"/>
            <w:vAlign w:val="center"/>
          </w:tcPr>
          <w:p w14:paraId="787978F7">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p>
        </w:tc>
        <w:tc>
          <w:tcPr>
            <w:tcW w:w="724" w:type="dxa"/>
            <w:vMerge w:val="continue"/>
            <w:shd w:val="clear" w:color="auto" w:fill="auto"/>
            <w:vAlign w:val="center"/>
          </w:tcPr>
          <w:p w14:paraId="5A702A0C">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p>
        </w:tc>
        <w:tc>
          <w:tcPr>
            <w:tcW w:w="1128" w:type="dxa"/>
            <w:shd w:val="clear" w:color="auto" w:fill="auto"/>
            <w:vAlign w:val="center"/>
          </w:tcPr>
          <w:p w14:paraId="650494B1">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eastAsia="zh-CN"/>
              </w:rPr>
              <w:t>拆除</w:t>
            </w:r>
          </w:p>
        </w:tc>
        <w:tc>
          <w:tcPr>
            <w:tcW w:w="966" w:type="dxa"/>
            <w:shd w:val="clear" w:color="auto" w:fill="auto"/>
            <w:vAlign w:val="center"/>
          </w:tcPr>
          <w:p w14:paraId="366B2174">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083" w:type="dxa"/>
            <w:shd w:val="clear" w:color="auto" w:fill="auto"/>
            <w:vAlign w:val="center"/>
          </w:tcPr>
          <w:p w14:paraId="1BCB471E">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862" w:type="dxa"/>
            <w:shd w:val="clear" w:color="auto" w:fill="auto"/>
            <w:vAlign w:val="center"/>
          </w:tcPr>
          <w:p w14:paraId="43B847FE">
            <w:pPr>
              <w:jc w:val="center"/>
              <w:rPr>
                <w:rFonts w:hint="default" w:ascii="Times New Roman" w:hAnsi="Times New Roman" w:eastAsia="宋体" w:cs="Times New Roman"/>
                <w:color w:val="000000"/>
                <w:sz w:val="21"/>
                <w:szCs w:val="21"/>
              </w:rPr>
            </w:pPr>
          </w:p>
        </w:tc>
        <w:tc>
          <w:tcPr>
            <w:tcW w:w="796" w:type="dxa"/>
            <w:shd w:val="clear" w:color="auto" w:fill="auto"/>
            <w:vAlign w:val="center"/>
          </w:tcPr>
          <w:p w14:paraId="0942840A">
            <w:pPr>
              <w:jc w:val="center"/>
              <w:rPr>
                <w:rFonts w:hint="default" w:ascii="Times New Roman" w:hAnsi="Times New Roman" w:eastAsia="宋体" w:cs="Times New Roman"/>
                <w:color w:val="000000"/>
                <w:sz w:val="21"/>
                <w:szCs w:val="21"/>
              </w:rPr>
            </w:pPr>
          </w:p>
        </w:tc>
        <w:tc>
          <w:tcPr>
            <w:tcW w:w="1001" w:type="dxa"/>
            <w:shd w:val="clear" w:color="auto" w:fill="auto"/>
            <w:vAlign w:val="center"/>
          </w:tcPr>
          <w:p w14:paraId="4EC33701">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934" w:type="dxa"/>
            <w:shd w:val="clear" w:color="auto" w:fill="auto"/>
            <w:vAlign w:val="center"/>
          </w:tcPr>
          <w:p w14:paraId="513F559D">
            <w:pPr>
              <w:jc w:val="center"/>
              <w:rPr>
                <w:rFonts w:hint="default" w:ascii="Times New Roman" w:hAnsi="Times New Roman" w:eastAsia="宋体" w:cs="Times New Roman"/>
                <w:color w:val="000000"/>
                <w:sz w:val="21"/>
                <w:szCs w:val="21"/>
              </w:rPr>
            </w:pPr>
          </w:p>
        </w:tc>
      </w:tr>
      <w:tr w14:paraId="7EDD5A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47" w:hRule="exact"/>
          <w:jc w:val="center"/>
        </w:trPr>
        <w:tc>
          <w:tcPr>
            <w:tcW w:w="882" w:type="dxa"/>
            <w:shd w:val="clear" w:color="auto" w:fill="auto"/>
            <w:vAlign w:val="center"/>
          </w:tcPr>
          <w:p w14:paraId="7FC53F25">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临时堆土区</w:t>
            </w:r>
          </w:p>
        </w:tc>
        <w:tc>
          <w:tcPr>
            <w:tcW w:w="724" w:type="dxa"/>
            <w:shd w:val="clear" w:color="auto" w:fill="auto"/>
            <w:vAlign w:val="center"/>
          </w:tcPr>
          <w:p w14:paraId="7AF2F831">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场地</w:t>
            </w:r>
          </w:p>
        </w:tc>
        <w:tc>
          <w:tcPr>
            <w:tcW w:w="1128" w:type="dxa"/>
            <w:shd w:val="clear" w:color="auto" w:fill="auto"/>
            <w:vAlign w:val="center"/>
          </w:tcPr>
          <w:p w14:paraId="053152AF">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eastAsia="zh-CN"/>
              </w:rPr>
              <w:t>表土</w:t>
            </w:r>
          </w:p>
        </w:tc>
        <w:tc>
          <w:tcPr>
            <w:tcW w:w="966" w:type="dxa"/>
            <w:shd w:val="clear" w:color="auto" w:fill="auto"/>
            <w:vAlign w:val="center"/>
          </w:tcPr>
          <w:p w14:paraId="7C99659F">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1590</w:t>
            </w:r>
          </w:p>
        </w:tc>
        <w:tc>
          <w:tcPr>
            <w:tcW w:w="1083" w:type="dxa"/>
            <w:shd w:val="clear" w:color="auto" w:fill="auto"/>
            <w:vAlign w:val="center"/>
          </w:tcPr>
          <w:p w14:paraId="112D7F51">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1590</w:t>
            </w:r>
          </w:p>
        </w:tc>
        <w:tc>
          <w:tcPr>
            <w:tcW w:w="862" w:type="dxa"/>
            <w:shd w:val="clear" w:color="auto" w:fill="auto"/>
            <w:vAlign w:val="center"/>
          </w:tcPr>
          <w:p w14:paraId="5E40E867">
            <w:pPr>
              <w:jc w:val="center"/>
              <w:rPr>
                <w:rFonts w:hint="default" w:ascii="Times New Roman" w:hAnsi="Times New Roman" w:eastAsia="宋体" w:cs="Times New Roman"/>
                <w:color w:val="000000"/>
                <w:sz w:val="21"/>
                <w:szCs w:val="21"/>
              </w:rPr>
            </w:pPr>
          </w:p>
        </w:tc>
        <w:tc>
          <w:tcPr>
            <w:tcW w:w="796" w:type="dxa"/>
            <w:shd w:val="clear" w:color="auto" w:fill="auto"/>
            <w:vAlign w:val="center"/>
          </w:tcPr>
          <w:p w14:paraId="37F64B20">
            <w:pPr>
              <w:jc w:val="center"/>
              <w:rPr>
                <w:rFonts w:hint="default" w:ascii="Times New Roman" w:hAnsi="Times New Roman" w:eastAsia="宋体" w:cs="Times New Roman"/>
                <w:color w:val="000000"/>
                <w:sz w:val="21"/>
                <w:szCs w:val="21"/>
              </w:rPr>
            </w:pPr>
          </w:p>
        </w:tc>
        <w:tc>
          <w:tcPr>
            <w:tcW w:w="1001" w:type="dxa"/>
            <w:shd w:val="clear" w:color="auto" w:fill="auto"/>
            <w:vAlign w:val="center"/>
          </w:tcPr>
          <w:p w14:paraId="24CCF93F">
            <w:pPr>
              <w:jc w:val="center"/>
              <w:rPr>
                <w:rFonts w:hint="default" w:ascii="Times New Roman" w:hAnsi="Times New Roman" w:eastAsia="宋体" w:cs="Times New Roman"/>
                <w:color w:val="000000"/>
                <w:sz w:val="21"/>
                <w:szCs w:val="21"/>
              </w:rPr>
            </w:pPr>
          </w:p>
        </w:tc>
        <w:tc>
          <w:tcPr>
            <w:tcW w:w="934" w:type="dxa"/>
            <w:shd w:val="clear" w:color="auto" w:fill="auto"/>
            <w:vAlign w:val="center"/>
          </w:tcPr>
          <w:p w14:paraId="187FC928">
            <w:pPr>
              <w:jc w:val="center"/>
              <w:rPr>
                <w:rFonts w:hint="default" w:ascii="Times New Roman" w:hAnsi="Times New Roman" w:eastAsia="宋体" w:cs="Times New Roman"/>
                <w:color w:val="000000"/>
                <w:sz w:val="21"/>
                <w:szCs w:val="21"/>
              </w:rPr>
            </w:pPr>
          </w:p>
        </w:tc>
      </w:tr>
      <w:tr w14:paraId="07CF22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47" w:hRule="exact"/>
          <w:jc w:val="center"/>
        </w:trPr>
        <w:tc>
          <w:tcPr>
            <w:tcW w:w="882" w:type="dxa"/>
            <w:shd w:val="clear" w:color="auto" w:fill="auto"/>
            <w:vAlign w:val="center"/>
          </w:tcPr>
          <w:p w14:paraId="7B9B2852">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施工生产区</w:t>
            </w:r>
          </w:p>
        </w:tc>
        <w:tc>
          <w:tcPr>
            <w:tcW w:w="724" w:type="dxa"/>
            <w:shd w:val="clear" w:color="auto" w:fill="auto"/>
            <w:vAlign w:val="center"/>
          </w:tcPr>
          <w:p w14:paraId="49A8D6C7">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场地</w:t>
            </w:r>
          </w:p>
        </w:tc>
        <w:tc>
          <w:tcPr>
            <w:tcW w:w="1128" w:type="dxa"/>
            <w:shd w:val="clear" w:color="auto" w:fill="auto"/>
            <w:vAlign w:val="center"/>
          </w:tcPr>
          <w:p w14:paraId="054A80C3">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eastAsia="zh-CN"/>
              </w:rPr>
              <w:t>表土</w:t>
            </w:r>
          </w:p>
        </w:tc>
        <w:tc>
          <w:tcPr>
            <w:tcW w:w="966" w:type="dxa"/>
            <w:shd w:val="clear" w:color="auto" w:fill="auto"/>
            <w:vAlign w:val="center"/>
          </w:tcPr>
          <w:p w14:paraId="0C6E38E4">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900</w:t>
            </w:r>
          </w:p>
        </w:tc>
        <w:tc>
          <w:tcPr>
            <w:tcW w:w="1083" w:type="dxa"/>
            <w:shd w:val="clear" w:color="auto" w:fill="auto"/>
            <w:vAlign w:val="center"/>
          </w:tcPr>
          <w:p w14:paraId="504C2402">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900</w:t>
            </w:r>
          </w:p>
        </w:tc>
        <w:tc>
          <w:tcPr>
            <w:tcW w:w="862" w:type="dxa"/>
            <w:shd w:val="clear" w:color="auto" w:fill="auto"/>
            <w:vAlign w:val="center"/>
          </w:tcPr>
          <w:p w14:paraId="4AFC36D9">
            <w:pPr>
              <w:jc w:val="center"/>
              <w:rPr>
                <w:rFonts w:hint="default" w:ascii="Times New Roman" w:hAnsi="Times New Roman" w:eastAsia="宋体" w:cs="Times New Roman"/>
                <w:color w:val="000000"/>
                <w:sz w:val="21"/>
                <w:szCs w:val="21"/>
              </w:rPr>
            </w:pPr>
          </w:p>
        </w:tc>
        <w:tc>
          <w:tcPr>
            <w:tcW w:w="796" w:type="dxa"/>
            <w:shd w:val="clear" w:color="auto" w:fill="auto"/>
            <w:vAlign w:val="center"/>
          </w:tcPr>
          <w:p w14:paraId="1DD1CA4B">
            <w:pPr>
              <w:jc w:val="center"/>
              <w:rPr>
                <w:rFonts w:hint="default" w:ascii="Times New Roman" w:hAnsi="Times New Roman" w:eastAsia="宋体" w:cs="Times New Roman"/>
                <w:color w:val="000000"/>
                <w:sz w:val="21"/>
                <w:szCs w:val="21"/>
              </w:rPr>
            </w:pPr>
          </w:p>
        </w:tc>
        <w:tc>
          <w:tcPr>
            <w:tcW w:w="1001" w:type="dxa"/>
            <w:shd w:val="clear" w:color="auto" w:fill="auto"/>
            <w:vAlign w:val="center"/>
          </w:tcPr>
          <w:p w14:paraId="13F31ED1">
            <w:pPr>
              <w:jc w:val="center"/>
              <w:rPr>
                <w:rFonts w:hint="default" w:ascii="Times New Roman" w:hAnsi="Times New Roman" w:eastAsia="宋体" w:cs="Times New Roman"/>
                <w:color w:val="000000"/>
                <w:sz w:val="21"/>
                <w:szCs w:val="21"/>
              </w:rPr>
            </w:pPr>
          </w:p>
        </w:tc>
        <w:tc>
          <w:tcPr>
            <w:tcW w:w="934" w:type="dxa"/>
            <w:shd w:val="clear" w:color="auto" w:fill="auto"/>
            <w:vAlign w:val="center"/>
          </w:tcPr>
          <w:p w14:paraId="6C388C4F">
            <w:pPr>
              <w:jc w:val="center"/>
              <w:rPr>
                <w:rFonts w:hint="default" w:ascii="Times New Roman" w:hAnsi="Times New Roman" w:eastAsia="宋体" w:cs="Times New Roman"/>
                <w:color w:val="000000"/>
                <w:sz w:val="21"/>
                <w:szCs w:val="21"/>
              </w:rPr>
            </w:pPr>
          </w:p>
        </w:tc>
      </w:tr>
      <w:tr w14:paraId="1D3655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exact"/>
          <w:jc w:val="center"/>
        </w:trPr>
        <w:tc>
          <w:tcPr>
            <w:tcW w:w="882" w:type="dxa"/>
            <w:vMerge w:val="restart"/>
            <w:shd w:val="clear" w:color="auto" w:fill="auto"/>
            <w:vAlign w:val="center"/>
          </w:tcPr>
          <w:p w14:paraId="12315FBF">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弃渣场</w:t>
            </w:r>
          </w:p>
        </w:tc>
        <w:tc>
          <w:tcPr>
            <w:tcW w:w="724" w:type="dxa"/>
            <w:vMerge w:val="restart"/>
            <w:shd w:val="clear" w:color="auto" w:fill="auto"/>
            <w:vAlign w:val="center"/>
          </w:tcPr>
          <w:p w14:paraId="54FA05EE">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eastAsia="zh-CN"/>
              </w:rPr>
              <w:t>场地</w:t>
            </w:r>
          </w:p>
        </w:tc>
        <w:tc>
          <w:tcPr>
            <w:tcW w:w="1128" w:type="dxa"/>
            <w:shd w:val="clear" w:color="auto" w:fill="auto"/>
            <w:vAlign w:val="center"/>
          </w:tcPr>
          <w:p w14:paraId="3D5C1FD9">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eastAsia="zh-CN"/>
              </w:rPr>
              <w:t>表土</w:t>
            </w:r>
          </w:p>
        </w:tc>
        <w:tc>
          <w:tcPr>
            <w:tcW w:w="966" w:type="dxa"/>
            <w:shd w:val="clear" w:color="auto" w:fill="auto"/>
            <w:vAlign w:val="center"/>
          </w:tcPr>
          <w:p w14:paraId="6897798E">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570</w:t>
            </w:r>
          </w:p>
        </w:tc>
        <w:tc>
          <w:tcPr>
            <w:tcW w:w="1083" w:type="dxa"/>
            <w:shd w:val="clear" w:color="auto" w:fill="auto"/>
            <w:vAlign w:val="center"/>
          </w:tcPr>
          <w:p w14:paraId="75271357">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570</w:t>
            </w:r>
          </w:p>
        </w:tc>
        <w:tc>
          <w:tcPr>
            <w:tcW w:w="862" w:type="dxa"/>
            <w:shd w:val="clear" w:color="auto" w:fill="auto"/>
            <w:vAlign w:val="center"/>
          </w:tcPr>
          <w:p w14:paraId="75E58FD3">
            <w:pPr>
              <w:jc w:val="center"/>
              <w:rPr>
                <w:rFonts w:hint="default" w:ascii="Times New Roman" w:hAnsi="Times New Roman" w:eastAsia="宋体" w:cs="Times New Roman"/>
                <w:color w:val="000000"/>
                <w:sz w:val="21"/>
                <w:szCs w:val="21"/>
              </w:rPr>
            </w:pPr>
          </w:p>
        </w:tc>
        <w:tc>
          <w:tcPr>
            <w:tcW w:w="796" w:type="dxa"/>
            <w:shd w:val="clear" w:color="auto" w:fill="auto"/>
            <w:vAlign w:val="center"/>
          </w:tcPr>
          <w:p w14:paraId="258EFE7A">
            <w:pPr>
              <w:jc w:val="center"/>
              <w:rPr>
                <w:rFonts w:hint="default" w:ascii="Times New Roman" w:hAnsi="Times New Roman" w:eastAsia="宋体" w:cs="Times New Roman"/>
                <w:color w:val="000000"/>
                <w:sz w:val="21"/>
                <w:szCs w:val="21"/>
              </w:rPr>
            </w:pPr>
          </w:p>
        </w:tc>
        <w:tc>
          <w:tcPr>
            <w:tcW w:w="1001" w:type="dxa"/>
            <w:shd w:val="clear" w:color="auto" w:fill="auto"/>
            <w:vAlign w:val="center"/>
          </w:tcPr>
          <w:p w14:paraId="188E362F">
            <w:pPr>
              <w:jc w:val="center"/>
              <w:rPr>
                <w:rFonts w:hint="default" w:ascii="Times New Roman" w:hAnsi="Times New Roman" w:eastAsia="宋体" w:cs="Times New Roman"/>
                <w:color w:val="000000"/>
                <w:sz w:val="21"/>
                <w:szCs w:val="21"/>
              </w:rPr>
            </w:pPr>
          </w:p>
        </w:tc>
        <w:tc>
          <w:tcPr>
            <w:tcW w:w="934" w:type="dxa"/>
            <w:shd w:val="clear" w:color="auto" w:fill="auto"/>
            <w:vAlign w:val="center"/>
          </w:tcPr>
          <w:p w14:paraId="2BB5A417">
            <w:pPr>
              <w:jc w:val="center"/>
              <w:rPr>
                <w:rFonts w:hint="default" w:ascii="Times New Roman" w:hAnsi="Times New Roman" w:eastAsia="宋体" w:cs="Times New Roman"/>
                <w:color w:val="000000"/>
                <w:sz w:val="21"/>
                <w:szCs w:val="21"/>
              </w:rPr>
            </w:pPr>
          </w:p>
        </w:tc>
      </w:tr>
      <w:tr w14:paraId="3BD0B3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exact"/>
          <w:jc w:val="center"/>
        </w:trPr>
        <w:tc>
          <w:tcPr>
            <w:tcW w:w="882" w:type="dxa"/>
            <w:vMerge w:val="continue"/>
            <w:shd w:val="clear" w:color="auto" w:fill="auto"/>
            <w:vAlign w:val="center"/>
          </w:tcPr>
          <w:p w14:paraId="3FB45C09">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p>
        </w:tc>
        <w:tc>
          <w:tcPr>
            <w:tcW w:w="724" w:type="dxa"/>
            <w:vMerge w:val="continue"/>
            <w:shd w:val="clear" w:color="auto" w:fill="auto"/>
            <w:vAlign w:val="center"/>
          </w:tcPr>
          <w:p w14:paraId="16AA217D">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p>
        </w:tc>
        <w:tc>
          <w:tcPr>
            <w:tcW w:w="1128" w:type="dxa"/>
            <w:shd w:val="clear" w:color="auto" w:fill="auto"/>
            <w:vAlign w:val="center"/>
          </w:tcPr>
          <w:p w14:paraId="674B3013">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土石方</w:t>
            </w:r>
          </w:p>
        </w:tc>
        <w:tc>
          <w:tcPr>
            <w:tcW w:w="966" w:type="dxa"/>
            <w:shd w:val="clear" w:color="auto" w:fill="auto"/>
            <w:vAlign w:val="center"/>
          </w:tcPr>
          <w:p w14:paraId="607C8A13">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083" w:type="dxa"/>
            <w:shd w:val="clear" w:color="auto" w:fill="auto"/>
            <w:vAlign w:val="center"/>
          </w:tcPr>
          <w:p w14:paraId="1FDADCA8">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9883</w:t>
            </w:r>
          </w:p>
        </w:tc>
        <w:tc>
          <w:tcPr>
            <w:tcW w:w="862" w:type="dxa"/>
            <w:shd w:val="clear" w:color="auto" w:fill="auto"/>
            <w:vAlign w:val="center"/>
          </w:tcPr>
          <w:p w14:paraId="1F94F2E5">
            <w:pPr>
              <w:jc w:val="center"/>
              <w:rPr>
                <w:rFonts w:hint="default" w:ascii="Times New Roman" w:hAnsi="Times New Roman" w:eastAsia="宋体" w:cs="Times New Roman"/>
                <w:color w:val="000000"/>
                <w:sz w:val="21"/>
                <w:szCs w:val="21"/>
              </w:rPr>
            </w:pPr>
          </w:p>
        </w:tc>
        <w:tc>
          <w:tcPr>
            <w:tcW w:w="796" w:type="dxa"/>
            <w:shd w:val="clear" w:color="auto" w:fill="auto"/>
            <w:vAlign w:val="center"/>
          </w:tcPr>
          <w:p w14:paraId="2F460FC1">
            <w:pPr>
              <w:jc w:val="center"/>
              <w:rPr>
                <w:rFonts w:hint="default" w:ascii="Times New Roman" w:hAnsi="Times New Roman" w:eastAsia="宋体" w:cs="Times New Roman"/>
                <w:color w:val="000000"/>
                <w:sz w:val="21"/>
                <w:szCs w:val="21"/>
              </w:rPr>
            </w:pPr>
          </w:p>
        </w:tc>
        <w:tc>
          <w:tcPr>
            <w:tcW w:w="1001" w:type="dxa"/>
            <w:shd w:val="clear" w:color="auto" w:fill="auto"/>
            <w:vAlign w:val="center"/>
          </w:tcPr>
          <w:p w14:paraId="0391B423">
            <w:pPr>
              <w:jc w:val="center"/>
              <w:rPr>
                <w:rFonts w:hint="default" w:ascii="Times New Roman" w:hAnsi="Times New Roman" w:eastAsia="宋体" w:cs="Times New Roman"/>
                <w:color w:val="000000"/>
                <w:sz w:val="21"/>
                <w:szCs w:val="21"/>
              </w:rPr>
            </w:pPr>
          </w:p>
        </w:tc>
        <w:tc>
          <w:tcPr>
            <w:tcW w:w="934" w:type="dxa"/>
            <w:shd w:val="clear" w:color="auto" w:fill="auto"/>
            <w:vAlign w:val="center"/>
          </w:tcPr>
          <w:p w14:paraId="4ACFF61D">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9883</w:t>
            </w:r>
          </w:p>
        </w:tc>
      </w:tr>
      <w:tr w14:paraId="37EA21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exact"/>
          <w:jc w:val="center"/>
        </w:trPr>
        <w:tc>
          <w:tcPr>
            <w:tcW w:w="2734" w:type="dxa"/>
            <w:gridSpan w:val="3"/>
            <w:shd w:val="clear" w:color="auto" w:fill="auto"/>
            <w:vAlign w:val="center"/>
          </w:tcPr>
          <w:p w14:paraId="70007BD3">
            <w:pPr>
              <w:keepNext w:val="0"/>
              <w:keepLines w:val="0"/>
              <w:pageBreakBefore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合计</w:t>
            </w:r>
          </w:p>
        </w:tc>
        <w:tc>
          <w:tcPr>
            <w:tcW w:w="966" w:type="dxa"/>
            <w:shd w:val="clear" w:color="auto" w:fill="auto"/>
            <w:vAlign w:val="center"/>
          </w:tcPr>
          <w:p w14:paraId="62CA0715">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34414</w:t>
            </w:r>
          </w:p>
        </w:tc>
        <w:tc>
          <w:tcPr>
            <w:tcW w:w="1083" w:type="dxa"/>
            <w:shd w:val="clear" w:color="auto" w:fill="auto"/>
            <w:vAlign w:val="center"/>
          </w:tcPr>
          <w:p w14:paraId="28157F8D">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34414</w:t>
            </w:r>
          </w:p>
        </w:tc>
        <w:tc>
          <w:tcPr>
            <w:tcW w:w="862" w:type="dxa"/>
            <w:shd w:val="clear" w:color="auto" w:fill="auto"/>
            <w:vAlign w:val="center"/>
          </w:tcPr>
          <w:p w14:paraId="0EBB58BB">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3692</w:t>
            </w:r>
          </w:p>
        </w:tc>
        <w:tc>
          <w:tcPr>
            <w:tcW w:w="796" w:type="dxa"/>
            <w:shd w:val="clear" w:color="auto" w:fill="auto"/>
            <w:vAlign w:val="center"/>
          </w:tcPr>
          <w:p w14:paraId="0798A84F">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3692</w:t>
            </w:r>
          </w:p>
        </w:tc>
        <w:tc>
          <w:tcPr>
            <w:tcW w:w="1001" w:type="dxa"/>
            <w:shd w:val="clear" w:color="auto" w:fill="auto"/>
            <w:vAlign w:val="center"/>
          </w:tcPr>
          <w:p w14:paraId="3CB61A9A">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9883</w:t>
            </w:r>
          </w:p>
        </w:tc>
        <w:tc>
          <w:tcPr>
            <w:tcW w:w="934" w:type="dxa"/>
            <w:shd w:val="clear" w:color="auto" w:fill="auto"/>
            <w:vAlign w:val="center"/>
          </w:tcPr>
          <w:p w14:paraId="1553D77F">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iCs w:val="0"/>
                <w:color w:val="000000"/>
                <w:kern w:val="0"/>
                <w:sz w:val="21"/>
                <w:szCs w:val="21"/>
                <w:u w:val="none"/>
                <w:lang w:val="en-US" w:eastAsia="zh-CN" w:bidi="ar"/>
              </w:rPr>
              <w:t>9883</w:t>
            </w:r>
          </w:p>
        </w:tc>
      </w:tr>
    </w:tbl>
    <w:p w14:paraId="4832DD90">
      <w:pPr>
        <w:keepNext w:val="0"/>
        <w:keepLines w:val="0"/>
        <w:pageBreakBefore w:val="0"/>
        <w:widowControl w:val="0"/>
        <w:kinsoku/>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p>
    <w:p w14:paraId="313E406C">
      <w:pPr>
        <w:keepNext w:val="0"/>
        <w:keepLines w:val="0"/>
        <w:pageBreakBefore w:val="0"/>
        <w:widowControl w:val="0"/>
        <w:kinsoku w:val="0"/>
        <w:wordWrap w:val="0"/>
        <w:overflowPunct/>
        <w:topLinePunct/>
        <w:autoSpaceDE/>
        <w:autoSpaceDN/>
        <w:bidi w:val="0"/>
        <w:adjustRightInd w:val="0"/>
        <w:snapToGrid/>
        <w:spacing w:line="360" w:lineRule="auto"/>
        <w:ind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rPr>
      </w:pPr>
      <w:r>
        <w:rPr>
          <w:rFonts w:hint="default" w:ascii="Times New Roman" w:hAnsi="Times New Roman" w:eastAsia="宋体" w:cs="Times New Roman"/>
          <w:b/>
          <w:bCs/>
          <w:caps w:val="0"/>
          <w:smallCaps w:val="0"/>
          <w:color w:val="auto"/>
          <w:spacing w:val="0"/>
          <w:w w:val="100"/>
          <w:kern w:val="0"/>
          <w:position w:val="0"/>
          <w:sz w:val="24"/>
          <w:szCs w:val="24"/>
          <w:u w:val="none" w:color="auto"/>
        </w:rPr>
        <w:t>（2）</w:t>
      </w: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老建筑</w:t>
      </w:r>
      <w:r>
        <w:rPr>
          <w:rFonts w:hint="default" w:ascii="Times New Roman" w:hAnsi="Times New Roman" w:eastAsia="宋体" w:cs="Times New Roman"/>
          <w:b/>
          <w:bCs/>
          <w:caps w:val="0"/>
          <w:smallCaps w:val="0"/>
          <w:color w:val="auto"/>
          <w:spacing w:val="0"/>
          <w:w w:val="100"/>
          <w:kern w:val="0"/>
          <w:position w:val="0"/>
          <w:sz w:val="24"/>
          <w:szCs w:val="24"/>
          <w:u w:val="none" w:color="auto"/>
        </w:rPr>
        <w:t>拆除</w:t>
      </w:r>
    </w:p>
    <w:p w14:paraId="715F81AD">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本工程拆除工程量</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较</w:t>
      </w:r>
      <w:r>
        <w:rPr>
          <w:rFonts w:hint="default" w:ascii="Times New Roman" w:hAnsi="Times New Roman" w:eastAsia="宋体" w:cs="Times New Roman"/>
          <w:caps w:val="0"/>
          <w:smallCaps w:val="0"/>
          <w:color w:val="auto"/>
          <w:spacing w:val="0"/>
          <w:w w:val="100"/>
          <w:kern w:val="0"/>
          <w:position w:val="0"/>
          <w:sz w:val="24"/>
          <w:szCs w:val="24"/>
          <w:u w:val="none" w:color="auto"/>
        </w:rPr>
        <w:t>大，范围较广，较危险，拆除前应清理周边及地下建筑物、构筑物和管线等，断水断电，必要时实行交通管制。</w:t>
      </w:r>
    </w:p>
    <w:p w14:paraId="51FEC40E">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混凝土拆除采用液压破碎机破碎，0.6m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rPr>
        <w:t>反铲装车，3.5t自卸汽车运至弃渣场。砌体和路基等拆除采用人工配合0.6m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rPr>
        <w:t>反铲撬挖，装8t自卸汽车运至弃渣场。</w:t>
      </w:r>
    </w:p>
    <w:p w14:paraId="33399A99">
      <w:pPr>
        <w:pageBreakBefore w:val="0"/>
        <w:kinsoku w:val="0"/>
        <w:wordWrap w:val="0"/>
        <w:overflowPunct/>
        <w:topLinePunct/>
        <w:autoSpaceDE/>
        <w:autoSpaceDN/>
        <w:bidi w:val="0"/>
        <w:adjustRightInd w:val="0"/>
        <w:spacing w:line="360" w:lineRule="auto"/>
        <w:ind w:firstLine="482" w:firstLineChars="200"/>
        <w:rPr>
          <w:rFonts w:hint="default" w:ascii="Times New Roman" w:hAnsi="Times New Roman" w:eastAsia="宋体" w:cs="Times New Roman"/>
          <w:b/>
          <w:bCs/>
          <w:caps w:val="0"/>
          <w:smallCaps w:val="0"/>
          <w:color w:val="auto"/>
          <w:spacing w:val="0"/>
          <w:w w:val="100"/>
          <w:kern w:val="0"/>
          <w:position w:val="0"/>
          <w:sz w:val="24"/>
          <w:szCs w:val="24"/>
          <w:u w:val="none" w:color="auto"/>
        </w:rPr>
      </w:pPr>
      <w:r>
        <w:rPr>
          <w:rFonts w:hint="default" w:ascii="Times New Roman" w:hAnsi="Times New Roman" w:eastAsia="宋体" w:cs="Times New Roman"/>
          <w:b/>
          <w:bCs/>
          <w:caps w:val="0"/>
          <w:smallCaps w:val="0"/>
          <w:color w:val="auto"/>
          <w:spacing w:val="0"/>
          <w:w w:val="100"/>
          <w:kern w:val="0"/>
          <w:position w:val="0"/>
          <w:sz w:val="24"/>
          <w:szCs w:val="24"/>
          <w:u w:val="none" w:color="auto"/>
        </w:rPr>
        <w:t>（3）塑性混凝土防渗墙</w:t>
      </w:r>
    </w:p>
    <w:p w14:paraId="184C3F03">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1）施工平台和导墙</w:t>
      </w:r>
    </w:p>
    <w:p w14:paraId="6306260A">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本工程塑性混凝土防渗墙厚度为0.6m，墙底深入基岩1.0m。防渗墙主要采用冲击钻成槽，施工平台需要约10m宽。施工平台应坚固、平整，满足施工设备作业要求。</w:t>
      </w:r>
    </w:p>
    <w:p w14:paraId="5D071B69">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防渗墙施工时，先修建混凝土导墙，导墙间距离0.7m，导墙采用矩形断面，其中心线与防渗墙中心线一致。</w:t>
      </w:r>
    </w:p>
    <w:p w14:paraId="1C919C1A">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2）施工工艺</w:t>
      </w:r>
    </w:p>
    <w:p w14:paraId="3CF0C748">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防渗墙采用泥浆固壁、液压抓斗成槽、泥浆下混凝土直升导管法浇筑、接头管法连续成墙。施工工艺流程为：液压抓斗+冲击钻成槽——泥浆固壁——墙体材料制备——预埋钢管——泥浆下直升导管法浇筑——单元成墙——移位，连续成墙。</w:t>
      </w:r>
    </w:p>
    <w:p w14:paraId="2D9205A5">
      <w:pPr>
        <w:spacing w:beforeLines="0" w:afterLines="0" w:line="360" w:lineRule="auto"/>
        <w:ind w:firstLine="480" w:firstLineChars="200"/>
        <w:jc w:val="left"/>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sz w:val="24"/>
          <w:szCs w:val="24"/>
        </w:rPr>
        <w:t>防渗墙分二序施工，本工程槽孔长度按8m选取。合龙槽孔宜为短槽孔，并宜安排在深度较浅、地质条件较好的地方。</w:t>
      </w:r>
    </w:p>
    <w:p w14:paraId="4550E661">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3）造孔</w:t>
      </w:r>
    </w:p>
    <w:p w14:paraId="35A7C65A">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本工程造孔主要为土料，上部采用液压抓斗造孔。为保证防渗墙底深入基岩1.0m，入岩段采用冲击钻成孔。</w:t>
      </w:r>
    </w:p>
    <w:p w14:paraId="7104DED9">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槽孔建造结束后，应进行终孔质量检验，合格后方可进行清孔。清孔换浆宜选用泵吸法或气举法。清孔换浆合格后，方可进行下道工序。</w:t>
      </w:r>
    </w:p>
    <w:p w14:paraId="6F21CFC4">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4）固壁泥浆</w:t>
      </w:r>
    </w:p>
    <w:p w14:paraId="6EA528B7">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泥浆应具有良好的流变性、稳定性、抑制性和良好的悬浮、携带岩屑能力。泥浆应根据地质条件、成槽深度、成槽阶段、成槽工艺、施工条件等选择相应的性能。泥浆的配合比应根据地层特性、成槽方法、泥浆用途，通过试验选定。槽孔建造时，固壁泥浆面应保持在导墙顶面以下300</w:t>
      </w:r>
      <w:r>
        <w:rPr>
          <w:rFonts w:hint="default" w:ascii="Times New Roman" w:hAnsi="Times New Roman" w:eastAsia="YuGothicUI-Regular" w:cs="Times New Roman"/>
          <w:sz w:val="24"/>
          <w:szCs w:val="24"/>
        </w:rPr>
        <w:t>〜</w:t>
      </w:r>
      <w:r>
        <w:rPr>
          <w:rFonts w:hint="default" w:ascii="Times New Roman" w:hAnsi="Times New Roman" w:eastAsia="宋体" w:cs="Times New Roman"/>
          <w:sz w:val="24"/>
          <w:szCs w:val="24"/>
        </w:rPr>
        <w:t>500mm。</w:t>
      </w:r>
    </w:p>
    <w:p w14:paraId="2BD00D76">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拌制泥浆的土料选择符合规范要求的膨润土，直接购买膨润土，汽车运至工地。</w:t>
      </w:r>
    </w:p>
    <w:p w14:paraId="13599E08">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在左坝头管理所附近布置集中制浆站。本工程主要采用膨润土制浆，站内包括膨润土堆场、配料平台、制浆平台、储浆池、试验室、送浆管路、供水管路等。泥浆采用高速泥浆搅拌机拌制。</w:t>
      </w:r>
    </w:p>
    <w:p w14:paraId="62B45287">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5）预埋钢管</w:t>
      </w:r>
    </w:p>
    <w:p w14:paraId="2A9D922E">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工程防渗墙下接帷幕采用先墙后幕的方式，墙内预埋钢管作为帷幕灌浆的导向孔。混凝土浇筑前在墙内预埋130mm的无缝钢管。防渗墙墙底与基岩接触位置为防渗墙薄弱段，帷幕灌浆时浆液可能从防渗墙底大量渗漏，墙底得不到充分灌浆。为保证充分灌浆，钢管采用下设隔管的施工工艺。钢管底部采用薄铁板焊接，防止浇筑过程中混凝土进入管内。</w:t>
      </w:r>
    </w:p>
    <w:p w14:paraId="11F0072E">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钢管以2根或以上为一组，制作钢筋骨架连接固定。钢管采用φ16mm的钢筋制作专门用于支撑、定位预埋管的钢筋骨架，将预埋钢管焊接固定在钢筋骨架中间。预埋管对口焊接处采用套筒箍焊加固的方式进行连接，保证预埋管整体垂直度，使其满足帷幕灌浆钻孔施工孔斜的要求。预埋钢管采用5t汽车吊起吊下放。预埋管施工完毕后，管口进行封闭防护处理，管口封闭采用焊薄铁板的方法，防止异物落入管内，避免增加帷幕钻孔的难度。</w:t>
      </w:r>
    </w:p>
    <w:p w14:paraId="621BF7B4">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预埋灌浆管的起吊下设：为防止钢筋骨架弯曲变形，采用吊装方式在孔口对孔入槽。钢筋骨架在槽口用型钢电焊法固定，防止混凝土浇筑时上浮。</w:t>
      </w:r>
    </w:p>
    <w:p w14:paraId="2F787E44">
      <w:pPr>
        <w:numPr>
          <w:ilvl w:val="0"/>
          <w:numId w:val="11"/>
        </w:num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混凝土浇筑</w:t>
      </w:r>
    </w:p>
    <w:p w14:paraId="3787D13E">
      <w:pPr>
        <w:numPr>
          <w:ilvl w:val="0"/>
          <w:numId w:val="0"/>
        </w:num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塑性混凝土在水泥和砂砾石等主材以外，应掺加一定比例的膨润土，配合比特殊，普通混凝土站没有此类型，故本工程塑性混凝土采用自拌的方式。</w:t>
      </w:r>
    </w:p>
    <w:p w14:paraId="5CE1FF4B">
      <w:pPr>
        <w:numPr>
          <w:ilvl w:val="0"/>
          <w:numId w:val="0"/>
        </w:num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混凝土生产：在大坝左岸下游空地布置混凝土拌和站，站内布置0.8m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强制式混凝土搅拌机一台。混凝土运输采用3.5t自卸汽车水平运输，卸入料斗。</w:t>
      </w:r>
    </w:p>
    <w:p w14:paraId="1320A363">
      <w:pPr>
        <w:numPr>
          <w:ilvl w:val="0"/>
          <w:numId w:val="0"/>
        </w:num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泥浆下浇筑混凝土采用直升导管法，导管内径不应小于混凝土骨料最大粒径6倍。导管应连接可靠，管节接头宜采用快速连接方式，并进行封闭试验。应在每套导管的顶部和底节导管以上部位设置数节长度为0.3</w:t>
      </w:r>
      <w:r>
        <w:rPr>
          <w:rFonts w:hint="default" w:ascii="Times New Roman" w:hAnsi="Times New Roman" w:eastAsia="YuGothicUI-Regular" w:cs="Times New Roman"/>
          <w:sz w:val="24"/>
          <w:szCs w:val="24"/>
        </w:rPr>
        <w:t>〜</w:t>
      </w:r>
      <w:r>
        <w:rPr>
          <w:rFonts w:hint="default" w:ascii="Times New Roman" w:hAnsi="Times New Roman" w:eastAsia="宋体" w:cs="Times New Roman"/>
          <w:sz w:val="24"/>
          <w:szCs w:val="24"/>
        </w:rPr>
        <w:t>1.0m的短管。开浇前，导管底口距槽底应控制在150</w:t>
      </w:r>
      <w:r>
        <w:rPr>
          <w:rFonts w:hint="default" w:ascii="Times New Roman" w:hAnsi="Times New Roman" w:eastAsia="YuGothicUI-Regular" w:cs="Times New Roman"/>
          <w:sz w:val="24"/>
          <w:szCs w:val="24"/>
        </w:rPr>
        <w:t>〜</w:t>
      </w:r>
      <w:r>
        <w:rPr>
          <w:rFonts w:hint="default" w:ascii="Times New Roman" w:hAnsi="Times New Roman" w:eastAsia="宋体" w:cs="Times New Roman"/>
          <w:sz w:val="24"/>
          <w:szCs w:val="24"/>
        </w:rPr>
        <w:t>250mm范围内。</w:t>
      </w:r>
    </w:p>
    <w:p w14:paraId="3E100032">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开浇前，导管内应放入可浮起的隔离塞球或其他适宜的隔离物。开浇时宜先注入少量的水泥砂浆，随即注入足够的混凝土，挤出塞球并埋住导管底端。混凝土终浇高程应髙于设计规定的墙顶髙程0.5m。防渗墙墙体应均匀完整，不应有混浆、夹泥、断墙、孔洞等。</w:t>
      </w:r>
    </w:p>
    <w:p w14:paraId="63682377">
      <w:pPr>
        <w:spacing w:beforeLines="0" w:afterLines="0" w:line="360" w:lineRule="auto"/>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rPr>
        <w:t>墙段连接采用接头管法施工。施工时应遵守下列规定：①接头管能承受最大的混凝土压力和起拔力。接头管表面应平滑，管体连接方式应可靠、易操作。②选用有足够起拔能力的吊车或拔管机。③接头管起拔的时间应通过试验确定。④当接头管难以下设到预定深度时，接头管以下部分可采取钻凿法连接。⑤接头管拔出的过程中应及时向接头孔内充填泥浆。⑥起拔接头管过程中，应做好混凝土浇筑和起拔记录。</w:t>
      </w:r>
    </w:p>
    <w:p w14:paraId="5F927EC9">
      <w:pPr>
        <w:pageBreakBefore w:val="0"/>
        <w:kinsoku w:val="0"/>
        <w:wordWrap w:val="0"/>
        <w:overflowPunct/>
        <w:topLinePunct/>
        <w:autoSpaceDE/>
        <w:autoSpaceDN/>
        <w:bidi w:val="0"/>
        <w:adjustRightInd w:val="0"/>
        <w:spacing w:line="360" w:lineRule="auto"/>
        <w:ind w:firstLine="420" w:firstLineChars="200"/>
        <w:rPr>
          <w:rFonts w:hint="default" w:ascii="Times New Roman" w:hAnsi="Times New Roman" w:eastAsia="宋体" w:cs="Times New Roman"/>
          <w:caps w:val="0"/>
          <w:smallCaps w:val="0"/>
          <w:color w:val="ED7D31" w:themeColor="accent2"/>
          <w:spacing w:val="0"/>
          <w:w w:val="100"/>
          <w:kern w:val="0"/>
          <w:position w:val="0"/>
          <w:sz w:val="24"/>
          <w:szCs w:val="24"/>
          <w:u w:val="none" w:color="auto"/>
          <w14:textFill>
            <w14:solidFill>
              <w14:schemeClr w14:val="accent2"/>
            </w14:solidFill>
          </w14:textFill>
        </w:rPr>
      </w:pPr>
      <w:r>
        <w:rPr>
          <w:rFonts w:hint="default" w:ascii="Times New Roman" w:hAnsi="Times New Roman" w:cs="Times New Roman"/>
          <w:color w:val="auto"/>
          <w:spacing w:val="0"/>
          <w:w w:val="100"/>
          <w:position w:val="0"/>
          <w:u w:val="none" w:color="auto"/>
        </w:rPr>
        <w:drawing>
          <wp:inline distT="0" distB="0" distL="114300" distR="114300">
            <wp:extent cx="5230495" cy="5016500"/>
            <wp:effectExtent l="0" t="0" r="12065" b="12700"/>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44">
                      <a:lum bright="-12000" contrast="24000"/>
                    </a:blip>
                    <a:stretch>
                      <a:fillRect/>
                    </a:stretch>
                  </pic:blipFill>
                  <pic:spPr>
                    <a:xfrm>
                      <a:off x="0" y="0"/>
                      <a:ext cx="5230495" cy="5016500"/>
                    </a:xfrm>
                    <a:prstGeom prst="rect">
                      <a:avLst/>
                    </a:prstGeom>
                    <a:noFill/>
                    <a:ln>
                      <a:noFill/>
                    </a:ln>
                  </pic:spPr>
                </pic:pic>
              </a:graphicData>
            </a:graphic>
          </wp:inline>
        </w:drawing>
      </w:r>
    </w:p>
    <w:p w14:paraId="2889B76F">
      <w:pPr>
        <w:pageBreakBefore w:val="0"/>
        <w:kinsoku w:val="0"/>
        <w:wordWrap w:val="0"/>
        <w:overflowPunct/>
        <w:topLinePunct/>
        <w:autoSpaceDE/>
        <w:autoSpaceDN/>
        <w:bidi w:val="0"/>
        <w:adjustRightInd w:val="0"/>
        <w:spacing w:line="500" w:lineRule="exact"/>
        <w:ind w:firstLine="482" w:firstLineChars="200"/>
        <w:jc w:val="cente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图</w:t>
      </w: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2.5-1 防渗墙施工流程图</w:t>
      </w:r>
    </w:p>
    <w:p w14:paraId="0BC74E1D">
      <w:pPr>
        <w:keepNext w:val="0"/>
        <w:keepLines w:val="0"/>
        <w:pageBreakBefore w:val="0"/>
        <w:widowControl w:val="0"/>
        <w:kinsoku w:val="0"/>
        <w:wordWrap w:val="0"/>
        <w:overflowPunct/>
        <w:topLinePunct/>
        <w:autoSpaceDE/>
        <w:autoSpaceDN/>
        <w:bidi w:val="0"/>
        <w:adjustRightInd w:val="0"/>
        <w:spacing w:line="360" w:lineRule="auto"/>
        <w:ind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rPr>
      </w:pPr>
      <w:r>
        <w:rPr>
          <w:rFonts w:hint="default" w:ascii="Times New Roman" w:hAnsi="Times New Roman" w:eastAsia="宋体" w:cs="Times New Roman"/>
          <w:b/>
          <w:bCs/>
          <w:caps w:val="0"/>
          <w:smallCaps w:val="0"/>
          <w:color w:val="auto"/>
          <w:spacing w:val="0"/>
          <w:w w:val="100"/>
          <w:kern w:val="0"/>
          <w:position w:val="0"/>
          <w:sz w:val="24"/>
          <w:szCs w:val="24"/>
          <w:u w:val="none" w:color="auto"/>
        </w:rPr>
        <w:t>（</w:t>
      </w: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4</w:t>
      </w:r>
      <w:r>
        <w:rPr>
          <w:rFonts w:hint="default" w:ascii="Times New Roman" w:hAnsi="Times New Roman" w:eastAsia="宋体" w:cs="Times New Roman"/>
          <w:b/>
          <w:bCs/>
          <w:caps w:val="0"/>
          <w:smallCaps w:val="0"/>
          <w:color w:val="auto"/>
          <w:spacing w:val="0"/>
          <w:w w:val="100"/>
          <w:kern w:val="0"/>
          <w:position w:val="0"/>
          <w:sz w:val="24"/>
          <w:szCs w:val="24"/>
          <w:u w:val="none" w:color="auto"/>
        </w:rPr>
        <w:t>）帷幕灌浆施工</w:t>
      </w:r>
    </w:p>
    <w:p w14:paraId="298275F8">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坝基帷幕灌浆在防渗墙下采用先墙后幕的方式，在防渗墙浇筑前埋设钢管。帷幕灌浆单排布孔，孔距2m，帷幕灌浆深度深入相对不透水层界限（q=5Lu）不小于3m。</w:t>
      </w:r>
    </w:p>
    <w:p w14:paraId="34EAB374">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帷幕灌浆按分序加密注浆，一序孔内需布置先导孔。先导孔应自上而下分段进行压水试验。</w:t>
      </w:r>
    </w:p>
    <w:p w14:paraId="7EE26B77">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帷幕灌浆采用自下而上分段灌浆的方式，采用100型地质钻机钻孔（防渗墙段利用预埋钢管），200L双筒立式搅拌机制浆，BW200/50型灌浆泵灌注。</w:t>
      </w:r>
    </w:p>
    <w:p w14:paraId="23853ABC">
      <w:pPr>
        <w:numPr>
          <w:ilvl w:val="0"/>
          <w:numId w:val="12"/>
        </w:num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钻孔</w:t>
      </w:r>
    </w:p>
    <w:p w14:paraId="3D5FA836">
      <w:pPr>
        <w:numPr>
          <w:ilvl w:val="0"/>
          <w:numId w:val="0"/>
        </w:num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帷幕灌浆孔位与设计孔位的偏差值及孔斜等应符合规范规定。</w:t>
      </w:r>
    </w:p>
    <w:p w14:paraId="17B7DAFB">
      <w:pPr>
        <w:numPr>
          <w:ilvl w:val="0"/>
          <w:numId w:val="0"/>
        </w:num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钻孔过程中，遇岩层、岩性变化，发生掉钻、坍孔、钻速变化、回水变色、失水、涌水等异常情况，应详细进行记录。钻孔遇有洞穴、塌孔或掉块难以钻进时，可先进行灌浆处理，再行钻进。如发现集中漏水或涌水，应查明情况、分析原因，经处理后再行钻进。当钻孔施工作业暂时中止时，孔口应妥加保护，防止流进污水和落入异物。</w:t>
      </w:r>
    </w:p>
    <w:p w14:paraId="06CE9ED5">
      <w:pPr>
        <w:numPr>
          <w:ilvl w:val="0"/>
          <w:numId w:val="12"/>
        </w:numPr>
        <w:spacing w:beforeLines="0" w:afterLines="0" w:line="360" w:lineRule="auto"/>
        <w:ind w:left="0" w:leftChars="0"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现场试验</w:t>
      </w:r>
    </w:p>
    <w:p w14:paraId="3A5BDAC9">
      <w:pPr>
        <w:numPr>
          <w:ilvl w:val="0"/>
          <w:numId w:val="0"/>
        </w:num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帷幕灌浆应进行现场灌浆试验，以确定灌浆压力、灌浆方法、施工工艺、适宜的灌浆材料配比、外加剂的品种和掺量等。试验地段选择应具有代表性，由监理在现场指定至少2个试区。</w:t>
      </w:r>
    </w:p>
    <w:p w14:paraId="7309A160">
      <w:pPr>
        <w:numPr>
          <w:ilvl w:val="0"/>
          <w:numId w:val="0"/>
        </w:num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帷幕灌浆前后均采用压水试验、取芯检查的方法进行检测对比，检查灌浆效果。</w:t>
      </w:r>
    </w:p>
    <w:p w14:paraId="50C6E5FE">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3）灌浆</w:t>
      </w:r>
    </w:p>
    <w:p w14:paraId="0CF370F7">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为保证墙幕搭接质量，帷幕灌浆与防渗墙搭接部位单独以2m作为一个分段灌浆。</w:t>
      </w:r>
    </w:p>
    <w:p w14:paraId="7420CF64">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灌浆浆液应由稀至浓逐级变换。帷幕灌浆浆液水灰比可采用5、3、2、1、0.7、0.5等六个比级。灌浆过程中，灌浆压力、注入率或浆液性能突然改变较大时，应立即查明原因，采取相应的措施处理。灌浆过程中发现冒浆、漏浆时，应根据具体情况采用嵌缝、表面封堵、低压、浓浆、限流、限量、间歇、待凝等方法进行处理。</w:t>
      </w:r>
    </w:p>
    <w:p w14:paraId="22CF5392">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4）质量检查</w:t>
      </w:r>
    </w:p>
    <w:p w14:paraId="7BD61F38">
      <w:pPr>
        <w:spacing w:beforeLines="0" w:afterLines="0" w:line="360" w:lineRule="auto"/>
        <w:ind w:firstLine="480" w:firstLineChars="200"/>
        <w:jc w:val="left"/>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sz w:val="24"/>
          <w:szCs w:val="24"/>
        </w:rPr>
        <w:t>帷幕灌浆质量检查应以检查孔压水试验成果为主，结合对施工记录、成果资料和检验测试成果的分析，进行综合评定。</w:t>
      </w:r>
    </w:p>
    <w:p w14:paraId="266FC234">
      <w:pPr>
        <w:keepNext w:val="0"/>
        <w:keepLines w:val="0"/>
        <w:pageBreakBefore w:val="0"/>
        <w:widowControl w:val="0"/>
        <w:kinsoku w:val="0"/>
        <w:wordWrap w:val="0"/>
        <w:overflowPunct/>
        <w:topLinePunct/>
        <w:autoSpaceDE/>
        <w:autoSpaceDN/>
        <w:bidi w:val="0"/>
        <w:adjustRightInd w:val="0"/>
        <w:snapToGrid/>
        <w:spacing w:line="360" w:lineRule="auto"/>
        <w:ind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rPr>
      </w:pPr>
      <w:r>
        <w:rPr>
          <w:rFonts w:hint="default" w:ascii="Times New Roman" w:hAnsi="Times New Roman" w:eastAsia="宋体" w:cs="Times New Roman"/>
          <w:b/>
          <w:bCs/>
          <w:caps w:val="0"/>
          <w:smallCaps w:val="0"/>
          <w:color w:val="auto"/>
          <w:spacing w:val="0"/>
          <w:w w:val="100"/>
          <w:kern w:val="0"/>
          <w:position w:val="0"/>
          <w:sz w:val="24"/>
          <w:szCs w:val="24"/>
          <w:u w:val="none" w:color="auto"/>
        </w:rPr>
        <w:t>（</w:t>
      </w: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5</w:t>
      </w:r>
      <w:r>
        <w:rPr>
          <w:rFonts w:hint="default" w:ascii="Times New Roman" w:hAnsi="Times New Roman" w:eastAsia="宋体" w:cs="Times New Roman"/>
          <w:b/>
          <w:bCs/>
          <w:caps w:val="0"/>
          <w:smallCaps w:val="0"/>
          <w:color w:val="auto"/>
          <w:spacing w:val="0"/>
          <w:w w:val="100"/>
          <w:kern w:val="0"/>
          <w:position w:val="0"/>
          <w:sz w:val="24"/>
          <w:szCs w:val="24"/>
          <w:u w:val="none" w:color="auto"/>
        </w:rPr>
        <w:t>）</w:t>
      </w:r>
      <w:r>
        <w:rPr>
          <w:rFonts w:hint="default" w:ascii="Times New Roman" w:hAnsi="Times New Roman" w:eastAsia="宋体" w:cs="Times New Roman"/>
          <w:b/>
          <w:bCs/>
          <w:sz w:val="24"/>
          <w:szCs w:val="24"/>
        </w:rPr>
        <w:t>干砌石</w:t>
      </w:r>
    </w:p>
    <w:p w14:paraId="6D2B9289">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干砌石所需石料从石料场购买，采用自卸汽车运至工地卸料，人工转运至作业面，人工整理堆码成型。砌筑时应分段条砌，铺好垫层或滤层。干砌块石护坡应由低向高按设计要求砌筑。块石岩质要求新鲜、坚硬，抗风化能力强，不得夹带泥土污物。石料应大小均匀、质地坚硬，单块重不小于设计要求。块石要嵌紧、整平，不应叠砌、浮塞。</w:t>
      </w:r>
    </w:p>
    <w:p w14:paraId="2187D760">
      <w:pPr>
        <w:keepNext w:val="0"/>
        <w:keepLines w:val="0"/>
        <w:pageBreakBefore w:val="0"/>
        <w:widowControl w:val="0"/>
        <w:kinsoku w:val="0"/>
        <w:wordWrap w:val="0"/>
        <w:overflowPunct/>
        <w:topLinePunct/>
        <w:autoSpaceDE/>
        <w:autoSpaceDN/>
        <w:bidi w:val="0"/>
        <w:adjustRightInd w:val="0"/>
        <w:snapToGrid/>
        <w:spacing w:line="360" w:lineRule="auto"/>
        <w:ind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rPr>
      </w:pPr>
      <w:r>
        <w:rPr>
          <w:rFonts w:hint="default" w:ascii="Times New Roman" w:hAnsi="Times New Roman" w:eastAsia="宋体" w:cs="Times New Roman"/>
          <w:b/>
          <w:bCs/>
          <w:caps w:val="0"/>
          <w:smallCaps w:val="0"/>
          <w:color w:val="auto"/>
          <w:spacing w:val="0"/>
          <w:w w:val="100"/>
          <w:kern w:val="0"/>
          <w:position w:val="0"/>
          <w:sz w:val="24"/>
          <w:szCs w:val="24"/>
          <w:u w:val="none" w:color="auto"/>
        </w:rPr>
        <w:t>（</w:t>
      </w: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6</w:t>
      </w:r>
      <w:r>
        <w:rPr>
          <w:rFonts w:hint="default" w:ascii="Times New Roman" w:hAnsi="Times New Roman" w:eastAsia="宋体" w:cs="Times New Roman"/>
          <w:b/>
          <w:bCs/>
          <w:caps w:val="0"/>
          <w:smallCaps w:val="0"/>
          <w:color w:val="auto"/>
          <w:spacing w:val="0"/>
          <w:w w:val="100"/>
          <w:kern w:val="0"/>
          <w:position w:val="0"/>
          <w:sz w:val="24"/>
          <w:szCs w:val="24"/>
          <w:u w:val="none" w:color="auto"/>
        </w:rPr>
        <w:t>）</w:t>
      </w:r>
      <w:r>
        <w:rPr>
          <w:rFonts w:hint="default" w:ascii="Times New Roman" w:hAnsi="Times New Roman" w:eastAsia="宋体" w:cs="Times New Roman"/>
          <w:b/>
          <w:bCs/>
          <w:sz w:val="24"/>
          <w:szCs w:val="24"/>
        </w:rPr>
        <w:t>混凝土</w:t>
      </w:r>
    </w:p>
    <w:p w14:paraId="52DB8895">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本工程混凝土范围广，类型多，各处除险加固项目均有混凝土。华容县有优质商品混凝土采购，本工程现浇混凝土采用商品混凝土，运距25km，由混凝土搅拌车运输到现场，泵送入仓，振捣密实。</w:t>
      </w:r>
    </w:p>
    <w:p w14:paraId="2C575E3B">
      <w:pPr>
        <w:spacing w:beforeLines="0" w:afterLines="0" w:line="360" w:lineRule="auto"/>
        <w:ind w:left="479" w:leftChars="228" w:firstLine="0" w:firstLineChars="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本工程溢洪道人行桥和输水隧洞工作桥混凝土浇筑时需要搭设满堂脚手架</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大坝上游预制块护坡时，购买六方块，汽车运至现场，人工铺砌。</w:t>
      </w:r>
    </w:p>
    <w:p w14:paraId="087AD8F7">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预制混凝土块护坡时，应从坡脚开始逐层向上铺砌，按设计要求开挖沟槽，砌筑分段条填。垫层或滤层铺设应层次分明、厚薄均匀。混凝土预制块铺砌应平整、密实，不应有架空、超高现象。预制块间应缝口紧密、缝线规则。已铺砌好的坡面上，不允许堆放预制块或其他重物。预制块不允许在坡面上拖滑，宜人工搬运。</w:t>
      </w:r>
    </w:p>
    <w:p w14:paraId="200401D9">
      <w:pPr>
        <w:keepNext w:val="0"/>
        <w:keepLines w:val="0"/>
        <w:pageBreakBefore w:val="0"/>
        <w:widowControl w:val="0"/>
        <w:kinsoku w:val="0"/>
        <w:wordWrap w:val="0"/>
        <w:overflowPunct/>
        <w:topLinePunct/>
        <w:autoSpaceDE/>
        <w:autoSpaceDN/>
        <w:bidi w:val="0"/>
        <w:adjustRightInd w:val="0"/>
        <w:snapToGrid/>
        <w:spacing w:line="360" w:lineRule="auto"/>
        <w:ind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rPr>
      </w:pPr>
      <w:r>
        <w:rPr>
          <w:rFonts w:hint="default" w:ascii="Times New Roman" w:hAnsi="Times New Roman" w:eastAsia="宋体" w:cs="Times New Roman"/>
          <w:b/>
          <w:bCs/>
          <w:caps w:val="0"/>
          <w:smallCaps w:val="0"/>
          <w:color w:val="auto"/>
          <w:spacing w:val="0"/>
          <w:w w:val="100"/>
          <w:kern w:val="0"/>
          <w:position w:val="0"/>
          <w:sz w:val="24"/>
          <w:szCs w:val="24"/>
          <w:u w:val="none" w:color="auto"/>
        </w:rPr>
        <w:t>（</w:t>
      </w: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7</w:t>
      </w:r>
      <w:r>
        <w:rPr>
          <w:rFonts w:hint="default" w:ascii="Times New Roman" w:hAnsi="Times New Roman" w:eastAsia="宋体" w:cs="Times New Roman"/>
          <w:b/>
          <w:bCs/>
          <w:caps w:val="0"/>
          <w:smallCaps w:val="0"/>
          <w:color w:val="auto"/>
          <w:spacing w:val="0"/>
          <w:w w:val="100"/>
          <w:kern w:val="0"/>
          <w:position w:val="0"/>
          <w:sz w:val="24"/>
          <w:szCs w:val="24"/>
          <w:u w:val="none" w:color="auto"/>
        </w:rPr>
        <w:t>）</w:t>
      </w:r>
      <w:r>
        <w:rPr>
          <w:rFonts w:hint="default" w:ascii="Times New Roman" w:hAnsi="Times New Roman" w:eastAsia="宋体" w:cs="Times New Roman"/>
          <w:b/>
          <w:bCs/>
          <w:sz w:val="24"/>
          <w:szCs w:val="24"/>
        </w:rPr>
        <w:t>草皮护坡</w:t>
      </w:r>
    </w:p>
    <w:p w14:paraId="2EEACB68">
      <w:pPr>
        <w:spacing w:beforeLines="0" w:afterLines="0" w:line="360" w:lineRule="auto"/>
        <w:ind w:firstLine="480" w:firstLineChars="200"/>
        <w:jc w:val="left"/>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sz w:val="24"/>
          <w:szCs w:val="24"/>
        </w:rPr>
        <w:t>草皮护坡施工流程：坡面平整完成→验收合格→坡面平铺5cm 厚的接根土（拌有有机肥的耕埴土）→铺设草皮，用竹签固定，铁锹稍微拍打→坡面适当洒水。要求草皮均匀连续，种植后及时洒接根水，防止人为破坏，防止羊、牛等草食动物破坏，保证草皮的成活率在95%以上。</w:t>
      </w:r>
    </w:p>
    <w:p w14:paraId="798827AD">
      <w:pPr>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
          <w:bCs/>
          <w:caps w:val="0"/>
          <w:smallCaps w:val="0"/>
          <w:color w:val="auto"/>
          <w:spacing w:val="0"/>
          <w:w w:val="100"/>
          <w:kern w:val="0"/>
          <w:position w:val="0"/>
          <w:sz w:val="24"/>
          <w:szCs w:val="24"/>
          <w:u w:val="none" w:color="auto"/>
        </w:rPr>
        <w:t>（</w:t>
      </w: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8</w:t>
      </w:r>
      <w:r>
        <w:rPr>
          <w:rFonts w:hint="default" w:ascii="Times New Roman" w:hAnsi="Times New Roman" w:eastAsia="宋体" w:cs="Times New Roman"/>
          <w:b/>
          <w:bCs/>
          <w:caps w:val="0"/>
          <w:smallCaps w:val="0"/>
          <w:color w:val="auto"/>
          <w:spacing w:val="0"/>
          <w:w w:val="100"/>
          <w:kern w:val="0"/>
          <w:position w:val="0"/>
          <w:sz w:val="24"/>
          <w:szCs w:val="24"/>
          <w:u w:val="none" w:color="auto"/>
        </w:rPr>
        <w:t>）</w:t>
      </w:r>
      <w:r>
        <w:rPr>
          <w:rFonts w:hint="default" w:ascii="Times New Roman" w:hAnsi="Times New Roman" w:eastAsia="宋体" w:cs="Times New Roman"/>
          <w:b/>
          <w:bCs/>
          <w:sz w:val="24"/>
          <w:szCs w:val="24"/>
        </w:rPr>
        <w:t>块石护坡</w:t>
      </w:r>
    </w:p>
    <w:p w14:paraId="3571CFE7">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干砌石所需石料从石料场购买，采用汽车运至工程区附近，人工堆码。块石应大小均匀、质地坚硬，单块重不小于设计要求。块石护坡时，应按设计要求铺先筑垫层或滤层。块石护坡应由低向高进行砌筑，块石要嵌紧、整平，不应叠砌、浮塞。</w:t>
      </w:r>
    </w:p>
    <w:p w14:paraId="404460D1">
      <w:pPr>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rPr>
        <w:t>（</w:t>
      </w: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9</w:t>
      </w:r>
      <w:r>
        <w:rPr>
          <w:rFonts w:hint="default" w:ascii="Times New Roman" w:hAnsi="Times New Roman" w:eastAsia="宋体" w:cs="Times New Roman"/>
          <w:b/>
          <w:bCs/>
          <w:caps w:val="0"/>
          <w:smallCaps w:val="0"/>
          <w:color w:val="auto"/>
          <w:spacing w:val="0"/>
          <w:w w:val="100"/>
          <w:kern w:val="0"/>
          <w:position w:val="0"/>
          <w:sz w:val="24"/>
          <w:szCs w:val="24"/>
          <w:u w:val="none" w:color="auto"/>
        </w:rPr>
        <w:t>）</w:t>
      </w:r>
      <w:r>
        <w:rPr>
          <w:rFonts w:hint="default" w:ascii="Times New Roman" w:hAnsi="Times New Roman" w:eastAsia="宋体" w:cs="Times New Roman"/>
          <w:b/>
          <w:bCs/>
          <w:sz w:val="24"/>
          <w:szCs w:val="24"/>
        </w:rPr>
        <w:t>金属结构安装</w:t>
      </w:r>
    </w:p>
    <w:p w14:paraId="6A5DEBF4">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sz w:val="24"/>
          <w:szCs w:val="24"/>
        </w:rPr>
        <w:t>本工程金属结构采用汽车吊或者扒杆安装。</w:t>
      </w:r>
    </w:p>
    <w:p w14:paraId="70EBED18">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sectPr>
          <w:headerReference r:id="rId10" w:type="default"/>
          <w:footerReference r:id="rId11" w:type="default"/>
          <w:pgSz w:w="11906" w:h="16839"/>
          <w:pgMar w:top="1440" w:right="1803" w:bottom="1440" w:left="1803" w:header="878" w:footer="1099" w:gutter="0"/>
          <w:pgBorders>
            <w:top w:val="none" w:sz="0" w:space="0"/>
            <w:left w:val="none" w:sz="0" w:space="0"/>
            <w:bottom w:val="none" w:sz="0" w:space="0"/>
            <w:right w:val="none" w:sz="0" w:space="0"/>
          </w:pgBorders>
          <w:pgNumType w:fmt="decimal"/>
          <w:cols w:space="720" w:num="1"/>
        </w:sectPr>
      </w:pPr>
    </w:p>
    <w:p w14:paraId="1495B384">
      <w:pPr>
        <w:pStyle w:val="4"/>
        <w:bidi w:val="0"/>
        <w:rPr>
          <w:rFonts w:hint="default" w:ascii="Times New Roman" w:hAnsi="Times New Roman" w:cs="Times New Roman"/>
        </w:rPr>
      </w:pPr>
      <w:bookmarkStart w:id="109" w:name="bookmark296"/>
      <w:bookmarkStart w:id="110" w:name="bookmark297"/>
      <w:bookmarkStart w:id="111" w:name="_Toc32507"/>
      <w:r>
        <w:rPr>
          <w:rFonts w:hint="default" w:ascii="Times New Roman" w:hAnsi="Times New Roman" w:cs="Times New Roman"/>
        </w:rPr>
        <w:t>施工期污染源分析</w:t>
      </w:r>
      <w:bookmarkEnd w:id="109"/>
      <w:bookmarkEnd w:id="110"/>
      <w:bookmarkEnd w:id="111"/>
    </w:p>
    <w:p w14:paraId="2811E4A4">
      <w:pPr>
        <w:pStyle w:val="5"/>
        <w:bidi w:val="0"/>
        <w:rPr>
          <w:rFonts w:hint="default" w:ascii="Times New Roman" w:hAnsi="Times New Roman" w:cs="Times New Roman"/>
        </w:rPr>
      </w:pPr>
      <w:bookmarkStart w:id="112" w:name="bookmark342"/>
      <w:bookmarkStart w:id="113" w:name="bookmark343"/>
      <w:r>
        <w:rPr>
          <w:rFonts w:hint="default" w:ascii="Times New Roman" w:hAnsi="Times New Roman" w:cs="Times New Roman"/>
        </w:rPr>
        <w:t>废气污染源</w:t>
      </w:r>
    </w:p>
    <w:p w14:paraId="0AE8F743">
      <w:pPr>
        <w:keepNext w:val="0"/>
        <w:keepLines w:val="0"/>
        <w:pageBreakBefore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本</w:t>
      </w:r>
      <w:r>
        <w:rPr>
          <w:rFonts w:hint="default" w:ascii="Times New Roman" w:hAnsi="Times New Roman" w:eastAsia="宋体" w:cs="Times New Roman"/>
          <w:caps w:val="0"/>
          <w:smallCaps w:val="0"/>
          <w:color w:val="auto"/>
          <w:spacing w:val="0"/>
          <w:w w:val="100"/>
          <w:kern w:val="0"/>
          <w:position w:val="0"/>
          <w:sz w:val="24"/>
          <w:szCs w:val="24"/>
          <w:u w:val="none" w:color="auto"/>
        </w:rPr>
        <w:t>项目</w:t>
      </w:r>
      <w:r>
        <w:rPr>
          <w:rFonts w:hint="default" w:ascii="Times New Roman" w:hAnsi="Times New Roman" w:eastAsia="宋体" w:cs="Times New Roman"/>
          <w:sz w:val="24"/>
          <w:szCs w:val="24"/>
        </w:rPr>
        <w:t>现浇混凝土采用商品混凝土</w:t>
      </w:r>
      <w:r>
        <w:rPr>
          <w:rFonts w:hint="default" w:ascii="Times New Roman" w:hAnsi="Times New Roman" w:eastAsia="宋体" w:cs="Times New Roman"/>
          <w:sz w:val="24"/>
          <w:szCs w:val="24"/>
          <w:lang w:val="en-US" w:eastAsia="zh-CN"/>
        </w:rPr>
        <w:t>,在华容县就近购买；</w:t>
      </w:r>
      <w:r>
        <w:rPr>
          <w:rFonts w:hint="default" w:ascii="Times New Roman" w:hAnsi="Times New Roman" w:eastAsia="宋体" w:cs="Times New Roman"/>
          <w:sz w:val="24"/>
          <w:szCs w:val="24"/>
        </w:rPr>
        <w:t>塑性混凝土</w:t>
      </w:r>
      <w:r>
        <w:rPr>
          <w:rFonts w:hint="default" w:ascii="Times New Roman" w:hAnsi="Times New Roman" w:eastAsia="宋体" w:cs="Times New Roman"/>
          <w:sz w:val="24"/>
          <w:szCs w:val="24"/>
          <w:lang w:eastAsia="zh-CN"/>
        </w:rPr>
        <w:t>因工艺需求</w:t>
      </w:r>
      <w:r>
        <w:rPr>
          <w:rFonts w:hint="default" w:ascii="Times New Roman" w:hAnsi="Times New Roman" w:eastAsia="宋体" w:cs="Times New Roman"/>
          <w:sz w:val="24"/>
          <w:szCs w:val="24"/>
        </w:rPr>
        <w:t>采用在工地拌制的方式</w:t>
      </w:r>
      <w:r>
        <w:rPr>
          <w:rFonts w:hint="default" w:ascii="Times New Roman" w:hAnsi="Times New Roman" w:eastAsia="宋体" w:cs="Times New Roman"/>
          <w:sz w:val="24"/>
          <w:szCs w:val="24"/>
          <w:lang w:eastAsia="zh-CN"/>
        </w:rPr>
        <w:t>，在施工临建设施区设置混凝土拌和站。</w:t>
      </w:r>
      <w:r>
        <w:rPr>
          <w:rFonts w:hint="default" w:ascii="Times New Roman" w:hAnsi="Times New Roman" w:eastAsia="宋体" w:cs="Times New Roman"/>
          <w:caps w:val="0"/>
          <w:smallCaps w:val="0"/>
          <w:color w:val="auto"/>
          <w:spacing w:val="0"/>
          <w:w w:val="100"/>
          <w:kern w:val="0"/>
          <w:position w:val="0"/>
          <w:sz w:val="24"/>
          <w:szCs w:val="24"/>
          <w:u w:val="none" w:color="auto"/>
        </w:rPr>
        <w:t>施工期</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废气</w:t>
      </w:r>
      <w:r>
        <w:rPr>
          <w:rFonts w:hint="default" w:ascii="Times New Roman" w:hAnsi="Times New Roman" w:eastAsia="宋体" w:cs="Times New Roman"/>
          <w:caps w:val="0"/>
          <w:smallCaps w:val="0"/>
          <w:color w:val="auto"/>
          <w:spacing w:val="0"/>
          <w:w w:val="100"/>
          <w:kern w:val="0"/>
          <w:position w:val="0"/>
          <w:sz w:val="24"/>
          <w:szCs w:val="24"/>
          <w:u w:val="none" w:color="auto"/>
        </w:rPr>
        <w:t>主要</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为</w:t>
      </w:r>
      <w:r>
        <w:rPr>
          <w:rFonts w:hint="default" w:ascii="Times New Roman" w:hAnsi="Times New Roman" w:eastAsia="宋体" w:cs="Times New Roman"/>
          <w:caps w:val="0"/>
          <w:smallCaps w:val="0"/>
          <w:color w:val="auto"/>
          <w:spacing w:val="0"/>
          <w:w w:val="100"/>
          <w:kern w:val="0"/>
          <w:position w:val="0"/>
          <w:sz w:val="24"/>
          <w:szCs w:val="24"/>
          <w:u w:val="none" w:color="auto"/>
        </w:rPr>
        <w:t>施工</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扬尘和</w:t>
      </w:r>
      <w:r>
        <w:rPr>
          <w:rFonts w:hint="default" w:ascii="Times New Roman" w:hAnsi="Times New Roman" w:eastAsia="宋体" w:cs="Times New Roman"/>
          <w:caps w:val="0"/>
          <w:smallCaps w:val="0"/>
          <w:color w:val="auto"/>
          <w:spacing w:val="0"/>
          <w:w w:val="100"/>
          <w:kern w:val="0"/>
          <w:position w:val="0"/>
          <w:sz w:val="24"/>
          <w:szCs w:val="24"/>
          <w:u w:val="none" w:color="auto"/>
        </w:rPr>
        <w:t>施工机械产生的燃油废气等。</w:t>
      </w:r>
    </w:p>
    <w:p w14:paraId="0099D201">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w w:val="100"/>
          <w:position w:val="0"/>
          <w:sz w:val="24"/>
          <w:u w:val="none" w:color="auto"/>
          <w:lang w:eastAsia="zh-CN"/>
        </w:rPr>
      </w:pPr>
      <w:r>
        <w:rPr>
          <w:rFonts w:hint="default" w:ascii="Times New Roman" w:hAnsi="Times New Roman" w:eastAsia="宋体" w:cs="Times New Roman"/>
          <w:color w:val="auto"/>
          <w:spacing w:val="0"/>
          <w:w w:val="100"/>
          <w:position w:val="0"/>
          <w:sz w:val="24"/>
          <w:u w:val="none" w:color="auto"/>
          <w:lang w:eastAsia="zh-CN"/>
        </w:rPr>
        <w:t>(1)施工扬尘</w:t>
      </w:r>
    </w:p>
    <w:p w14:paraId="5C973AC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w w:val="100"/>
          <w:position w:val="0"/>
          <w:sz w:val="24"/>
          <w:u w:val="none" w:color="auto"/>
          <w:lang w:eastAsia="zh-CN"/>
        </w:rPr>
      </w:pPr>
      <w:r>
        <w:rPr>
          <w:rFonts w:hint="default" w:ascii="Times New Roman" w:hAnsi="Times New Roman" w:eastAsia="宋体" w:cs="Times New Roman"/>
          <w:color w:val="auto"/>
          <w:spacing w:val="0"/>
          <w:w w:val="100"/>
          <w:position w:val="0"/>
          <w:sz w:val="24"/>
          <w:u w:val="none" w:color="auto"/>
          <w:lang w:eastAsia="zh-CN"/>
        </w:rPr>
        <w:t>①施工场地扬尘</w:t>
      </w:r>
    </w:p>
    <w:p w14:paraId="7BE01470">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施工场地扬尘主要来源于土石方开挖，同时物料装卸堆放、施工临建设施区的混凝土拌和裸露地面均会产生粉尘。</w:t>
      </w:r>
    </w:p>
    <w:p w14:paraId="3292602A">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本工程土石方开挖量约为3.44万m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olor w:val="000000"/>
          <w:kern w:val="0"/>
          <w:sz w:val="24"/>
          <w:szCs w:val="24"/>
          <w:lang w:val="en-US" w:eastAsia="zh-CN" w:bidi="ar"/>
        </w:rPr>
        <w:t>根据《环境影响评价技术手册-水利水电工程》，</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在无防治措施的情况下，</w:t>
      </w:r>
      <w:r>
        <w:rPr>
          <w:rFonts w:hint="default" w:ascii="Times New Roman" w:hAnsi="Times New Roman" w:eastAsia="宋体" w:cs="Times New Roman"/>
          <w:color w:val="000000"/>
          <w:kern w:val="0"/>
          <w:sz w:val="24"/>
          <w:szCs w:val="24"/>
          <w:lang w:val="en-US" w:eastAsia="zh-CN" w:bidi="ar"/>
        </w:rPr>
        <w:t>粉尘的产生系数为12t/万m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，则本工程土石方开挖过程中粉尘产生量为41.28t。本工程采取洒水抑尘等措施，</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粉尘的去除率预计达到80%，则土石方开挖粉尘排放量为</w:t>
      </w:r>
      <w:r>
        <w:rPr>
          <w:rFonts w:hint="default" w:ascii="Times New Roman" w:hAnsi="Times New Roman" w:eastAsia="宋体" w:cs="Times New Roman"/>
          <w:color w:val="000000"/>
          <w:kern w:val="0"/>
          <w:sz w:val="24"/>
          <w:szCs w:val="24"/>
          <w:lang w:val="en-US" w:eastAsia="zh-CN" w:bidi="ar"/>
        </w:rPr>
        <w:t>8.256t。</w:t>
      </w:r>
    </w:p>
    <w:p w14:paraId="3DF2E98D">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w w:val="100"/>
          <w:position w:val="0"/>
          <w:sz w:val="24"/>
          <w:u w:val="none" w:color="auto"/>
          <w:lang w:eastAsia="zh-CN"/>
        </w:rPr>
      </w:pPr>
      <w:r>
        <w:rPr>
          <w:rFonts w:hint="default" w:ascii="Times New Roman" w:hAnsi="Times New Roman" w:eastAsia="宋体" w:cs="Times New Roman"/>
          <w:color w:val="auto"/>
          <w:spacing w:val="0"/>
          <w:w w:val="100"/>
          <w:position w:val="0"/>
          <w:sz w:val="24"/>
          <w:u w:val="none" w:color="auto"/>
          <w:lang w:eastAsia="zh-CN"/>
        </w:rPr>
        <w:t>堆场物料的种类、性质及堆场风速与起尘量关系密切，比重小的物料容易受扰动而起尘，物料中细小颗粒比例大时起尘量相应也大。堆场的扬尘包括料堆的风吹扬尘、装卸扬尘和过往车辆引起路面积尘二次扬尘等，均易产生较大的尘污染，对周围环境带来一定的影响。</w:t>
      </w:r>
    </w:p>
    <w:p w14:paraId="4267164C">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根据施工组织设计，本项目优先采用商品混凝土，但塑性混凝土采用施工临建设施区设置的一台强制式混凝土搅拌机进行现场搅拌，混凝土拌和进料和搅拌过程中会产生粉尘。</w:t>
      </w:r>
    </w:p>
    <w:p w14:paraId="159B4D01">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spacing w:val="0"/>
          <w:w w:val="100"/>
          <w:position w:val="0"/>
          <w:sz w:val="24"/>
          <w:u w:val="none" w:color="auto"/>
          <w:lang w:eastAsia="zh-CN"/>
        </w:rPr>
      </w:pPr>
      <w:r>
        <w:rPr>
          <w:rFonts w:hint="default" w:ascii="Times New Roman" w:hAnsi="Times New Roman" w:eastAsia="微软雅黑" w:cs="Times New Roman"/>
          <w:color w:val="auto"/>
          <w:spacing w:val="0"/>
          <w:w w:val="100"/>
          <w:position w:val="0"/>
          <w:sz w:val="24"/>
          <w:u w:val="none" w:color="auto"/>
          <w:lang w:eastAsia="zh-CN"/>
        </w:rPr>
        <w:t>②</w:t>
      </w:r>
      <w:r>
        <w:rPr>
          <w:rFonts w:hint="default" w:ascii="Times New Roman" w:hAnsi="Times New Roman" w:eastAsia="宋体" w:cs="Times New Roman"/>
          <w:color w:val="auto"/>
          <w:spacing w:val="0"/>
          <w:w w:val="100"/>
          <w:position w:val="0"/>
          <w:sz w:val="24"/>
          <w:u w:val="none" w:color="auto"/>
          <w:lang w:eastAsia="zh-CN"/>
        </w:rPr>
        <w:t>运输扬尘</w:t>
      </w:r>
    </w:p>
    <w:p w14:paraId="75CA24F1">
      <w:pPr>
        <w:adjustRightInd w:val="0"/>
        <w:snapToGrid w:val="0"/>
        <w:spacing w:line="360" w:lineRule="auto"/>
        <w:ind w:firstLine="480" w:firstLineChars="200"/>
        <w:rPr>
          <w:rFonts w:hint="default" w:ascii="Times New Roman" w:hAnsi="Times New Roman" w:eastAsia="宋体" w:cs="Times New Roman"/>
          <w:color w:val="auto"/>
          <w:spacing w:val="0"/>
          <w:w w:val="100"/>
          <w:position w:val="0"/>
          <w:sz w:val="24"/>
          <w:u w:val="none" w:color="auto"/>
          <w:lang w:eastAsia="zh-CN"/>
        </w:rPr>
      </w:pPr>
      <w:r>
        <w:rPr>
          <w:rFonts w:hint="default" w:ascii="Times New Roman" w:hAnsi="Times New Roman" w:eastAsia="宋体" w:cs="Times New Roman"/>
          <w:color w:val="auto"/>
          <w:spacing w:val="0"/>
          <w:w w:val="100"/>
          <w:position w:val="0"/>
          <w:sz w:val="24"/>
          <w:u w:val="none" w:color="auto"/>
          <w:lang w:eastAsia="zh-CN"/>
        </w:rPr>
        <w:t>运输扬尘主要是由施工车辆运输土石方和施工材料引起，引起道路扬尘的因素较多，主要跟车辆行驶速度、风速、路面积尘量和路面积尘湿度有关，其中风速还直接影响到扬尘的传输距离，尤其遇到干旱少雨季节，更为严重。</w:t>
      </w:r>
    </w:p>
    <w:p w14:paraId="643269D1">
      <w:pPr>
        <w:adjustRightInd w:val="0"/>
        <w:snapToGrid w:val="0"/>
        <w:spacing w:line="360" w:lineRule="auto"/>
        <w:ind w:firstLine="480" w:firstLineChars="200"/>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pPr>
      <w:r>
        <w:rPr>
          <w:rFonts w:hint="default" w:ascii="Times New Roman" w:hAnsi="Times New Roman" w:eastAsia="宋体" w:cs="Times New Roman"/>
          <w:color w:val="auto"/>
          <w:spacing w:val="0"/>
          <w:w w:val="100"/>
          <w:position w:val="0"/>
          <w:sz w:val="24"/>
          <w:u w:val="none" w:color="auto"/>
          <w:lang w:val="en-US" w:eastAsia="zh-CN"/>
        </w:rPr>
        <w:t>项目土石方、原料等由密闭货车运输，运输过程扬尘参照</w:t>
      </w:r>
      <w:r>
        <w:rPr>
          <w:rFonts w:hint="default" w:ascii="Times New Roman" w:hAnsi="Times New Roman" w:eastAsia="宋体" w:cs="Times New Roman"/>
          <w:color w:val="auto"/>
          <w:spacing w:val="0"/>
          <w:w w:val="100"/>
          <w:position w:val="0"/>
          <w:sz w:val="24"/>
          <w:u w:val="none" w:color="auto"/>
          <w:lang w:eastAsia="zh-CN"/>
        </w:rPr>
        <w:t>上海港环境保护中心和武汉水运工程学院提出的经验公式估算</w:t>
      </w: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，公式如下：</w:t>
      </w:r>
    </w:p>
    <w:p w14:paraId="4C7ED5F2">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000000" w:themeColor="text1"/>
          <w:spacing w:val="0"/>
          <w:position w:val="0"/>
          <w:highlight w:val="none"/>
          <w:u w:val="none" w:color="auto"/>
          <w:vertAlign w:val="subscript"/>
          <w:lang w:val="en-US" w:eastAsia="zh-CN"/>
          <w14:textFill>
            <w14:solidFill>
              <w14:schemeClr w14:val="tx1"/>
            </w14:solidFill>
          </w14:textFill>
        </w:rPr>
      </w:pPr>
      <w:r>
        <w:rPr>
          <w:rFonts w:hint="default" w:ascii="Times New Roman" w:hAnsi="Times New Roman" w:eastAsia="宋体" w:cs="Times New Roman"/>
          <w:color w:val="000000" w:themeColor="text1"/>
          <w:spacing w:val="0"/>
          <w:position w:val="0"/>
          <w:highlight w:val="none"/>
          <w:u w:val="none" w:color="auto"/>
          <w:vertAlign w:val="subscript"/>
          <w:lang w:val="en-US" w:eastAsia="zh-CN"/>
          <w14:textFill>
            <w14:solidFill>
              <w14:schemeClr w14:val="tx1"/>
            </w14:solidFill>
          </w14:textFill>
        </w:rPr>
        <w:object>
          <v:shape id="_x0000_i1026" o:spt="75" type="#_x0000_t75" style="height:54pt;width:177pt;" o:ole="t" filled="f" o:preferrelative="t" stroked="f" coordsize="21600,21600">
            <v:path/>
            <v:fill on="f" focussize="0,0"/>
            <v:stroke on="f"/>
            <v:imagedata r:id="rId46" o:title=""/>
            <o:lock v:ext="edit" aspectratio="t"/>
            <w10:wrap type="none"/>
            <w10:anchorlock/>
          </v:shape>
          <o:OLEObject Type="Embed" ProgID="Equation.KSEE3" ShapeID="_x0000_i1026" DrawAspect="Content" ObjectID="_1468075726" r:id="rId45">
            <o:LockedField>false</o:LockedField>
          </o:OLEObject>
        </w:object>
      </w:r>
    </w:p>
    <w:p w14:paraId="3B1E86E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pP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式中：Qy——交通运输起尘量</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kg/km/辆</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eastAsia="zh-CN"/>
          <w14:textFill>
            <w14:solidFill>
              <w14:schemeClr w14:val="tx1"/>
            </w14:solidFill>
          </w14:textFill>
        </w:rPr>
        <w:t>）；</w:t>
      </w:r>
    </w:p>
    <w:p w14:paraId="657D62CD">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jc w:val="both"/>
        <w:textAlignment w:val="auto"/>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pP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V——车辆行驶速度</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km/h</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，平均</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val="en-US" w:eastAsia="zh-CN"/>
          <w14:textFill>
            <w14:solidFill>
              <w14:schemeClr w14:val="tx1"/>
            </w14:solidFill>
          </w14:textFill>
        </w:rPr>
        <w:t>20</w:t>
      </w: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km/h；</w:t>
      </w:r>
    </w:p>
    <w:p w14:paraId="77D54068">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jc w:val="both"/>
        <w:textAlignment w:val="auto"/>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pP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P——道路灰尘覆盖量(kg/m</w:t>
      </w:r>
      <w:r>
        <w:rPr>
          <w:rFonts w:hint="default" w:ascii="Times New Roman" w:hAnsi="Times New Roman" w:eastAsia="宋体" w:cs="Times New Roman"/>
          <w:b w:val="0"/>
          <w:bCs/>
          <w:color w:val="000000" w:themeColor="text1"/>
          <w:spacing w:val="0"/>
          <w:kern w:val="21"/>
          <w:position w:val="0"/>
          <w:sz w:val="24"/>
          <w:szCs w:val="24"/>
          <w:highlight w:val="none"/>
          <w:u w:val="none" w:color="auto"/>
          <w:vertAlign w:val="superscript"/>
          <w14:textFill>
            <w14:solidFill>
              <w14:schemeClr w14:val="tx1"/>
            </w14:solidFill>
          </w14:textFill>
        </w:rPr>
        <w:t>2</w:t>
      </w: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)，水泥路面以0.015kg/m</w:t>
      </w:r>
      <w:r>
        <w:rPr>
          <w:rFonts w:hint="default" w:ascii="Times New Roman" w:hAnsi="Times New Roman" w:eastAsia="宋体" w:cs="Times New Roman"/>
          <w:b w:val="0"/>
          <w:bCs/>
          <w:color w:val="000000" w:themeColor="text1"/>
          <w:spacing w:val="0"/>
          <w:kern w:val="21"/>
          <w:position w:val="0"/>
          <w:sz w:val="24"/>
          <w:szCs w:val="24"/>
          <w:highlight w:val="none"/>
          <w:u w:val="none" w:color="auto"/>
          <w:vertAlign w:val="superscript"/>
          <w14:textFill>
            <w14:solidFill>
              <w14:schemeClr w14:val="tx1"/>
            </w14:solidFill>
          </w14:textFill>
        </w:rPr>
        <w:t>2</w:t>
      </w: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计；</w:t>
      </w:r>
    </w:p>
    <w:p w14:paraId="43EC17EB">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jc w:val="both"/>
        <w:textAlignment w:val="auto"/>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pP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M——车辆载重</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t/辆</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val="en-US" w:eastAsia="zh-CN"/>
          <w14:textFill>
            <w14:solidFill>
              <w14:schemeClr w14:val="tx1"/>
            </w14:solidFill>
          </w14:textFill>
        </w:rPr>
        <w:t>3</w:t>
      </w: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0t/辆；</w:t>
      </w:r>
    </w:p>
    <w:p w14:paraId="4EFCAA8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color w:val="auto"/>
          <w:spacing w:val="0"/>
          <w:kern w:val="21"/>
          <w:position w:val="0"/>
          <w:sz w:val="24"/>
          <w:szCs w:val="24"/>
          <w:highlight w:val="none"/>
          <w:u w:val="none" w:color="auto"/>
        </w:rPr>
      </w:pP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根据以上公式计算，</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eastAsia="zh-CN"/>
          <w14:textFill>
            <w14:solidFill>
              <w14:schemeClr w14:val="tx1"/>
            </w14:solidFill>
          </w14:textFill>
        </w:rPr>
        <w:t>本项目</w:t>
      </w: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单辆运输车</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eastAsia="zh-CN"/>
          <w14:textFill>
            <w14:solidFill>
              <w14:schemeClr w14:val="tx1"/>
            </w14:solidFill>
          </w14:textFill>
        </w:rPr>
        <w:t>辆每公里运输</w:t>
      </w: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道路扬尘</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eastAsia="zh-CN"/>
          <w14:textFill>
            <w14:solidFill>
              <w14:schemeClr w14:val="tx1"/>
            </w14:solidFill>
          </w14:textFill>
        </w:rPr>
        <w:t>产生</w:t>
      </w: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量为</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val="en-US" w:eastAsia="zh-CN"/>
          <w14:textFill>
            <w14:solidFill>
              <w14:schemeClr w14:val="tx1"/>
            </w14:solidFill>
          </w14:textFill>
        </w:rPr>
        <w:t>0.14</w:t>
      </w: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kg/</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km</w:t>
      </w:r>
      <w:r>
        <w:rPr>
          <w:rFonts w:hint="default" w:ascii="Times New Roman" w:hAnsi="Times New Roman" w:eastAsia="微软雅黑" w:cs="Times New Roman"/>
          <w:b w:val="0"/>
          <w:bCs/>
          <w:color w:val="000000" w:themeColor="text1"/>
          <w:spacing w:val="0"/>
          <w:kern w:val="21"/>
          <w:position w:val="0"/>
          <w:sz w:val="24"/>
          <w:szCs w:val="24"/>
          <w:highlight w:val="none"/>
          <w:u w:val="none" w:color="auto"/>
          <w14:textFill>
            <w14:solidFill>
              <w14:schemeClr w14:val="tx1"/>
            </w14:solidFill>
          </w14:textFill>
        </w:rPr>
        <w:t>·</w:t>
      </w: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辆</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spacing w:val="0"/>
          <w:kern w:val="21"/>
          <w:position w:val="0"/>
          <w:sz w:val="24"/>
          <w:szCs w:val="24"/>
          <w:highlight w:val="none"/>
          <w:u w:val="none" w:color="auto"/>
          <w14:textFill>
            <w14:solidFill>
              <w14:schemeClr w14:val="tx1"/>
            </w14:solidFill>
          </w14:textFill>
        </w:rPr>
        <w:t>本项目</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eastAsia="zh-CN"/>
          <w14:textFill>
            <w14:solidFill>
              <w14:schemeClr w14:val="tx1"/>
            </w14:solidFill>
          </w14:textFill>
        </w:rPr>
        <w:t>土石方、原材料运距不等，</w:t>
      </w:r>
      <w:r>
        <w:rPr>
          <w:rFonts w:hint="default" w:ascii="Times New Roman" w:hAnsi="Times New Roman" w:eastAsia="宋体" w:cs="Times New Roman"/>
          <w:b w:val="0"/>
          <w:bCs/>
          <w:color w:val="auto"/>
          <w:spacing w:val="0"/>
          <w:kern w:val="21"/>
          <w:position w:val="0"/>
          <w:sz w:val="24"/>
          <w:szCs w:val="24"/>
          <w:highlight w:val="none"/>
          <w:u w:val="none" w:color="auto"/>
          <w:lang w:val="en-US" w:eastAsia="zh-CN"/>
        </w:rPr>
        <w:t>平均运距按1</w:t>
      </w:r>
      <w:r>
        <w:rPr>
          <w:rFonts w:hint="default" w:ascii="Times New Roman" w:hAnsi="Times New Roman" w:eastAsia="宋体" w:cs="Times New Roman"/>
          <w:b w:val="0"/>
          <w:bCs/>
          <w:color w:val="auto"/>
          <w:spacing w:val="0"/>
          <w:kern w:val="21"/>
          <w:position w:val="0"/>
          <w:sz w:val="24"/>
          <w:szCs w:val="24"/>
          <w:highlight w:val="none"/>
          <w:u w:val="none" w:color="auto"/>
        </w:rPr>
        <w:t>km</w:t>
      </w:r>
      <w:r>
        <w:rPr>
          <w:rFonts w:hint="default" w:ascii="Times New Roman" w:hAnsi="Times New Roman" w:eastAsia="宋体" w:cs="Times New Roman"/>
          <w:b w:val="0"/>
          <w:bCs/>
          <w:color w:val="auto"/>
          <w:spacing w:val="0"/>
          <w:kern w:val="21"/>
          <w:position w:val="0"/>
          <w:sz w:val="24"/>
          <w:szCs w:val="24"/>
          <w:highlight w:val="none"/>
          <w:u w:val="none" w:color="auto"/>
          <w:lang w:eastAsia="zh-CN"/>
        </w:rPr>
        <w:t>计</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val="en-US" w:eastAsia="zh-CN"/>
          <w14:textFill>
            <w14:solidFill>
              <w14:schemeClr w14:val="tx1"/>
            </w14:solidFill>
          </w14:textFill>
        </w:rPr>
        <w:t>车流量按30辆/天计算，则</w:t>
      </w:r>
      <w:r>
        <w:rPr>
          <w:rFonts w:hint="default" w:ascii="Times New Roman" w:hAnsi="Times New Roman" w:eastAsia="宋体" w:cs="Times New Roman"/>
          <w:b w:val="0"/>
          <w:bCs/>
          <w:color w:val="auto"/>
          <w:spacing w:val="0"/>
          <w:kern w:val="21"/>
          <w:position w:val="0"/>
          <w:sz w:val="24"/>
          <w:szCs w:val="24"/>
          <w:highlight w:val="none"/>
          <w:u w:val="none" w:color="auto"/>
          <w:lang w:eastAsia="zh-CN"/>
        </w:rPr>
        <w:t>本项目</w:t>
      </w:r>
      <w:r>
        <w:rPr>
          <w:rFonts w:hint="default" w:ascii="Times New Roman" w:hAnsi="Times New Roman" w:eastAsia="宋体" w:cs="Times New Roman"/>
          <w:b w:val="0"/>
          <w:bCs/>
          <w:color w:val="000000" w:themeColor="text1"/>
          <w:spacing w:val="0"/>
          <w:kern w:val="21"/>
          <w:position w:val="0"/>
          <w:sz w:val="24"/>
          <w:szCs w:val="24"/>
          <w:highlight w:val="none"/>
          <w:u w:val="none" w:color="auto"/>
          <w:lang w:val="en-US" w:eastAsia="zh-CN"/>
          <w14:textFill>
            <w14:solidFill>
              <w14:schemeClr w14:val="tx1"/>
            </w14:solidFill>
          </w14:textFill>
        </w:rPr>
        <w:t>施工期道路运输产生扬尘量为4.2kg/d，项目工期为8个月，则年产生运输扬尘量约为1.008t/a</w:t>
      </w:r>
      <w:r>
        <w:rPr>
          <w:rFonts w:hint="default" w:ascii="Times New Roman" w:hAnsi="Times New Roman" w:eastAsia="宋体" w:cs="Times New Roman"/>
          <w:b w:val="0"/>
          <w:bCs/>
          <w:color w:val="auto"/>
          <w:spacing w:val="0"/>
          <w:kern w:val="21"/>
          <w:position w:val="0"/>
          <w:sz w:val="24"/>
          <w:szCs w:val="24"/>
          <w:highlight w:val="none"/>
          <w:u w:val="none" w:color="auto"/>
        </w:rPr>
        <w:t>。</w:t>
      </w:r>
    </w:p>
    <w:p w14:paraId="328ABCCE">
      <w:pPr>
        <w:adjustRightInd w:val="0"/>
        <w:snapToGrid w:val="0"/>
        <w:spacing w:line="360" w:lineRule="auto"/>
        <w:ind w:firstLine="480" w:firstLineChars="200"/>
        <w:rPr>
          <w:rFonts w:hint="default" w:ascii="Times New Roman" w:hAnsi="Times New Roman" w:eastAsia="宋体" w:cs="Times New Roman"/>
          <w:color w:val="auto"/>
          <w:spacing w:val="0"/>
          <w:w w:val="100"/>
          <w:position w:val="0"/>
          <w:sz w:val="24"/>
          <w:u w:val="none" w:color="auto"/>
          <w:lang w:val="en-US" w:eastAsia="zh-CN"/>
        </w:rPr>
      </w:pPr>
      <w:r>
        <w:rPr>
          <w:rFonts w:hint="default" w:ascii="Times New Roman" w:hAnsi="Times New Roman" w:eastAsia="宋体" w:cs="Times New Roman"/>
          <w:color w:val="auto"/>
          <w:spacing w:val="0"/>
          <w:w w:val="100"/>
          <w:position w:val="0"/>
          <w:sz w:val="24"/>
          <w:u w:val="none" w:color="auto"/>
          <w:lang w:val="en-US" w:eastAsia="zh-CN"/>
        </w:rPr>
        <w:t>（2）施工机械燃油废气</w:t>
      </w:r>
    </w:p>
    <w:p w14:paraId="4ECF74ED">
      <w:pPr>
        <w:keepNext w:val="0"/>
        <w:keepLines w:val="0"/>
        <w:widowControl/>
        <w:suppressLineNumbers w:val="0"/>
        <w:spacing w:line="360" w:lineRule="auto"/>
        <w:ind w:firstLine="480" w:firstLineChars="200"/>
        <w:jc w:val="left"/>
        <w:rPr>
          <w:rFonts w:hint="default" w:ascii="Times New Roman" w:hAnsi="Times New Roman" w:cs="Times New Roman"/>
        </w:rPr>
      </w:pPr>
      <w:r>
        <w:rPr>
          <w:rFonts w:hint="default" w:ascii="Times New Roman" w:hAnsi="Times New Roman" w:eastAsia="TTBFo00" w:cs="Times New Roman"/>
          <w:color w:val="000000"/>
          <w:kern w:val="0"/>
          <w:sz w:val="24"/>
          <w:szCs w:val="24"/>
          <w:lang w:val="en-US" w:eastAsia="zh-CN" w:bidi="ar"/>
        </w:rPr>
        <w:t>本次除</w:t>
      </w:r>
      <w:r>
        <w:rPr>
          <w:rFonts w:hint="default" w:ascii="Times New Roman" w:hAnsi="Times New Roman" w:eastAsia="TTBFo01" w:cs="Times New Roman"/>
          <w:color w:val="000000"/>
          <w:kern w:val="0"/>
          <w:sz w:val="24"/>
          <w:szCs w:val="24"/>
          <w:lang w:val="en-US" w:eastAsia="zh-CN" w:bidi="ar"/>
        </w:rPr>
        <w:t>险</w:t>
      </w:r>
      <w:r>
        <w:rPr>
          <w:rFonts w:hint="default" w:ascii="Times New Roman" w:hAnsi="Times New Roman" w:eastAsia="TTBFo00" w:cs="Times New Roman"/>
          <w:color w:val="000000"/>
          <w:kern w:val="0"/>
          <w:sz w:val="24"/>
          <w:szCs w:val="24"/>
          <w:lang w:val="en-US" w:eastAsia="zh-CN" w:bidi="ar"/>
        </w:rPr>
        <w:t>加</w:t>
      </w:r>
      <w:r>
        <w:rPr>
          <w:rFonts w:hint="default" w:ascii="Times New Roman" w:hAnsi="Times New Roman" w:eastAsia="TTBFo01" w:cs="Times New Roman"/>
          <w:color w:val="000000"/>
          <w:kern w:val="0"/>
          <w:sz w:val="24"/>
          <w:szCs w:val="24"/>
          <w:lang w:val="en-US" w:eastAsia="zh-CN" w:bidi="ar"/>
        </w:rPr>
        <w:t>固</w:t>
      </w:r>
      <w:r>
        <w:rPr>
          <w:rFonts w:hint="default" w:ascii="Times New Roman" w:hAnsi="Times New Roman" w:eastAsia="TTBFo00" w:cs="Times New Roman"/>
          <w:color w:val="000000"/>
          <w:kern w:val="0"/>
          <w:sz w:val="24"/>
          <w:szCs w:val="24"/>
          <w:lang w:val="en-US" w:eastAsia="zh-CN" w:bidi="ar"/>
        </w:rPr>
        <w:t>工程工程施工</w:t>
      </w:r>
      <w:r>
        <w:rPr>
          <w:rFonts w:hint="default" w:ascii="Times New Roman" w:hAnsi="Times New Roman" w:eastAsia="TTBFo01" w:cs="Times New Roman"/>
          <w:color w:val="000000"/>
          <w:kern w:val="0"/>
          <w:sz w:val="24"/>
          <w:szCs w:val="24"/>
          <w:lang w:val="en-US" w:eastAsia="zh-CN" w:bidi="ar"/>
        </w:rPr>
        <w:t>机</w:t>
      </w:r>
      <w:r>
        <w:rPr>
          <w:rFonts w:hint="default" w:ascii="Times New Roman" w:hAnsi="Times New Roman" w:eastAsia="TTBFo02" w:cs="Times New Roman"/>
          <w:color w:val="000000"/>
          <w:kern w:val="0"/>
          <w:sz w:val="24"/>
          <w:szCs w:val="24"/>
          <w:lang w:val="en-US" w:eastAsia="zh-CN" w:bidi="ar"/>
        </w:rPr>
        <w:t>械</w:t>
      </w:r>
      <w:r>
        <w:rPr>
          <w:rFonts w:hint="default" w:ascii="Times New Roman" w:hAnsi="Times New Roman" w:eastAsia="TTBFo00" w:cs="Times New Roman"/>
          <w:color w:val="000000"/>
          <w:kern w:val="0"/>
          <w:sz w:val="24"/>
          <w:szCs w:val="24"/>
          <w:lang w:val="en-US" w:eastAsia="zh-CN" w:bidi="ar"/>
        </w:rPr>
        <w:t>较多，施工范围较大，</w:t>
      </w:r>
      <w:r>
        <w:rPr>
          <w:rFonts w:hint="default" w:ascii="Times New Roman" w:hAnsi="Times New Roman" w:eastAsia="宋体" w:cs="Times New Roman"/>
          <w:color w:val="auto"/>
          <w:spacing w:val="0"/>
          <w:w w:val="100"/>
          <w:position w:val="0"/>
          <w:sz w:val="24"/>
          <w:u w:val="none" w:color="auto"/>
          <w:lang w:val="en-US" w:eastAsia="zh-CN"/>
        </w:rPr>
        <w:t>施工过程用到的施工机械主要包括挖掘机、装载机、推土机等，以柴油为燃料，会产</w:t>
      </w:r>
      <w:r>
        <w:rPr>
          <w:rFonts w:hint="default" w:ascii="Times New Roman" w:hAnsi="Times New Roman" w:eastAsia="宋体" w:cs="Times New Roman"/>
          <w:color w:val="auto"/>
          <w:spacing w:val="0"/>
          <w:w w:val="100"/>
          <w:position w:val="0"/>
          <w:sz w:val="24"/>
          <w:u w:val="none" w:color="auto"/>
          <w:lang w:eastAsia="zh-CN"/>
        </w:rPr>
        <w:t>生一定量燃油废气，包括CO、NO</w:t>
      </w:r>
      <w:r>
        <w:rPr>
          <w:rFonts w:hint="default" w:ascii="Times New Roman" w:hAnsi="Times New Roman" w:eastAsia="宋体" w:cs="Times New Roman"/>
          <w:color w:val="auto"/>
          <w:spacing w:val="0"/>
          <w:w w:val="100"/>
          <w:position w:val="0"/>
          <w:sz w:val="24"/>
          <w:u w:val="none" w:color="auto"/>
          <w:vertAlign w:val="subscript"/>
          <w:lang w:eastAsia="zh-CN"/>
        </w:rPr>
        <w:t>×</w:t>
      </w:r>
      <w:r>
        <w:rPr>
          <w:rFonts w:hint="default" w:ascii="Times New Roman" w:hAnsi="Times New Roman" w:eastAsia="宋体" w:cs="Times New Roman"/>
          <w:color w:val="auto"/>
          <w:spacing w:val="0"/>
          <w:w w:val="100"/>
          <w:position w:val="0"/>
          <w:sz w:val="24"/>
          <w:u w:val="none" w:color="auto"/>
          <w:vertAlign w:val="baseline"/>
          <w:lang w:eastAsia="zh-CN"/>
        </w:rPr>
        <w:t>、</w:t>
      </w:r>
      <w:r>
        <w:rPr>
          <w:rFonts w:hint="default" w:ascii="Times New Roman" w:hAnsi="Times New Roman" w:eastAsia="宋体" w:cs="Times New Roman"/>
          <w:color w:val="auto"/>
          <w:spacing w:val="0"/>
          <w:w w:val="100"/>
          <w:position w:val="0"/>
          <w:sz w:val="24"/>
          <w:u w:val="none" w:color="auto"/>
          <w:vertAlign w:val="baseline"/>
          <w:lang w:val="en-US" w:eastAsia="zh-CN"/>
        </w:rPr>
        <w:t>HC、颗粒物</w:t>
      </w:r>
      <w:r>
        <w:rPr>
          <w:rFonts w:hint="default" w:ascii="Times New Roman" w:hAnsi="Times New Roman" w:eastAsia="宋体" w:cs="Times New Roman"/>
          <w:color w:val="auto"/>
          <w:spacing w:val="0"/>
          <w:w w:val="100"/>
          <w:position w:val="0"/>
          <w:sz w:val="24"/>
          <w:u w:val="none" w:color="auto"/>
          <w:lang w:eastAsia="zh-CN"/>
        </w:rPr>
        <w:t>等，</w:t>
      </w:r>
      <w:r>
        <w:rPr>
          <w:rFonts w:hint="default" w:ascii="Times New Roman" w:hAnsi="Times New Roman" w:eastAsia="宋体" w:cs="Times New Roman"/>
          <w:color w:val="000000"/>
          <w:kern w:val="0"/>
          <w:sz w:val="24"/>
          <w:szCs w:val="24"/>
          <w:lang w:val="en-US" w:eastAsia="zh-CN" w:bidi="ar"/>
        </w:rPr>
        <w:t xml:space="preserve">其产生量与施工机械数量及密度、耗油量、燃料品质及机械设备状况等有关。 </w:t>
      </w:r>
    </w:p>
    <w:p w14:paraId="3DEFF8DC">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spacing w:val="0"/>
          <w:w w:val="100"/>
          <w:position w:val="0"/>
          <w:sz w:val="24"/>
          <w:u w:val="none" w:color="auto"/>
          <w:lang w:val="en-US" w:eastAsia="zh-CN"/>
        </w:rPr>
      </w:pPr>
      <w:r>
        <w:rPr>
          <w:rFonts w:hint="default" w:ascii="Times New Roman" w:hAnsi="Times New Roman" w:eastAsia="宋体" w:cs="Times New Roman"/>
          <w:color w:val="auto"/>
          <w:spacing w:val="0"/>
          <w:w w:val="100"/>
          <w:position w:val="0"/>
          <w:sz w:val="24"/>
          <w:u w:val="none" w:color="auto"/>
          <w:lang w:val="en-US" w:eastAsia="zh-CN"/>
        </w:rPr>
        <w:t xml:space="preserve">参照《非道路移动源大气污染物排放清单编制技术指南（试行）》中的计算方法，施工期工程机械大气污染物排放量计算结果见表2.5-1。 </w:t>
      </w:r>
    </w:p>
    <w:p w14:paraId="7618A9FD">
      <w:pPr>
        <w:keepNext w:val="0"/>
        <w:keepLines w:val="0"/>
        <w:widowControl/>
        <w:suppressLineNumbers w:val="0"/>
        <w:spacing w:line="360" w:lineRule="auto"/>
        <w:ind w:firstLine="482" w:firstLineChars="200"/>
        <w:jc w:val="center"/>
        <w:rPr>
          <w:rFonts w:hint="default" w:ascii="Times New Roman" w:hAnsi="Times New Roman" w:eastAsia="宋体" w:cs="Times New Roman"/>
          <w:b/>
          <w:bCs/>
          <w:color w:val="auto"/>
          <w:spacing w:val="0"/>
          <w:w w:val="100"/>
          <w:position w:val="0"/>
          <w:sz w:val="24"/>
          <w:u w:val="none" w:color="auto"/>
          <w:lang w:val="en-US" w:eastAsia="zh-CN"/>
        </w:rPr>
      </w:pPr>
      <w:r>
        <w:rPr>
          <w:rFonts w:hint="default" w:ascii="Times New Roman" w:hAnsi="Times New Roman" w:eastAsia="宋体" w:cs="Times New Roman"/>
          <w:b/>
          <w:bCs/>
          <w:color w:val="auto"/>
          <w:spacing w:val="0"/>
          <w:w w:val="100"/>
          <w:position w:val="0"/>
          <w:sz w:val="24"/>
          <w:u w:val="none" w:color="auto"/>
          <w:lang w:eastAsia="zh-CN"/>
        </w:rPr>
        <w:t>表</w:t>
      </w:r>
      <w:r>
        <w:rPr>
          <w:rFonts w:hint="default" w:ascii="Times New Roman" w:hAnsi="Times New Roman" w:eastAsia="宋体" w:cs="Times New Roman"/>
          <w:b/>
          <w:bCs/>
          <w:color w:val="auto"/>
          <w:spacing w:val="0"/>
          <w:w w:val="100"/>
          <w:position w:val="0"/>
          <w:sz w:val="24"/>
          <w:u w:val="none" w:color="auto"/>
          <w:lang w:val="en-US" w:eastAsia="zh-CN"/>
        </w:rPr>
        <w:t>2.5-2  施工机械燃油废气排放量</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135"/>
        <w:gridCol w:w="1477"/>
        <w:gridCol w:w="1383"/>
        <w:gridCol w:w="2271"/>
        <w:gridCol w:w="2250"/>
      </w:tblGrid>
      <w:tr w14:paraId="152BEF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blHeader/>
          <w:jc w:val="center"/>
        </w:trPr>
        <w:tc>
          <w:tcPr>
            <w:tcW w:w="1135" w:type="dxa"/>
            <w:tcBorders>
              <w:tl2br w:val="nil"/>
              <w:tr2bl w:val="nil"/>
            </w:tcBorders>
            <w:shd w:val="clear" w:color="auto" w:fill="auto"/>
            <w:noWrap/>
            <w:vAlign w:val="center"/>
          </w:tcPr>
          <w:p w14:paraId="4EF6748A">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lang w:eastAsia="zh-CN"/>
              </w:rPr>
            </w:pPr>
            <w:r>
              <w:rPr>
                <w:rFonts w:hint="default" w:ascii="Times New Roman" w:hAnsi="Times New Roman" w:eastAsia="宋体" w:cs="Times New Roman"/>
                <w:b/>
                <w:bCs/>
                <w:i w:val="0"/>
                <w:iCs w:val="0"/>
                <w:color w:val="000000"/>
                <w:sz w:val="21"/>
                <w:szCs w:val="21"/>
                <w:u w:val="none"/>
                <w:lang w:eastAsia="zh-CN"/>
              </w:rPr>
              <w:t>燃油种类</w:t>
            </w:r>
          </w:p>
        </w:tc>
        <w:tc>
          <w:tcPr>
            <w:tcW w:w="1477" w:type="dxa"/>
            <w:tcBorders>
              <w:tl2br w:val="nil"/>
              <w:tr2bl w:val="nil"/>
            </w:tcBorders>
            <w:shd w:val="clear" w:color="auto" w:fill="auto"/>
            <w:noWrap/>
            <w:vAlign w:val="center"/>
          </w:tcPr>
          <w:p w14:paraId="3DDC814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lang w:val="en-US"/>
              </w:rPr>
            </w:pPr>
            <w:r>
              <w:rPr>
                <w:rFonts w:hint="default" w:ascii="Times New Roman" w:hAnsi="Times New Roman" w:eastAsia="宋体" w:cs="Times New Roman"/>
                <w:b/>
                <w:bCs/>
                <w:i w:val="0"/>
                <w:iCs w:val="0"/>
                <w:color w:val="000000"/>
                <w:kern w:val="0"/>
                <w:sz w:val="21"/>
                <w:szCs w:val="21"/>
                <w:u w:val="none"/>
                <w:lang w:val="en-US" w:eastAsia="zh-CN" w:bidi="ar"/>
              </w:rPr>
              <w:t>消耗量t</w:t>
            </w:r>
          </w:p>
        </w:tc>
        <w:tc>
          <w:tcPr>
            <w:tcW w:w="1383" w:type="dxa"/>
            <w:tcBorders>
              <w:tl2br w:val="nil"/>
              <w:tr2bl w:val="nil"/>
            </w:tcBorders>
            <w:shd w:val="clear" w:color="auto" w:fill="auto"/>
            <w:noWrap/>
            <w:vAlign w:val="center"/>
          </w:tcPr>
          <w:p w14:paraId="1D95D585">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lang w:eastAsia="zh-CN"/>
              </w:rPr>
            </w:pPr>
            <w:r>
              <w:rPr>
                <w:rFonts w:hint="default" w:ascii="Times New Roman" w:hAnsi="Times New Roman" w:eastAsia="宋体" w:cs="Times New Roman"/>
                <w:b/>
                <w:bCs/>
                <w:i w:val="0"/>
                <w:iCs w:val="0"/>
                <w:color w:val="000000"/>
                <w:sz w:val="21"/>
                <w:szCs w:val="21"/>
                <w:u w:val="none"/>
                <w:lang w:eastAsia="zh-CN"/>
              </w:rPr>
              <w:t>排放因子</w:t>
            </w:r>
          </w:p>
        </w:tc>
        <w:tc>
          <w:tcPr>
            <w:tcW w:w="2271" w:type="dxa"/>
            <w:tcBorders>
              <w:tl2br w:val="nil"/>
              <w:tr2bl w:val="nil"/>
            </w:tcBorders>
            <w:shd w:val="clear" w:color="auto" w:fill="auto"/>
            <w:noWrap/>
            <w:vAlign w:val="center"/>
          </w:tcPr>
          <w:p w14:paraId="36F523F8">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lang w:val="en-US" w:eastAsia="zh-CN"/>
              </w:rPr>
            </w:pPr>
            <w:r>
              <w:rPr>
                <w:rFonts w:hint="default" w:ascii="Times New Roman" w:hAnsi="Times New Roman" w:eastAsia="宋体" w:cs="Times New Roman"/>
                <w:b/>
                <w:bCs/>
                <w:i w:val="0"/>
                <w:iCs w:val="0"/>
                <w:color w:val="000000"/>
                <w:sz w:val="21"/>
                <w:szCs w:val="21"/>
                <w:u w:val="none"/>
                <w:lang w:eastAsia="zh-CN"/>
              </w:rPr>
              <w:t>排放系数</w:t>
            </w:r>
            <w:r>
              <w:rPr>
                <w:rFonts w:hint="default" w:ascii="Times New Roman" w:hAnsi="Times New Roman" w:eastAsia="宋体" w:cs="Times New Roman"/>
                <w:b/>
                <w:bCs/>
                <w:i w:val="0"/>
                <w:iCs w:val="0"/>
                <w:color w:val="000000"/>
                <w:sz w:val="21"/>
                <w:szCs w:val="21"/>
                <w:u w:val="none"/>
                <w:lang w:val="en-US" w:eastAsia="zh-CN"/>
              </w:rPr>
              <w:t>g/kg</w:t>
            </w:r>
          </w:p>
        </w:tc>
        <w:tc>
          <w:tcPr>
            <w:tcW w:w="2250" w:type="dxa"/>
            <w:tcBorders>
              <w:tl2br w:val="nil"/>
              <w:tr2bl w:val="nil"/>
            </w:tcBorders>
            <w:shd w:val="clear" w:color="auto" w:fill="auto"/>
            <w:noWrap/>
            <w:vAlign w:val="center"/>
          </w:tcPr>
          <w:p w14:paraId="00061CCE">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lang w:val="en-US" w:eastAsia="zh-CN"/>
              </w:rPr>
            </w:pPr>
            <w:r>
              <w:rPr>
                <w:rFonts w:hint="default" w:ascii="Times New Roman" w:hAnsi="Times New Roman" w:eastAsia="宋体" w:cs="Times New Roman"/>
                <w:b/>
                <w:bCs/>
                <w:i w:val="0"/>
                <w:iCs w:val="0"/>
                <w:color w:val="000000"/>
                <w:sz w:val="21"/>
                <w:szCs w:val="21"/>
                <w:u w:val="none"/>
                <w:lang w:eastAsia="zh-CN"/>
              </w:rPr>
              <w:t>排放量</w:t>
            </w:r>
            <w:r>
              <w:rPr>
                <w:rFonts w:hint="default" w:ascii="Times New Roman" w:hAnsi="Times New Roman" w:eastAsia="宋体" w:cs="Times New Roman"/>
                <w:b/>
                <w:bCs/>
                <w:i w:val="0"/>
                <w:iCs w:val="0"/>
                <w:color w:val="000000"/>
                <w:kern w:val="0"/>
                <w:sz w:val="21"/>
                <w:szCs w:val="21"/>
                <w:u w:val="none"/>
                <w:lang w:val="en-US" w:eastAsia="zh-CN" w:bidi="ar"/>
              </w:rPr>
              <w:t>t</w:t>
            </w:r>
          </w:p>
        </w:tc>
      </w:tr>
      <w:tr w14:paraId="65E528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1135" w:type="dxa"/>
            <w:vMerge w:val="restart"/>
            <w:tcBorders>
              <w:tl2br w:val="nil"/>
              <w:tr2bl w:val="nil"/>
            </w:tcBorders>
            <w:shd w:val="clear" w:color="auto" w:fill="auto"/>
            <w:noWrap/>
            <w:vAlign w:val="center"/>
          </w:tcPr>
          <w:p w14:paraId="544A5573">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lang w:eastAsia="zh-CN"/>
              </w:rPr>
            </w:pPr>
            <w:r>
              <w:rPr>
                <w:rFonts w:hint="default" w:ascii="Times New Roman" w:hAnsi="Times New Roman" w:eastAsia="宋体" w:cs="Times New Roman"/>
                <w:b w:val="0"/>
                <w:bCs w:val="0"/>
                <w:i w:val="0"/>
                <w:iCs w:val="0"/>
                <w:color w:val="000000"/>
                <w:sz w:val="21"/>
                <w:szCs w:val="21"/>
                <w:u w:val="none"/>
                <w:lang w:eastAsia="zh-CN"/>
              </w:rPr>
              <w:t>柴油</w:t>
            </w:r>
          </w:p>
        </w:tc>
        <w:tc>
          <w:tcPr>
            <w:tcW w:w="1477" w:type="dxa"/>
            <w:vMerge w:val="restart"/>
            <w:tcBorders>
              <w:tl2br w:val="nil"/>
              <w:tr2bl w:val="nil"/>
            </w:tcBorders>
            <w:shd w:val="clear" w:color="auto" w:fill="auto"/>
            <w:noWrap/>
            <w:vAlign w:val="center"/>
          </w:tcPr>
          <w:p w14:paraId="3C62DF6E">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kern w:val="0"/>
                <w:sz w:val="21"/>
                <w:szCs w:val="21"/>
                <w:u w:val="none"/>
                <w:lang w:val="en-US" w:eastAsia="zh-CN" w:bidi="ar"/>
              </w:rPr>
            </w:pPr>
            <w:r>
              <w:rPr>
                <w:rFonts w:hint="default" w:ascii="Times New Roman" w:hAnsi="Times New Roman" w:eastAsia="宋体" w:cs="Times New Roman"/>
                <w:b w:val="0"/>
                <w:bCs w:val="0"/>
                <w:i w:val="0"/>
                <w:iCs w:val="0"/>
                <w:color w:val="000000"/>
                <w:kern w:val="0"/>
                <w:sz w:val="21"/>
                <w:szCs w:val="21"/>
                <w:u w:val="none"/>
                <w:lang w:val="en-US" w:eastAsia="zh-CN" w:bidi="ar"/>
              </w:rPr>
              <w:t>21.17</w:t>
            </w:r>
          </w:p>
        </w:tc>
        <w:tc>
          <w:tcPr>
            <w:tcW w:w="1383" w:type="dxa"/>
            <w:tcBorders>
              <w:tl2br w:val="nil"/>
              <w:tr2bl w:val="nil"/>
            </w:tcBorders>
            <w:shd w:val="clear" w:color="auto" w:fill="auto"/>
            <w:noWrap/>
            <w:vAlign w:val="center"/>
          </w:tcPr>
          <w:p w14:paraId="79438FEB">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lang w:val="en-US" w:eastAsia="zh-CN"/>
              </w:rPr>
            </w:pPr>
            <w:r>
              <w:rPr>
                <w:rFonts w:hint="default" w:ascii="Times New Roman" w:hAnsi="Times New Roman" w:eastAsia="宋体" w:cs="Times New Roman"/>
                <w:b w:val="0"/>
                <w:bCs w:val="0"/>
                <w:i w:val="0"/>
                <w:iCs w:val="0"/>
                <w:color w:val="000000"/>
                <w:sz w:val="21"/>
                <w:szCs w:val="21"/>
                <w:u w:val="none"/>
                <w:lang w:val="en-US" w:eastAsia="zh-CN"/>
              </w:rPr>
              <w:t>PM</w:t>
            </w:r>
            <w:r>
              <w:rPr>
                <w:rFonts w:hint="default" w:ascii="Times New Roman" w:hAnsi="Times New Roman" w:eastAsia="宋体" w:cs="Times New Roman"/>
                <w:b w:val="0"/>
                <w:bCs w:val="0"/>
                <w:i w:val="0"/>
                <w:iCs w:val="0"/>
                <w:color w:val="000000"/>
                <w:sz w:val="21"/>
                <w:szCs w:val="21"/>
                <w:u w:val="none"/>
                <w:vertAlign w:val="subscript"/>
                <w:lang w:val="en-US" w:eastAsia="zh-CN"/>
              </w:rPr>
              <w:t>10</w:t>
            </w:r>
          </w:p>
        </w:tc>
        <w:tc>
          <w:tcPr>
            <w:tcW w:w="2271" w:type="dxa"/>
            <w:tcBorders>
              <w:tl2br w:val="nil"/>
              <w:tr2bl w:val="nil"/>
            </w:tcBorders>
            <w:shd w:val="clear" w:color="auto" w:fill="auto"/>
            <w:noWrap/>
            <w:vAlign w:val="center"/>
          </w:tcPr>
          <w:p w14:paraId="3DC4F9D4">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lang w:val="en-US" w:eastAsia="zh-CN"/>
              </w:rPr>
            </w:pPr>
            <w:r>
              <w:rPr>
                <w:rFonts w:hint="default" w:ascii="Times New Roman" w:hAnsi="Times New Roman" w:eastAsia="宋体" w:cs="Times New Roman"/>
                <w:b w:val="0"/>
                <w:bCs w:val="0"/>
                <w:i w:val="0"/>
                <w:iCs w:val="0"/>
                <w:color w:val="000000"/>
                <w:sz w:val="21"/>
                <w:szCs w:val="21"/>
                <w:u w:val="none"/>
                <w:lang w:val="en-US" w:eastAsia="zh-CN"/>
              </w:rPr>
              <w:t>2.086</w:t>
            </w:r>
          </w:p>
        </w:tc>
        <w:tc>
          <w:tcPr>
            <w:tcW w:w="2250" w:type="dxa"/>
            <w:tcBorders>
              <w:tl2br w:val="nil"/>
              <w:tr2bl w:val="nil"/>
            </w:tcBorders>
            <w:shd w:val="clear" w:color="auto" w:fill="auto"/>
            <w:noWrap/>
            <w:vAlign w:val="center"/>
          </w:tcPr>
          <w:p w14:paraId="0F82CA27">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lang w:val="en-US" w:eastAsia="zh-CN"/>
              </w:rPr>
            </w:pPr>
            <w:r>
              <w:rPr>
                <w:rFonts w:hint="default" w:ascii="Times New Roman" w:hAnsi="Times New Roman" w:eastAsia="宋体" w:cs="Times New Roman"/>
                <w:b w:val="0"/>
                <w:bCs w:val="0"/>
                <w:i w:val="0"/>
                <w:iCs w:val="0"/>
                <w:color w:val="000000"/>
                <w:sz w:val="21"/>
                <w:szCs w:val="21"/>
                <w:u w:val="none"/>
                <w:lang w:val="en-US" w:eastAsia="zh-CN"/>
              </w:rPr>
              <w:t xml:space="preserve">0.044 </w:t>
            </w:r>
          </w:p>
        </w:tc>
      </w:tr>
      <w:tr w14:paraId="355AE60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1135" w:type="dxa"/>
            <w:vMerge w:val="continue"/>
            <w:tcBorders>
              <w:tl2br w:val="nil"/>
              <w:tr2bl w:val="nil"/>
            </w:tcBorders>
            <w:shd w:val="clear" w:color="auto" w:fill="auto"/>
            <w:noWrap/>
            <w:vAlign w:val="center"/>
          </w:tcPr>
          <w:p w14:paraId="0A7AF29E">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lang w:eastAsia="zh-CN"/>
              </w:rPr>
            </w:pPr>
          </w:p>
        </w:tc>
        <w:tc>
          <w:tcPr>
            <w:tcW w:w="1477" w:type="dxa"/>
            <w:vMerge w:val="continue"/>
            <w:tcBorders>
              <w:tl2br w:val="nil"/>
              <w:tr2bl w:val="nil"/>
            </w:tcBorders>
            <w:shd w:val="clear" w:color="auto" w:fill="auto"/>
            <w:noWrap/>
            <w:vAlign w:val="center"/>
          </w:tcPr>
          <w:p w14:paraId="3B87371B">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kern w:val="0"/>
                <w:sz w:val="21"/>
                <w:szCs w:val="21"/>
                <w:u w:val="none"/>
                <w:lang w:val="en-US" w:eastAsia="zh-CN" w:bidi="ar"/>
              </w:rPr>
            </w:pPr>
          </w:p>
        </w:tc>
        <w:tc>
          <w:tcPr>
            <w:tcW w:w="1383" w:type="dxa"/>
            <w:tcBorders>
              <w:tl2br w:val="nil"/>
              <w:tr2bl w:val="nil"/>
            </w:tcBorders>
            <w:shd w:val="clear" w:color="auto" w:fill="auto"/>
            <w:noWrap/>
            <w:vAlign w:val="center"/>
          </w:tcPr>
          <w:p w14:paraId="45C8967A">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lang w:val="en-US" w:eastAsia="zh-CN"/>
              </w:rPr>
            </w:pPr>
            <w:r>
              <w:rPr>
                <w:rFonts w:hint="default" w:ascii="Times New Roman" w:hAnsi="Times New Roman" w:eastAsia="宋体" w:cs="Times New Roman"/>
                <w:b w:val="0"/>
                <w:bCs w:val="0"/>
                <w:i w:val="0"/>
                <w:iCs w:val="0"/>
                <w:color w:val="000000"/>
                <w:sz w:val="21"/>
                <w:szCs w:val="21"/>
                <w:u w:val="none"/>
                <w:lang w:val="en-US" w:eastAsia="zh-CN"/>
              </w:rPr>
              <w:t>THC</w:t>
            </w:r>
          </w:p>
        </w:tc>
        <w:tc>
          <w:tcPr>
            <w:tcW w:w="2271" w:type="dxa"/>
            <w:tcBorders>
              <w:tl2br w:val="nil"/>
              <w:tr2bl w:val="nil"/>
            </w:tcBorders>
            <w:shd w:val="clear" w:color="auto" w:fill="auto"/>
            <w:noWrap/>
            <w:vAlign w:val="center"/>
          </w:tcPr>
          <w:p w14:paraId="0671049E">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lang w:val="en-US" w:eastAsia="zh-CN"/>
              </w:rPr>
            </w:pPr>
            <w:r>
              <w:rPr>
                <w:rFonts w:hint="default" w:ascii="Times New Roman" w:hAnsi="Times New Roman" w:eastAsia="宋体" w:cs="Times New Roman"/>
                <w:b w:val="0"/>
                <w:bCs w:val="0"/>
                <w:i w:val="0"/>
                <w:iCs w:val="0"/>
                <w:color w:val="000000"/>
                <w:sz w:val="21"/>
                <w:szCs w:val="21"/>
                <w:u w:val="none"/>
                <w:lang w:val="en-US" w:eastAsia="zh-CN"/>
              </w:rPr>
              <w:t>3.385</w:t>
            </w:r>
          </w:p>
        </w:tc>
        <w:tc>
          <w:tcPr>
            <w:tcW w:w="2250" w:type="dxa"/>
            <w:tcBorders>
              <w:tl2br w:val="nil"/>
              <w:tr2bl w:val="nil"/>
            </w:tcBorders>
            <w:shd w:val="clear" w:color="auto" w:fill="auto"/>
            <w:noWrap/>
            <w:vAlign w:val="center"/>
          </w:tcPr>
          <w:p w14:paraId="40DA7654">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lang w:val="en-US" w:eastAsia="zh-CN"/>
              </w:rPr>
            </w:pPr>
            <w:r>
              <w:rPr>
                <w:rFonts w:hint="default" w:ascii="Times New Roman" w:hAnsi="Times New Roman" w:eastAsia="宋体" w:cs="Times New Roman"/>
                <w:b w:val="0"/>
                <w:bCs w:val="0"/>
                <w:i w:val="0"/>
                <w:iCs w:val="0"/>
                <w:color w:val="000000"/>
                <w:sz w:val="21"/>
                <w:szCs w:val="21"/>
                <w:u w:val="none"/>
                <w:lang w:val="en-US" w:eastAsia="zh-CN"/>
              </w:rPr>
              <w:t xml:space="preserve">0.072 </w:t>
            </w:r>
          </w:p>
        </w:tc>
      </w:tr>
      <w:tr w14:paraId="2171D0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1135" w:type="dxa"/>
            <w:vMerge w:val="continue"/>
            <w:tcBorders>
              <w:tl2br w:val="nil"/>
              <w:tr2bl w:val="nil"/>
            </w:tcBorders>
            <w:shd w:val="clear" w:color="auto" w:fill="auto"/>
            <w:noWrap/>
            <w:vAlign w:val="center"/>
          </w:tcPr>
          <w:p w14:paraId="3B07BB68">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lang w:eastAsia="zh-CN"/>
              </w:rPr>
            </w:pPr>
          </w:p>
        </w:tc>
        <w:tc>
          <w:tcPr>
            <w:tcW w:w="1477" w:type="dxa"/>
            <w:vMerge w:val="continue"/>
            <w:tcBorders>
              <w:tl2br w:val="nil"/>
              <w:tr2bl w:val="nil"/>
            </w:tcBorders>
            <w:shd w:val="clear" w:color="auto" w:fill="auto"/>
            <w:noWrap/>
            <w:vAlign w:val="center"/>
          </w:tcPr>
          <w:p w14:paraId="1F120923">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kern w:val="0"/>
                <w:sz w:val="21"/>
                <w:szCs w:val="21"/>
                <w:u w:val="none"/>
                <w:lang w:val="en-US" w:eastAsia="zh-CN" w:bidi="ar"/>
              </w:rPr>
            </w:pPr>
          </w:p>
        </w:tc>
        <w:tc>
          <w:tcPr>
            <w:tcW w:w="1383" w:type="dxa"/>
            <w:tcBorders>
              <w:tl2br w:val="nil"/>
              <w:tr2bl w:val="nil"/>
            </w:tcBorders>
            <w:shd w:val="clear" w:color="auto" w:fill="auto"/>
            <w:noWrap/>
            <w:vAlign w:val="center"/>
          </w:tcPr>
          <w:p w14:paraId="1F8A888F">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lang w:val="en-US" w:eastAsia="zh-CN"/>
              </w:rPr>
            </w:pPr>
            <w:r>
              <w:rPr>
                <w:rFonts w:hint="default" w:ascii="Times New Roman" w:hAnsi="Times New Roman" w:eastAsia="宋体" w:cs="Times New Roman"/>
                <w:b w:val="0"/>
                <w:bCs w:val="0"/>
                <w:i w:val="0"/>
                <w:iCs w:val="0"/>
                <w:color w:val="000000"/>
                <w:sz w:val="21"/>
                <w:szCs w:val="21"/>
                <w:u w:val="none"/>
                <w:lang w:val="en-US" w:eastAsia="zh-CN"/>
              </w:rPr>
              <w:t>NO</w:t>
            </w:r>
            <w:r>
              <w:rPr>
                <w:rFonts w:hint="default" w:ascii="Times New Roman" w:hAnsi="Times New Roman" w:eastAsia="宋体" w:cs="Times New Roman"/>
                <w:b w:val="0"/>
                <w:bCs w:val="0"/>
                <w:i w:val="0"/>
                <w:iCs w:val="0"/>
                <w:color w:val="000000"/>
                <w:sz w:val="21"/>
                <w:szCs w:val="21"/>
                <w:u w:val="none"/>
                <w:vertAlign w:val="subscript"/>
                <w:lang w:val="en-US" w:eastAsia="zh-CN"/>
              </w:rPr>
              <w:t>X</w:t>
            </w:r>
          </w:p>
        </w:tc>
        <w:tc>
          <w:tcPr>
            <w:tcW w:w="2271" w:type="dxa"/>
            <w:tcBorders>
              <w:tl2br w:val="nil"/>
              <w:tr2bl w:val="nil"/>
            </w:tcBorders>
            <w:shd w:val="clear" w:color="auto" w:fill="auto"/>
            <w:noWrap/>
            <w:vAlign w:val="center"/>
          </w:tcPr>
          <w:p w14:paraId="2D6A54C4">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lang w:val="en-US" w:eastAsia="zh-CN"/>
              </w:rPr>
            </w:pPr>
            <w:r>
              <w:rPr>
                <w:rFonts w:hint="default" w:ascii="Times New Roman" w:hAnsi="Times New Roman" w:eastAsia="宋体" w:cs="Times New Roman"/>
                <w:b w:val="0"/>
                <w:bCs w:val="0"/>
                <w:i w:val="0"/>
                <w:iCs w:val="0"/>
                <w:color w:val="000000"/>
                <w:sz w:val="21"/>
                <w:szCs w:val="21"/>
                <w:u w:val="none"/>
                <w:lang w:val="en-US" w:eastAsia="zh-CN"/>
              </w:rPr>
              <w:t>32.792</w:t>
            </w:r>
          </w:p>
        </w:tc>
        <w:tc>
          <w:tcPr>
            <w:tcW w:w="2250" w:type="dxa"/>
            <w:tcBorders>
              <w:tl2br w:val="nil"/>
              <w:tr2bl w:val="nil"/>
            </w:tcBorders>
            <w:shd w:val="clear" w:color="auto" w:fill="auto"/>
            <w:noWrap/>
            <w:vAlign w:val="center"/>
          </w:tcPr>
          <w:p w14:paraId="3BD8D3A3">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lang w:val="en-US" w:eastAsia="zh-CN"/>
              </w:rPr>
            </w:pPr>
            <w:r>
              <w:rPr>
                <w:rFonts w:hint="default" w:ascii="Times New Roman" w:hAnsi="Times New Roman" w:eastAsia="宋体" w:cs="Times New Roman"/>
                <w:b w:val="0"/>
                <w:bCs w:val="0"/>
                <w:i w:val="0"/>
                <w:iCs w:val="0"/>
                <w:color w:val="000000"/>
                <w:sz w:val="21"/>
                <w:szCs w:val="21"/>
                <w:u w:val="none"/>
                <w:lang w:val="en-US" w:eastAsia="zh-CN"/>
              </w:rPr>
              <w:t xml:space="preserve">0.694 </w:t>
            </w:r>
          </w:p>
        </w:tc>
      </w:tr>
      <w:tr w14:paraId="39D464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1135" w:type="dxa"/>
            <w:vMerge w:val="continue"/>
            <w:tcBorders>
              <w:tl2br w:val="nil"/>
              <w:tr2bl w:val="nil"/>
            </w:tcBorders>
            <w:shd w:val="clear" w:color="auto" w:fill="auto"/>
            <w:noWrap/>
            <w:vAlign w:val="center"/>
          </w:tcPr>
          <w:p w14:paraId="614A9AB7">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lang w:eastAsia="zh-CN"/>
              </w:rPr>
            </w:pPr>
          </w:p>
        </w:tc>
        <w:tc>
          <w:tcPr>
            <w:tcW w:w="1477" w:type="dxa"/>
            <w:vMerge w:val="continue"/>
            <w:tcBorders>
              <w:tl2br w:val="nil"/>
              <w:tr2bl w:val="nil"/>
            </w:tcBorders>
            <w:shd w:val="clear" w:color="auto" w:fill="auto"/>
            <w:noWrap/>
            <w:vAlign w:val="center"/>
          </w:tcPr>
          <w:p w14:paraId="629B1305">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kern w:val="0"/>
                <w:sz w:val="21"/>
                <w:szCs w:val="21"/>
                <w:u w:val="none"/>
                <w:lang w:val="en-US" w:eastAsia="zh-CN" w:bidi="ar"/>
              </w:rPr>
            </w:pPr>
          </w:p>
        </w:tc>
        <w:tc>
          <w:tcPr>
            <w:tcW w:w="1383" w:type="dxa"/>
            <w:tcBorders>
              <w:tl2br w:val="nil"/>
              <w:tr2bl w:val="nil"/>
            </w:tcBorders>
            <w:shd w:val="clear" w:color="auto" w:fill="auto"/>
            <w:noWrap/>
            <w:vAlign w:val="center"/>
          </w:tcPr>
          <w:p w14:paraId="7E1766B0">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lang w:val="en-US" w:eastAsia="zh-CN"/>
              </w:rPr>
            </w:pPr>
            <w:r>
              <w:rPr>
                <w:rFonts w:hint="default" w:ascii="Times New Roman" w:hAnsi="Times New Roman" w:eastAsia="宋体" w:cs="Times New Roman"/>
                <w:b w:val="0"/>
                <w:bCs w:val="0"/>
                <w:i w:val="0"/>
                <w:iCs w:val="0"/>
                <w:color w:val="000000"/>
                <w:sz w:val="21"/>
                <w:szCs w:val="21"/>
                <w:u w:val="none"/>
                <w:lang w:val="en-US" w:eastAsia="zh-CN"/>
              </w:rPr>
              <w:t>CO</w:t>
            </w:r>
          </w:p>
        </w:tc>
        <w:tc>
          <w:tcPr>
            <w:tcW w:w="2271" w:type="dxa"/>
            <w:tcBorders>
              <w:tl2br w:val="nil"/>
              <w:tr2bl w:val="nil"/>
            </w:tcBorders>
            <w:shd w:val="clear" w:color="auto" w:fill="auto"/>
            <w:noWrap/>
            <w:vAlign w:val="center"/>
          </w:tcPr>
          <w:p w14:paraId="6ACE33F4">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lang w:val="en-US" w:eastAsia="zh-CN"/>
              </w:rPr>
            </w:pPr>
            <w:r>
              <w:rPr>
                <w:rFonts w:hint="default" w:ascii="Times New Roman" w:hAnsi="Times New Roman" w:eastAsia="宋体" w:cs="Times New Roman"/>
                <w:b w:val="0"/>
                <w:bCs w:val="0"/>
                <w:i w:val="0"/>
                <w:iCs w:val="0"/>
                <w:color w:val="000000"/>
                <w:sz w:val="21"/>
                <w:szCs w:val="21"/>
                <w:u w:val="none"/>
                <w:lang w:val="en-US" w:eastAsia="zh-CN"/>
              </w:rPr>
              <w:t>10.722</w:t>
            </w:r>
          </w:p>
        </w:tc>
        <w:tc>
          <w:tcPr>
            <w:tcW w:w="2250" w:type="dxa"/>
            <w:tcBorders>
              <w:tl2br w:val="nil"/>
              <w:tr2bl w:val="nil"/>
            </w:tcBorders>
            <w:shd w:val="clear" w:color="auto" w:fill="auto"/>
            <w:noWrap/>
            <w:vAlign w:val="center"/>
          </w:tcPr>
          <w:p w14:paraId="61305464">
            <w:pPr>
              <w:keepNext w:val="0"/>
              <w:keepLines w:val="0"/>
              <w:widowControl/>
              <w:suppressLineNumbers w:val="0"/>
              <w:spacing w:line="240" w:lineRule="auto"/>
              <w:jc w:val="center"/>
              <w:textAlignment w:val="center"/>
              <w:rPr>
                <w:rFonts w:hint="default" w:ascii="Times New Roman" w:hAnsi="Times New Roman" w:eastAsia="宋体" w:cs="Times New Roman"/>
                <w:b w:val="0"/>
                <w:bCs w:val="0"/>
                <w:i w:val="0"/>
                <w:iCs w:val="0"/>
                <w:color w:val="000000"/>
                <w:sz w:val="21"/>
                <w:szCs w:val="21"/>
                <w:u w:val="none"/>
                <w:lang w:val="en-US" w:eastAsia="zh-CN"/>
              </w:rPr>
            </w:pPr>
            <w:r>
              <w:rPr>
                <w:rFonts w:hint="default" w:ascii="Times New Roman" w:hAnsi="Times New Roman" w:eastAsia="宋体" w:cs="Times New Roman"/>
                <w:b w:val="0"/>
                <w:bCs w:val="0"/>
                <w:i w:val="0"/>
                <w:iCs w:val="0"/>
                <w:color w:val="000000"/>
                <w:sz w:val="21"/>
                <w:szCs w:val="21"/>
                <w:u w:val="none"/>
                <w:lang w:val="en-US" w:eastAsia="zh-CN"/>
              </w:rPr>
              <w:t xml:space="preserve">0.227 </w:t>
            </w:r>
          </w:p>
        </w:tc>
      </w:tr>
    </w:tbl>
    <w:p w14:paraId="44741120">
      <w:pPr>
        <w:pStyle w:val="5"/>
        <w:bidi w:val="0"/>
        <w:rPr>
          <w:rFonts w:hint="default" w:ascii="Times New Roman" w:hAnsi="Times New Roman" w:cs="Times New Roman"/>
        </w:rPr>
      </w:pPr>
      <w:r>
        <w:rPr>
          <w:rFonts w:hint="default" w:ascii="Times New Roman" w:hAnsi="Times New Roman" w:cs="Times New Roman"/>
        </w:rPr>
        <w:t>废水污染源</w:t>
      </w:r>
    </w:p>
    <w:p w14:paraId="4A5BC55D">
      <w:pPr>
        <w:keepNext w:val="0"/>
        <w:keepLines w:val="0"/>
        <w:widowControl/>
        <w:suppressLineNumbers w:val="0"/>
        <w:spacing w:line="360" w:lineRule="auto"/>
        <w:ind w:firstLine="480" w:firstLineChars="200"/>
        <w:jc w:val="left"/>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施工期水污染源主要有施工废水</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和</w:t>
      </w:r>
      <w:r>
        <w:rPr>
          <w:rFonts w:hint="default" w:ascii="Times New Roman" w:hAnsi="Times New Roman" w:eastAsia="宋体" w:cs="Times New Roman"/>
          <w:caps w:val="0"/>
          <w:smallCaps w:val="0"/>
          <w:color w:val="auto"/>
          <w:spacing w:val="0"/>
          <w:w w:val="100"/>
          <w:kern w:val="0"/>
          <w:position w:val="0"/>
          <w:sz w:val="24"/>
          <w:szCs w:val="24"/>
          <w:u w:val="none" w:color="auto"/>
        </w:rPr>
        <w:t>施工人员的生活污水</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，其中</w:t>
      </w:r>
      <w:r>
        <w:rPr>
          <w:rFonts w:hint="default" w:ascii="Times New Roman" w:hAnsi="Times New Roman" w:eastAsia="宋体" w:cs="Times New Roman"/>
          <w:color w:val="000000"/>
          <w:kern w:val="0"/>
          <w:sz w:val="24"/>
          <w:szCs w:val="24"/>
          <w:lang w:val="en-US" w:eastAsia="zh-CN" w:bidi="ar"/>
        </w:rPr>
        <w:t>施工废水主要包括混凝土搅拌系统冲洗废水、机械设备冲洗废水、灌浆施工废水和基坑排水</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7BDBE32E">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u w:val="none" w:color="auto"/>
          <w:lang w:eastAsia="zh-CN"/>
        </w:rPr>
        <w:t>(1)</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施工废水</w:t>
      </w:r>
    </w:p>
    <w:p w14:paraId="3AEC59AA">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olor w:val="auto"/>
          <w:spacing w:val="0"/>
          <w:w w:val="100"/>
          <w:position w:val="0"/>
          <w:sz w:val="24"/>
          <w:u w:val="none" w:color="auto"/>
          <w:lang w:eastAsia="zh-CN"/>
        </w:rPr>
        <w:t>①</w:t>
      </w:r>
      <w:r>
        <w:rPr>
          <w:rFonts w:hint="default" w:ascii="Times New Roman" w:hAnsi="Times New Roman" w:eastAsia="宋体" w:cs="Times New Roman"/>
          <w:caps w:val="0"/>
          <w:smallCaps w:val="0"/>
          <w:color w:val="auto"/>
          <w:spacing w:val="0"/>
          <w:w w:val="100"/>
          <w:kern w:val="0"/>
          <w:position w:val="0"/>
          <w:sz w:val="24"/>
          <w:szCs w:val="24"/>
          <w:u w:val="none" w:color="auto"/>
        </w:rPr>
        <w:t>混凝土拌和</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冲洗</w:t>
      </w:r>
      <w:r>
        <w:rPr>
          <w:rFonts w:hint="default" w:ascii="Times New Roman" w:hAnsi="Times New Roman" w:eastAsia="宋体" w:cs="Times New Roman"/>
          <w:caps w:val="0"/>
          <w:smallCaps w:val="0"/>
          <w:color w:val="auto"/>
          <w:spacing w:val="0"/>
          <w:w w:val="100"/>
          <w:kern w:val="0"/>
          <w:position w:val="0"/>
          <w:sz w:val="24"/>
          <w:szCs w:val="24"/>
          <w:u w:val="none" w:color="auto"/>
        </w:rPr>
        <w:t>废水</w:t>
      </w:r>
    </w:p>
    <w:p w14:paraId="0B7814A6">
      <w:pPr>
        <w:keepNext w:val="0"/>
        <w:keepLines w:val="0"/>
        <w:widowControl/>
        <w:suppressLineNumbers w:val="0"/>
        <w:spacing w:line="360" w:lineRule="auto"/>
        <w:ind w:firstLine="480" w:firstLineChars="200"/>
        <w:jc w:val="left"/>
        <w:rPr>
          <w:rFonts w:hint="default" w:ascii="Times New Roman" w:hAnsi="Times New Roman" w:cs="Times New Roma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根据建设方提供资料，本工程使用的塑性混凝土采用现场拌和方式，拟在大坝下游设1个混凝土拌和站，设置1台0.8m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3</w:t>
      </w:r>
      <w:r>
        <w:rPr>
          <w:rFonts w:hint="default" w:ascii="Times New Roman" w:hAnsi="Times New Roman" w:eastAsia="宋体" w:cs="Times New Roman"/>
          <w:color w:val="000000"/>
          <w:kern w:val="0"/>
          <w:sz w:val="24"/>
          <w:szCs w:val="24"/>
          <w:lang w:val="en-US" w:eastAsia="zh-CN" w:bidi="ar"/>
        </w:rPr>
        <w:t>强制式混凝土搅拌机</w:t>
      </w:r>
      <w:r>
        <w:rPr>
          <w:rFonts w:hint="default" w:ascii="Times New Roman" w:hAnsi="Times New Roman" w:eastAsia="宋体" w:cs="Times New Roman"/>
          <w:caps w:val="0"/>
          <w:smallCaps w:val="0"/>
          <w:color w:val="auto"/>
          <w:spacing w:val="0"/>
          <w:w w:val="100"/>
          <w:position w:val="0"/>
          <w:sz w:val="24"/>
          <w:szCs w:val="24"/>
          <w:highlight w:val="none"/>
          <w:u w:val="none" w:color="auto"/>
          <w:lang w:val="en-US" w:eastAsia="zh-CN"/>
        </w:rPr>
        <w:t>。</w:t>
      </w:r>
      <w:r>
        <w:rPr>
          <w:rFonts w:hint="default" w:ascii="Times New Roman" w:hAnsi="Times New Roman" w:eastAsia="宋体" w:cs="Times New Roman"/>
          <w:color w:val="000000"/>
          <w:kern w:val="0"/>
          <w:sz w:val="24"/>
          <w:szCs w:val="24"/>
          <w:lang w:val="en-US" w:eastAsia="zh-CN" w:bidi="ar"/>
        </w:rPr>
        <w:t>混凝土搅拌机每天冲洗1次，每次冲洗用水量为1.0m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，则工程施工期砼搅拌站产生的砼搅拌系统用水量约为1m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15"/>
          <w:szCs w:val="15"/>
          <w:lang w:val="en-US" w:eastAsia="zh-CN" w:bidi="ar"/>
        </w:rPr>
        <w:t xml:space="preserve"> </w:t>
      </w:r>
      <w:r>
        <w:rPr>
          <w:rFonts w:hint="default" w:ascii="Times New Roman" w:hAnsi="Times New Roman" w:eastAsia="宋体" w:cs="Times New Roman"/>
          <w:color w:val="000000"/>
          <w:kern w:val="0"/>
          <w:sz w:val="24"/>
          <w:szCs w:val="24"/>
          <w:lang w:val="en-US" w:eastAsia="zh-CN" w:bidi="ar"/>
        </w:rPr>
        <w:t>/d。</w:t>
      </w:r>
      <w:r>
        <w:rPr>
          <w:rFonts w:hint="default" w:ascii="Times New Roman" w:hAnsi="Times New Roman" w:eastAsia="宋体" w:cs="Times New Roman"/>
          <w:caps w:val="0"/>
          <w:smallCaps w:val="0"/>
          <w:color w:val="auto"/>
          <w:spacing w:val="0"/>
          <w:w w:val="100"/>
          <w:kern w:val="0"/>
          <w:position w:val="0"/>
          <w:sz w:val="24"/>
          <w:szCs w:val="24"/>
          <w:u w:val="none" w:color="auto"/>
        </w:rPr>
        <w:t>废水</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产生</w:t>
      </w:r>
      <w:r>
        <w:rPr>
          <w:rFonts w:hint="default" w:ascii="Times New Roman" w:hAnsi="Times New Roman" w:eastAsia="宋体" w:cs="Times New Roman"/>
          <w:caps w:val="0"/>
          <w:smallCaps w:val="0"/>
          <w:color w:val="auto"/>
          <w:spacing w:val="0"/>
          <w:w w:val="100"/>
          <w:kern w:val="0"/>
          <w:position w:val="0"/>
          <w:sz w:val="24"/>
          <w:szCs w:val="24"/>
          <w:u w:val="none" w:color="auto"/>
        </w:rPr>
        <w:t>量为用水量的90%计，则混凝土拌和系统</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冲洗</w:t>
      </w:r>
      <w:r>
        <w:rPr>
          <w:rFonts w:hint="default" w:ascii="Times New Roman" w:hAnsi="Times New Roman" w:eastAsia="宋体" w:cs="Times New Roman"/>
          <w:caps w:val="0"/>
          <w:smallCaps w:val="0"/>
          <w:color w:val="auto"/>
          <w:spacing w:val="0"/>
          <w:w w:val="100"/>
          <w:kern w:val="0"/>
          <w:position w:val="0"/>
          <w:sz w:val="24"/>
          <w:szCs w:val="24"/>
          <w:u w:val="none" w:color="auto"/>
        </w:rPr>
        <w:t>废水</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产生</w:t>
      </w:r>
      <w:r>
        <w:rPr>
          <w:rFonts w:hint="default" w:ascii="Times New Roman" w:hAnsi="Times New Roman" w:eastAsia="宋体" w:cs="Times New Roman"/>
          <w:caps w:val="0"/>
          <w:smallCaps w:val="0"/>
          <w:color w:val="auto"/>
          <w:spacing w:val="0"/>
          <w:w w:val="100"/>
          <w:kern w:val="0"/>
          <w:position w:val="0"/>
          <w:sz w:val="24"/>
          <w:szCs w:val="24"/>
          <w:u w:val="none" w:color="auto"/>
        </w:rPr>
        <w:t>量为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0.9</w:t>
      </w:r>
      <w:r>
        <w:rPr>
          <w:rFonts w:hint="default" w:ascii="Times New Roman" w:hAnsi="Times New Roman" w:eastAsia="宋体" w:cs="Times New Roman"/>
          <w:caps w:val="0"/>
          <w:smallCaps w:val="0"/>
          <w:color w:val="auto"/>
          <w:spacing w:val="0"/>
          <w:w w:val="100"/>
          <w:kern w:val="0"/>
          <w:position w:val="0"/>
          <w:sz w:val="24"/>
          <w:szCs w:val="24"/>
          <w:u w:val="none" w:color="auto"/>
        </w:rPr>
        <w:t>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rPr>
        <w:t>/d</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混凝土</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搅拌机</w:t>
      </w:r>
      <w:r>
        <w:rPr>
          <w:rFonts w:hint="default" w:ascii="Times New Roman" w:hAnsi="Times New Roman" w:eastAsia="宋体" w:cs="Times New Roman"/>
          <w:caps w:val="0"/>
          <w:smallCaps w:val="0"/>
          <w:color w:val="auto"/>
          <w:spacing w:val="0"/>
          <w:w w:val="100"/>
          <w:kern w:val="0"/>
          <w:position w:val="0"/>
          <w:sz w:val="24"/>
          <w:szCs w:val="24"/>
          <w:u w:val="none" w:color="auto"/>
        </w:rPr>
        <w:t>废水</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主要污染因子为悬浮物，</w:t>
      </w:r>
      <w:r>
        <w:rPr>
          <w:rFonts w:hint="default" w:ascii="Times New Roman" w:hAnsi="Times New Roman" w:eastAsia="宋体" w:cs="Times New Roman"/>
          <w:color w:val="000000"/>
          <w:kern w:val="0"/>
          <w:sz w:val="24"/>
          <w:szCs w:val="24"/>
          <w:lang w:val="en-US" w:eastAsia="zh-CN" w:bidi="ar"/>
        </w:rPr>
        <w:t>产生浓度为3000mg/L。</w:t>
      </w:r>
    </w:p>
    <w:p w14:paraId="69B86CE8">
      <w:pPr>
        <w:keepNext w:val="0"/>
        <w:keepLines w:val="0"/>
        <w:widowControl/>
        <w:suppressLineNumbers w:val="0"/>
        <w:spacing w:line="360" w:lineRule="auto"/>
        <w:ind w:firstLine="480" w:firstLineChars="200"/>
        <w:jc w:val="left"/>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微软雅黑" w:cs="Times New Roman"/>
          <w:color w:val="auto"/>
          <w:spacing w:val="0"/>
          <w:w w:val="100"/>
          <w:position w:val="0"/>
          <w:sz w:val="24"/>
          <w:u w:val="none" w:color="auto"/>
          <w:lang w:eastAsia="zh-CN"/>
        </w:rPr>
        <w:t>②</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机械</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设备冲洗废水</w:t>
      </w:r>
    </w:p>
    <w:p w14:paraId="3A93C364">
      <w:pPr>
        <w:keepNext w:val="0"/>
        <w:keepLines w:val="0"/>
        <w:widowControl/>
        <w:suppressLineNumbers w:val="0"/>
        <w:spacing w:line="360" w:lineRule="auto"/>
        <w:ind w:firstLine="480" w:firstLineChars="200"/>
        <w:jc w:val="left"/>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本项目拟在大坝下游设一处200</w:t>
      </w:r>
      <w:r>
        <w:rPr>
          <w:rFonts w:hint="default" w:ascii="Times New Roman" w:hAnsi="Times New Roman" w:eastAsia="宋体" w:cs="Times New Roman"/>
          <w:caps w:val="0"/>
          <w:smallCaps w:val="0"/>
          <w:color w:val="auto"/>
          <w:spacing w:val="0"/>
          <w:w w:val="100"/>
          <w:kern w:val="0"/>
          <w:position w:val="0"/>
          <w:sz w:val="24"/>
          <w:szCs w:val="24"/>
          <w:u w:val="none" w:color="auto"/>
        </w:rPr>
        <w:t>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2</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的机械设备停放场，用于停放施工机械设备。工程所需施工机械为常用机械，附近的城镇均具备修理条件，施工现场不进行机械维修，不在现场设置设备维修区。施工机械及运输车辆在冲洗时将产生含油冲洗废水，施工高峰期需冲洗机械及车辆按每天10台（辆）计，冲洗用水量以600L/辆•d计，排污系数取0.9，则本工程施工期机械设备车辆冲洗含油废水产生量为5.4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/d。主要污染物为SS和石油类，石油类浓度约为100mg/L，悬浮物浓度约为2000mg/L。 </w:t>
      </w:r>
    </w:p>
    <w:p w14:paraId="4C3806F0">
      <w:pPr>
        <w:pStyle w:val="78"/>
        <w:keepNext w:val="0"/>
        <w:keepLines w:val="0"/>
        <w:pageBreakBefore w:val="0"/>
        <w:widowControl w:val="0"/>
        <w:kinsoku/>
        <w:wordWrap/>
        <w:overflowPunct/>
        <w:topLinePunct w:val="0"/>
        <w:bidi w:val="0"/>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u w:val="none" w:color="auto"/>
          <w:lang w:eastAsia="zh-CN"/>
        </w:rPr>
      </w:pPr>
      <w:r>
        <w:rPr>
          <w:rFonts w:hint="default" w:ascii="Times New Roman" w:hAnsi="Times New Roman" w:eastAsia="微软雅黑" w:cs="Times New Roman"/>
          <w:caps w:val="0"/>
          <w:smallCaps w:val="0"/>
          <w:color w:val="auto"/>
          <w:spacing w:val="0"/>
          <w:w w:val="100"/>
          <w:kern w:val="0"/>
          <w:position w:val="0"/>
          <w:sz w:val="24"/>
          <w:szCs w:val="24"/>
          <w:u w:val="none" w:color="auto"/>
          <w:lang w:eastAsia="zh-CN"/>
        </w:rPr>
        <w:t>③</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帷幕灌浆</w:t>
      </w:r>
      <w:r>
        <w:rPr>
          <w:rFonts w:hint="default" w:ascii="Times New Roman" w:hAnsi="Times New Roman" w:cs="Times New Roman"/>
          <w:caps w:val="0"/>
          <w:smallCaps w:val="0"/>
          <w:color w:val="auto"/>
          <w:spacing w:val="0"/>
          <w:w w:val="100"/>
          <w:kern w:val="0"/>
          <w:position w:val="0"/>
          <w:sz w:val="24"/>
          <w:szCs w:val="24"/>
          <w:u w:val="none" w:color="auto"/>
          <w:lang w:eastAsia="zh-CN"/>
        </w:rPr>
        <w:t>施工废水</w:t>
      </w:r>
    </w:p>
    <w:p w14:paraId="66E520B3">
      <w:pPr>
        <w:spacing w:beforeLines="0" w:afterLines="0" w:line="360" w:lineRule="auto"/>
        <w:ind w:firstLine="480" w:firstLineChars="200"/>
        <w:jc w:val="left"/>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sz w:val="24"/>
          <w:szCs w:val="24"/>
          <w:lang w:eastAsia="zh-CN"/>
        </w:rPr>
        <w:t>本项目</w:t>
      </w:r>
      <w:r>
        <w:rPr>
          <w:rFonts w:hint="default" w:ascii="Times New Roman" w:hAnsi="Times New Roman" w:eastAsia="宋体" w:cs="Times New Roman"/>
          <w:sz w:val="24"/>
          <w:szCs w:val="24"/>
        </w:rPr>
        <w:t>在坝基及两岸坝肩进行帷幕灌浆，对整个坝基、坝肩进行垂直防渗处理，以形成防渗帷幕体</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灌浆施工会产生一定量的碱性、浑浊度较高的施工废水。</w:t>
      </w:r>
      <w:r>
        <w:rPr>
          <w:rFonts w:hint="default" w:ascii="Times New Roman" w:hAnsi="Times New Roman" w:eastAsia="宋体" w:cs="Times New Roman"/>
          <w:sz w:val="24"/>
          <w:szCs w:val="24"/>
          <w:lang w:eastAsia="zh-CN"/>
        </w:rPr>
        <w:t>根据设计方案，本项目帷幕灌浆工程量为</w:t>
      </w:r>
      <w:r>
        <w:rPr>
          <w:rFonts w:hint="default" w:ascii="Times New Roman" w:hAnsi="Times New Roman" w:eastAsia="宋体" w:cs="Times New Roman"/>
          <w:sz w:val="24"/>
          <w:szCs w:val="24"/>
          <w:lang w:val="en-US" w:eastAsia="zh-CN"/>
        </w:rPr>
        <w:t>0.25万</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m，类比同类型项目帷幕灌浆用浆量约为15m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/d。</w:t>
      </w:r>
      <w:r>
        <w:rPr>
          <w:rFonts w:hint="default" w:ascii="Times New Roman" w:hAnsi="Times New Roman" w:eastAsia="宋体" w:cs="Times New Roman"/>
          <w:color w:val="auto"/>
          <w:spacing w:val="0"/>
          <w:w w:val="100"/>
          <w:position w:val="0"/>
          <w:sz w:val="24"/>
          <w:szCs w:val="24"/>
          <w:u w:val="none" w:color="auto"/>
          <w:lang w:eastAsia="zh-CN"/>
        </w:rPr>
        <w:t>施工时制浆池内的泥浆通过导流管在各导墙槽内循环输送</w:t>
      </w: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宋体" w:cs="Times New Roman"/>
          <w:color w:val="auto"/>
          <w:spacing w:val="0"/>
          <w:w w:val="100"/>
          <w:position w:val="0"/>
          <w:sz w:val="24"/>
          <w:szCs w:val="24"/>
          <w:u w:val="none" w:color="auto"/>
          <w:lang w:eastAsia="zh-CN"/>
        </w:rPr>
        <w:t>返上来的泥浆泵至制浆池内暂存后循环使用</w:t>
      </w: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宋体" w:cs="Times New Roman"/>
          <w:color w:val="auto"/>
          <w:spacing w:val="0"/>
          <w:w w:val="100"/>
          <w:position w:val="0"/>
          <w:sz w:val="24"/>
          <w:szCs w:val="24"/>
          <w:u w:val="none" w:color="auto"/>
          <w:lang w:eastAsia="zh-CN"/>
        </w:rPr>
        <w:t>施工结束后，灌浆废水在</w:t>
      </w:r>
      <w:r>
        <w:rPr>
          <w:rFonts w:hint="default" w:ascii="Times New Roman" w:hAnsi="Times New Roman" w:eastAsia="宋体" w:cs="Times New Roman"/>
          <w:color w:val="auto"/>
          <w:spacing w:val="0"/>
          <w:w w:val="100"/>
          <w:position w:val="0"/>
          <w:sz w:val="24"/>
          <w:szCs w:val="24"/>
          <w:u w:val="none" w:color="auto"/>
          <w:lang w:val="en-US" w:eastAsia="zh-CN"/>
        </w:rPr>
        <w:t>制浆池内沉淀、风干，</w:t>
      </w:r>
      <w:r>
        <w:rPr>
          <w:rFonts w:hint="default" w:ascii="Times New Roman" w:hAnsi="Times New Roman" w:eastAsia="宋体" w:cs="Times New Roman"/>
          <w:color w:val="auto"/>
          <w:spacing w:val="0"/>
          <w:w w:val="100"/>
          <w:position w:val="0"/>
          <w:sz w:val="24"/>
          <w:szCs w:val="24"/>
          <w:u w:val="none" w:color="auto"/>
        </w:rPr>
        <w:t>污泥</w:t>
      </w:r>
      <w:r>
        <w:rPr>
          <w:rFonts w:hint="default" w:ascii="Times New Roman" w:hAnsi="Times New Roman" w:eastAsia="宋体" w:cs="Times New Roman"/>
          <w:color w:val="auto"/>
          <w:spacing w:val="0"/>
          <w:w w:val="100"/>
          <w:position w:val="0"/>
          <w:sz w:val="24"/>
          <w:szCs w:val="24"/>
          <w:u w:val="none" w:color="auto"/>
          <w:lang w:eastAsia="zh-CN"/>
        </w:rPr>
        <w:t>清掏后</w:t>
      </w:r>
      <w:r>
        <w:rPr>
          <w:rFonts w:hint="default" w:ascii="Times New Roman" w:hAnsi="Times New Roman" w:eastAsia="宋体" w:cs="Times New Roman"/>
          <w:color w:val="auto"/>
          <w:spacing w:val="0"/>
          <w:w w:val="100"/>
          <w:position w:val="0"/>
          <w:sz w:val="24"/>
          <w:szCs w:val="24"/>
          <w:u w:val="none" w:color="auto"/>
        </w:rPr>
        <w:t>运至</w:t>
      </w:r>
      <w:r>
        <w:rPr>
          <w:rFonts w:hint="default" w:ascii="Times New Roman" w:hAnsi="Times New Roman" w:eastAsia="宋体" w:cs="Times New Roman"/>
          <w:color w:val="auto"/>
          <w:spacing w:val="0"/>
          <w:w w:val="100"/>
          <w:position w:val="0"/>
          <w:sz w:val="24"/>
          <w:szCs w:val="24"/>
          <w:u w:val="none" w:color="auto"/>
          <w:lang w:eastAsia="zh-CN"/>
        </w:rPr>
        <w:t>砖厂</w:t>
      </w:r>
      <w:r>
        <w:rPr>
          <w:rFonts w:hint="default" w:ascii="Times New Roman" w:hAnsi="Times New Roman" w:eastAsia="宋体" w:cs="Times New Roman"/>
          <w:color w:val="auto"/>
          <w:spacing w:val="0"/>
          <w:w w:val="100"/>
          <w:position w:val="0"/>
          <w:sz w:val="24"/>
          <w:szCs w:val="24"/>
          <w:u w:val="none" w:color="auto"/>
        </w:rPr>
        <w:t>处理。</w:t>
      </w:r>
      <w:r>
        <w:rPr>
          <w:rFonts w:hint="default" w:ascii="Times New Roman" w:hAnsi="Times New Roman" w:eastAsia="宋体" w:cs="Times New Roman"/>
          <w:color w:val="auto"/>
          <w:spacing w:val="0"/>
          <w:w w:val="100"/>
          <w:position w:val="0"/>
          <w:sz w:val="24"/>
          <w:szCs w:val="24"/>
          <w:u w:val="none" w:color="auto"/>
          <w:lang w:eastAsia="zh-CN"/>
        </w:rPr>
        <w:t>灌浆废水产生系数为</w:t>
      </w:r>
      <w:r>
        <w:rPr>
          <w:rFonts w:hint="default" w:ascii="Times New Roman" w:hAnsi="Times New Roman" w:eastAsia="宋体" w:cs="Times New Roman"/>
          <w:color w:val="auto"/>
          <w:spacing w:val="0"/>
          <w:w w:val="100"/>
          <w:position w:val="0"/>
          <w:sz w:val="24"/>
          <w:szCs w:val="24"/>
          <w:u w:val="none" w:color="auto"/>
          <w:lang w:val="en-US" w:eastAsia="zh-CN"/>
        </w:rPr>
        <w:t>90%，则灌浆废水产生量约为13.5</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/d。</w:t>
      </w:r>
      <w:r>
        <w:rPr>
          <w:rFonts w:hint="default" w:ascii="Times New Roman" w:hAnsi="Times New Roman" w:eastAsia="宋体" w:cs="Times New Roman"/>
          <w:color w:val="auto"/>
          <w:spacing w:val="0"/>
          <w:w w:val="100"/>
          <w:position w:val="0"/>
          <w:sz w:val="24"/>
          <w:szCs w:val="24"/>
          <w:u w:val="none" w:color="auto"/>
        </w:rPr>
        <w:t>帷幕灌浆施工中</w:t>
      </w:r>
      <w:r>
        <w:rPr>
          <w:rFonts w:hint="default" w:ascii="Times New Roman" w:hAnsi="Times New Roman" w:eastAsia="宋体" w:cs="Times New Roman"/>
          <w:color w:val="auto"/>
          <w:spacing w:val="0"/>
          <w:w w:val="100"/>
          <w:position w:val="0"/>
          <w:sz w:val="24"/>
          <w:szCs w:val="24"/>
          <w:u w:val="none" w:color="auto"/>
          <w:lang w:eastAsia="zh-CN"/>
        </w:rPr>
        <w:t>使用</w:t>
      </w:r>
      <w:r>
        <w:rPr>
          <w:rFonts w:hint="default" w:ascii="Times New Roman" w:hAnsi="Times New Roman" w:eastAsia="宋体" w:cs="Times New Roman"/>
          <w:color w:val="auto"/>
          <w:spacing w:val="0"/>
          <w:w w:val="100"/>
          <w:position w:val="0"/>
          <w:sz w:val="24"/>
          <w:szCs w:val="24"/>
          <w:u w:val="none" w:color="auto"/>
        </w:rPr>
        <w:t>的泥浆SS浓度</w:t>
      </w:r>
      <w:r>
        <w:rPr>
          <w:rFonts w:hint="default" w:ascii="Times New Roman" w:hAnsi="Times New Roman" w:eastAsia="宋体" w:cs="Times New Roman"/>
          <w:color w:val="auto"/>
          <w:spacing w:val="0"/>
          <w:w w:val="100"/>
          <w:position w:val="0"/>
          <w:sz w:val="24"/>
          <w:szCs w:val="24"/>
          <w:u w:val="none" w:color="auto"/>
          <w:lang w:eastAsia="zh-CN"/>
        </w:rPr>
        <w:t>约为</w:t>
      </w:r>
      <w:r>
        <w:rPr>
          <w:rFonts w:hint="default" w:ascii="Times New Roman" w:hAnsi="Times New Roman" w:eastAsia="宋体" w:cs="Times New Roman"/>
          <w:color w:val="auto"/>
          <w:spacing w:val="0"/>
          <w:w w:val="100"/>
          <w:position w:val="0"/>
          <w:sz w:val="24"/>
          <w:szCs w:val="24"/>
          <w:u w:val="none" w:color="auto"/>
          <w:lang w:val="en-US" w:eastAsia="zh-CN"/>
        </w:rPr>
        <w:t>5</w:t>
      </w:r>
      <w:r>
        <w:rPr>
          <w:rFonts w:hint="default" w:ascii="Times New Roman" w:hAnsi="Times New Roman" w:eastAsia="宋体" w:cs="Times New Roman"/>
          <w:color w:val="auto"/>
          <w:spacing w:val="0"/>
          <w:w w:val="100"/>
          <w:position w:val="0"/>
          <w:sz w:val="24"/>
          <w:szCs w:val="24"/>
          <w:u w:val="none" w:color="auto"/>
        </w:rPr>
        <w:t>000mg/L</w:t>
      </w:r>
      <w:r>
        <w:rPr>
          <w:rFonts w:hint="default" w:ascii="Times New Roman" w:hAnsi="Times New Roman" w:eastAsia="宋体" w:cs="Times New Roman"/>
          <w:color w:val="auto"/>
          <w:spacing w:val="0"/>
          <w:w w:val="100"/>
          <w:position w:val="0"/>
          <w:sz w:val="24"/>
          <w:szCs w:val="24"/>
          <w:u w:val="none" w:color="auto"/>
          <w:lang w:eastAsia="zh-CN"/>
        </w:rPr>
        <w:t>。</w:t>
      </w:r>
    </w:p>
    <w:p w14:paraId="1775EAA8">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微软雅黑" w:cs="Times New Roman"/>
          <w:caps w:val="0"/>
          <w:smallCaps w:val="0"/>
          <w:color w:val="auto"/>
          <w:spacing w:val="0"/>
          <w:w w:val="100"/>
          <w:kern w:val="0"/>
          <w:position w:val="0"/>
          <w:sz w:val="24"/>
          <w:szCs w:val="24"/>
          <w:u w:val="none" w:color="auto"/>
          <w:lang w:eastAsia="zh-CN"/>
        </w:rPr>
        <w:t>④</w:t>
      </w:r>
      <w:r>
        <w:rPr>
          <w:rFonts w:hint="default" w:ascii="Times New Roman" w:hAnsi="Times New Roman" w:eastAsia="宋体" w:cs="Times New Roman"/>
          <w:caps w:val="0"/>
          <w:smallCaps w:val="0"/>
          <w:color w:val="auto"/>
          <w:spacing w:val="0"/>
          <w:w w:val="100"/>
          <w:kern w:val="0"/>
          <w:position w:val="0"/>
          <w:sz w:val="24"/>
          <w:szCs w:val="24"/>
          <w:u w:val="none" w:color="auto"/>
        </w:rPr>
        <w:t>施工基坑废水</w:t>
      </w:r>
    </w:p>
    <w:p w14:paraId="5294FC0E">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大坝</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加固</w:t>
      </w:r>
      <w:r>
        <w:rPr>
          <w:rFonts w:hint="default" w:ascii="Times New Roman" w:hAnsi="Times New Roman" w:eastAsia="宋体" w:cs="Times New Roman"/>
          <w:caps w:val="0"/>
          <w:smallCaps w:val="0"/>
          <w:color w:val="auto"/>
          <w:spacing w:val="0"/>
          <w:w w:val="100"/>
          <w:kern w:val="0"/>
          <w:position w:val="0"/>
          <w:sz w:val="24"/>
          <w:szCs w:val="24"/>
          <w:u w:val="none" w:color="auto"/>
        </w:rPr>
        <w:t>时将产生基坑废水，</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基坑排水包括基坑初期排水和经常性排水。基坑初期排水为原库区内水体，初期排水水质与原库区水质基本相同，对水环境影响不大。基坑经常性排水主要由降水、渗水以及施工用水组成，施工用水主要包括混凝土养护碱性废水、混凝土防渗墙、帷幕灌浆废水等。</w:t>
      </w:r>
      <w:r>
        <w:rPr>
          <w:rFonts w:hint="default" w:ascii="Times New Roman" w:hAnsi="Times New Roman" w:eastAsia="宋体" w:cs="Times New Roman"/>
          <w:caps w:val="0"/>
          <w:smallCaps w:val="0"/>
          <w:color w:val="auto"/>
          <w:spacing w:val="0"/>
          <w:w w:val="100"/>
          <w:kern w:val="0"/>
          <w:position w:val="0"/>
          <w:sz w:val="24"/>
          <w:szCs w:val="24"/>
          <w:u w:val="none" w:color="auto"/>
        </w:rPr>
        <w:t>混凝土浇筑和养护均会产生一定碱性废水，其悬浮物浓度较高。废水属间歇性排放，流入基坑后与渗水混合。基坑废水的主要污染物为SS和pH值，其浓度受降水、地下岩隙渗水和施工用水（主要是混凝土养护水和冲洗水）等因素的影响，具有间歇排放的特点。废水中SS浓度一般为2000mg/L，pH值一般在9左右。</w:t>
      </w:r>
    </w:p>
    <w:p w14:paraId="5B0B6D21">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宋体" w:cs="Times New Roman"/>
          <w:b w:val="0"/>
          <w:bCs w:val="0"/>
          <w:color w:val="auto"/>
          <w:spacing w:val="0"/>
          <w:w w:val="100"/>
          <w:position w:val="0"/>
          <w:sz w:val="24"/>
          <w:szCs w:val="24"/>
          <w:u w:val="none" w:color="auto"/>
          <w:lang w:val="en-US" w:eastAsia="zh-CN"/>
        </w:rPr>
        <w:t>2</w:t>
      </w: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rPr>
        <w:t>生活污水</w:t>
      </w:r>
    </w:p>
    <w:p w14:paraId="78B68260">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本项目</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不单独设置</w:t>
      </w:r>
      <w:r>
        <w:rPr>
          <w:rFonts w:hint="default" w:ascii="Times New Roman" w:hAnsi="Times New Roman" w:eastAsia="宋体" w:cs="Times New Roman"/>
          <w:caps w:val="0"/>
          <w:smallCaps w:val="0"/>
          <w:color w:val="auto"/>
          <w:spacing w:val="0"/>
          <w:w w:val="100"/>
          <w:kern w:val="0"/>
          <w:position w:val="0"/>
          <w:sz w:val="24"/>
          <w:szCs w:val="24"/>
          <w:u w:val="none" w:color="auto"/>
        </w:rPr>
        <w:t>施工营地，</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就近租用周边民房。根据施工组织设计，</w:t>
      </w:r>
      <w:r>
        <w:rPr>
          <w:rFonts w:hint="default" w:ascii="Times New Roman" w:hAnsi="Times New Roman" w:eastAsia="宋体" w:cs="Times New Roman"/>
          <w:caps w:val="0"/>
          <w:smallCaps w:val="0"/>
          <w:color w:val="auto"/>
          <w:spacing w:val="0"/>
          <w:w w:val="100"/>
          <w:kern w:val="0"/>
          <w:position w:val="0"/>
          <w:sz w:val="24"/>
          <w:szCs w:val="24"/>
          <w:u w:val="none" w:color="auto"/>
        </w:rPr>
        <w:t>施工高峰期人员约有</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300</w:t>
      </w:r>
      <w:r>
        <w:rPr>
          <w:rFonts w:hint="default" w:ascii="Times New Roman" w:hAnsi="Times New Roman" w:eastAsia="宋体" w:cs="Times New Roman"/>
          <w:caps w:val="0"/>
          <w:smallCaps w:val="0"/>
          <w:color w:val="auto"/>
          <w:spacing w:val="0"/>
          <w:w w:val="100"/>
          <w:kern w:val="0"/>
          <w:position w:val="0"/>
          <w:sz w:val="24"/>
          <w:szCs w:val="24"/>
          <w:u w:val="none" w:color="auto"/>
        </w:rPr>
        <w:t>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约20人住宿，住宿</w:t>
      </w:r>
      <w:r>
        <w:rPr>
          <w:rFonts w:hint="default" w:ascii="Times New Roman" w:hAnsi="Times New Roman" w:eastAsia="宋体" w:cs="Times New Roman"/>
          <w:caps w:val="0"/>
          <w:smallCaps w:val="0"/>
          <w:color w:val="auto"/>
          <w:spacing w:val="0"/>
          <w:w w:val="100"/>
          <w:kern w:val="0"/>
          <w:position w:val="0"/>
          <w:sz w:val="24"/>
          <w:szCs w:val="24"/>
          <w:u w:val="none" w:color="auto"/>
        </w:rPr>
        <w:t>施工人员生活用水按</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140</w:t>
      </w:r>
      <w:r>
        <w:rPr>
          <w:rFonts w:hint="default" w:ascii="Times New Roman" w:hAnsi="Times New Roman" w:eastAsia="宋体" w:cs="Times New Roman"/>
          <w:caps w:val="0"/>
          <w:smallCaps w:val="0"/>
          <w:color w:val="auto"/>
          <w:spacing w:val="0"/>
          <w:w w:val="100"/>
          <w:kern w:val="0"/>
          <w:position w:val="0"/>
          <w:sz w:val="24"/>
          <w:szCs w:val="24"/>
          <w:u w:val="none" w:color="auto"/>
        </w:rPr>
        <w:t>L/人·d计，</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非住宿</w:t>
      </w:r>
      <w:r>
        <w:rPr>
          <w:rFonts w:hint="default" w:ascii="Times New Roman" w:hAnsi="Times New Roman" w:eastAsia="宋体" w:cs="Times New Roman"/>
          <w:caps w:val="0"/>
          <w:smallCaps w:val="0"/>
          <w:color w:val="auto"/>
          <w:spacing w:val="0"/>
          <w:w w:val="100"/>
          <w:kern w:val="0"/>
          <w:position w:val="0"/>
          <w:sz w:val="24"/>
          <w:szCs w:val="24"/>
          <w:u w:val="none" w:color="auto"/>
        </w:rPr>
        <w:t>施工人员生活用水按</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50</w:t>
      </w:r>
      <w:r>
        <w:rPr>
          <w:rFonts w:hint="default" w:ascii="Times New Roman" w:hAnsi="Times New Roman" w:eastAsia="宋体" w:cs="Times New Roman"/>
          <w:caps w:val="0"/>
          <w:smallCaps w:val="0"/>
          <w:color w:val="auto"/>
          <w:spacing w:val="0"/>
          <w:w w:val="100"/>
          <w:kern w:val="0"/>
          <w:position w:val="0"/>
          <w:sz w:val="24"/>
          <w:szCs w:val="24"/>
          <w:u w:val="none" w:color="auto"/>
        </w:rPr>
        <w:t>L/人·d计，</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则生活用水量为16.8</w:t>
      </w:r>
      <w:r>
        <w:rPr>
          <w:rFonts w:hint="default" w:ascii="Times New Roman" w:hAnsi="Times New Roman" w:eastAsia="宋体" w:cs="Times New Roman"/>
          <w:caps w:val="0"/>
          <w:smallCaps w:val="0"/>
          <w:color w:val="auto"/>
          <w:spacing w:val="0"/>
          <w:w w:val="100"/>
          <w:kern w:val="0"/>
          <w:position w:val="0"/>
          <w:sz w:val="24"/>
          <w:szCs w:val="24"/>
          <w:u w:val="none" w:color="auto"/>
        </w:rPr>
        <w:t>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rPr>
        <w:t>/d</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生活污水量按用水量的80%计，则生活污水产生量为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13.44</w:t>
      </w:r>
      <w:r>
        <w:rPr>
          <w:rFonts w:hint="default" w:ascii="Times New Roman" w:hAnsi="Times New Roman" w:eastAsia="宋体" w:cs="Times New Roman"/>
          <w:caps w:val="0"/>
          <w:smallCaps w:val="0"/>
          <w:color w:val="auto"/>
          <w:spacing w:val="0"/>
          <w:w w:val="100"/>
          <w:kern w:val="0"/>
          <w:position w:val="0"/>
          <w:sz w:val="24"/>
          <w:szCs w:val="24"/>
          <w:u w:val="none" w:color="auto"/>
        </w:rPr>
        <w:t>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rPr>
        <w:t>/d</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olor w:val="000000"/>
          <w:kern w:val="0"/>
          <w:sz w:val="24"/>
          <w:szCs w:val="24"/>
          <w:lang w:val="en-US" w:eastAsia="zh-CN" w:bidi="ar"/>
        </w:rPr>
        <w:t>生活污水主要污染物为COD、BOD</w:t>
      </w:r>
      <w:r>
        <w:rPr>
          <w:rFonts w:hint="default" w:ascii="Times New Roman" w:hAnsi="Times New Roman" w:eastAsia="宋体" w:cs="Times New Roman"/>
          <w:color w:val="000000"/>
          <w:kern w:val="0"/>
          <w:sz w:val="15"/>
          <w:szCs w:val="15"/>
          <w:lang w:val="en-US" w:eastAsia="zh-CN" w:bidi="ar"/>
        </w:rPr>
        <w:t>5</w:t>
      </w:r>
      <w:r>
        <w:rPr>
          <w:rFonts w:hint="default" w:ascii="Times New Roman" w:hAnsi="Times New Roman" w:eastAsia="宋体" w:cs="Times New Roman"/>
          <w:color w:val="000000"/>
          <w:kern w:val="0"/>
          <w:sz w:val="24"/>
          <w:szCs w:val="24"/>
          <w:lang w:val="en-US" w:eastAsia="zh-CN" w:bidi="ar"/>
        </w:rPr>
        <w:t>、氨氮、SS等，浓度约为200mg/L、100mg/L、20mg/L、100mg/L。</w:t>
      </w:r>
    </w:p>
    <w:p w14:paraId="71ADE014">
      <w:pPr>
        <w:pStyle w:val="5"/>
        <w:bidi w:val="0"/>
        <w:rPr>
          <w:rFonts w:hint="default" w:ascii="Times New Roman" w:hAnsi="Times New Roman" w:cs="Times New Roman"/>
        </w:rPr>
      </w:pPr>
      <w:r>
        <w:rPr>
          <w:rFonts w:hint="default" w:ascii="Times New Roman" w:hAnsi="Times New Roman" w:cs="Times New Roman"/>
        </w:rPr>
        <w:t>噪声污染源</w:t>
      </w:r>
    </w:p>
    <w:p w14:paraId="35603516">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本项目的噪声源主要来自施工场地施工机械作业、车辆运输等。施工场地机械噪声源主要来自装载机、搅拌机、挖掘机、推土机、空压机、水泵等机械施工活动，噪声值一般在80dB（A）～100dB（A）之间。本工程常用施工机械噪声源强见下表。</w:t>
      </w:r>
    </w:p>
    <w:p w14:paraId="7971A9B6">
      <w:pPr>
        <w:pStyle w:val="73"/>
        <w:pageBreakBefore w:val="0"/>
        <w:shd w:val="clear" w:color="auto" w:fill="auto"/>
        <w:kinsoku w:val="0"/>
        <w:wordWrap w:val="0"/>
        <w:overflowPunct/>
        <w:topLinePunct/>
        <w:autoSpaceDE/>
        <w:autoSpaceDN/>
        <w:bidi w:val="0"/>
        <w:spacing w:line="240" w:lineRule="auto"/>
        <w:jc w:val="center"/>
        <w:rPr>
          <w:rStyle w:val="72"/>
          <w:rFonts w:hint="default" w:ascii="Times New Roman" w:hAnsi="Times New Roman" w:eastAsia="宋体" w:cs="Times New Roman"/>
          <w:b/>
          <w:bCs/>
          <w:caps w:val="0"/>
          <w:smallCaps w:val="0"/>
          <w:color w:val="auto"/>
          <w:spacing w:val="0"/>
          <w:w w:val="100"/>
          <w:position w:val="0"/>
          <w:sz w:val="21"/>
          <w:szCs w:val="21"/>
          <w:u w:val="none" w:color="auto"/>
        </w:rPr>
      </w:pPr>
      <w:r>
        <w:rPr>
          <w:rStyle w:val="72"/>
          <w:rFonts w:hint="default" w:ascii="Times New Roman" w:hAnsi="Times New Roman" w:eastAsia="宋体" w:cs="Times New Roman"/>
          <w:b/>
          <w:bCs/>
          <w:caps w:val="0"/>
          <w:smallCaps w:val="0"/>
          <w:color w:val="auto"/>
          <w:spacing w:val="0"/>
          <w:w w:val="100"/>
          <w:position w:val="0"/>
          <w:sz w:val="21"/>
          <w:szCs w:val="21"/>
          <w:u w:val="none" w:color="auto"/>
        </w:rPr>
        <w:t>表2.</w:t>
      </w:r>
      <w:r>
        <w:rPr>
          <w:rStyle w:val="72"/>
          <w:rFonts w:hint="default" w:ascii="Times New Roman" w:hAnsi="Times New Roman" w:eastAsia="宋体" w:cs="Times New Roman"/>
          <w:b/>
          <w:bCs/>
          <w:caps w:val="0"/>
          <w:smallCaps w:val="0"/>
          <w:color w:val="auto"/>
          <w:spacing w:val="0"/>
          <w:w w:val="100"/>
          <w:position w:val="0"/>
          <w:sz w:val="21"/>
          <w:szCs w:val="21"/>
          <w:u w:val="none" w:color="auto"/>
          <w:lang w:val="en-US" w:eastAsia="zh-CN"/>
        </w:rPr>
        <w:t>5-3</w:t>
      </w:r>
      <w:r>
        <w:rPr>
          <w:rStyle w:val="72"/>
          <w:rFonts w:hint="default" w:ascii="Times New Roman" w:hAnsi="Times New Roman" w:eastAsia="宋体" w:cs="Times New Roman"/>
          <w:b/>
          <w:bCs/>
          <w:caps w:val="0"/>
          <w:smallCaps w:val="0"/>
          <w:color w:val="auto"/>
          <w:spacing w:val="0"/>
          <w:w w:val="100"/>
          <w:position w:val="0"/>
          <w:sz w:val="21"/>
          <w:szCs w:val="21"/>
          <w:u w:val="none" w:color="auto"/>
        </w:rPr>
        <w:t xml:space="preserve">  主要施工机械</w:t>
      </w:r>
      <w:r>
        <w:rPr>
          <w:rStyle w:val="72"/>
          <w:rFonts w:hint="default" w:ascii="Times New Roman" w:hAnsi="Times New Roman" w:eastAsia="宋体" w:cs="Times New Roman"/>
          <w:b/>
          <w:bCs/>
          <w:caps w:val="0"/>
          <w:smallCaps w:val="0"/>
          <w:color w:val="auto"/>
          <w:spacing w:val="0"/>
          <w:w w:val="100"/>
          <w:position w:val="0"/>
          <w:sz w:val="21"/>
          <w:szCs w:val="21"/>
          <w:u w:val="none" w:color="auto"/>
          <w:lang w:val="en-US" w:eastAsia="zh-CN"/>
        </w:rPr>
        <w:t>设备</w:t>
      </w:r>
      <w:r>
        <w:rPr>
          <w:rStyle w:val="72"/>
          <w:rFonts w:hint="default" w:ascii="Times New Roman" w:hAnsi="Times New Roman" w:eastAsia="宋体" w:cs="Times New Roman"/>
          <w:b/>
          <w:bCs/>
          <w:caps w:val="0"/>
          <w:smallCaps w:val="0"/>
          <w:color w:val="auto"/>
          <w:spacing w:val="0"/>
          <w:w w:val="100"/>
          <w:position w:val="0"/>
          <w:sz w:val="21"/>
          <w:szCs w:val="21"/>
          <w:u w:val="none" w:color="auto"/>
        </w:rPr>
        <w:t xml:space="preserve">噪声源强  </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050"/>
        <w:gridCol w:w="1966"/>
        <w:gridCol w:w="1501"/>
        <w:gridCol w:w="1171"/>
        <w:gridCol w:w="1051"/>
        <w:gridCol w:w="1777"/>
      </w:tblGrid>
      <w:tr w14:paraId="4B0EC7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2DEB898C">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序号</w:t>
            </w:r>
          </w:p>
        </w:tc>
        <w:tc>
          <w:tcPr>
            <w:tcW w:w="1965" w:type="dxa"/>
            <w:tcBorders>
              <w:tl2br w:val="nil"/>
              <w:tr2bl w:val="nil"/>
            </w:tcBorders>
            <w:shd w:val="clear" w:color="auto" w:fill="auto"/>
            <w:noWrap/>
            <w:vAlign w:val="center"/>
          </w:tcPr>
          <w:p w14:paraId="102880BB">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机械设备名称</w:t>
            </w:r>
          </w:p>
        </w:tc>
        <w:tc>
          <w:tcPr>
            <w:tcW w:w="1500" w:type="dxa"/>
            <w:tcBorders>
              <w:tl2br w:val="nil"/>
              <w:tr2bl w:val="nil"/>
            </w:tcBorders>
            <w:shd w:val="clear" w:color="auto" w:fill="auto"/>
            <w:noWrap/>
            <w:vAlign w:val="center"/>
          </w:tcPr>
          <w:p w14:paraId="7898CC1A">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型号规格</w:t>
            </w:r>
          </w:p>
        </w:tc>
        <w:tc>
          <w:tcPr>
            <w:tcW w:w="1170" w:type="dxa"/>
            <w:tcBorders>
              <w:tl2br w:val="nil"/>
              <w:tr2bl w:val="nil"/>
            </w:tcBorders>
            <w:shd w:val="clear" w:color="auto" w:fill="auto"/>
            <w:noWrap/>
            <w:vAlign w:val="center"/>
          </w:tcPr>
          <w:p w14:paraId="738CD996">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单位</w:t>
            </w:r>
          </w:p>
        </w:tc>
        <w:tc>
          <w:tcPr>
            <w:tcW w:w="1050" w:type="dxa"/>
            <w:tcBorders>
              <w:tl2br w:val="nil"/>
              <w:tr2bl w:val="nil"/>
            </w:tcBorders>
            <w:shd w:val="clear" w:color="auto" w:fill="auto"/>
            <w:noWrap/>
            <w:vAlign w:val="center"/>
          </w:tcPr>
          <w:p w14:paraId="2EAEBA23">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数量</w:t>
            </w:r>
          </w:p>
        </w:tc>
        <w:tc>
          <w:tcPr>
            <w:tcW w:w="1776" w:type="dxa"/>
            <w:tcBorders>
              <w:tl2br w:val="nil"/>
              <w:tr2bl w:val="nil"/>
            </w:tcBorders>
            <w:shd w:val="clear" w:color="auto" w:fill="auto"/>
            <w:noWrap/>
            <w:vAlign w:val="center"/>
          </w:tcPr>
          <w:p w14:paraId="55A3EEA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kern w:val="0"/>
                <w:sz w:val="21"/>
                <w:szCs w:val="21"/>
                <w:u w:val="none"/>
                <w:lang w:val="en-US" w:eastAsia="zh-CN" w:bidi="ar"/>
              </w:rPr>
            </w:pPr>
            <w:r>
              <w:rPr>
                <w:rFonts w:hint="default" w:ascii="Times New Roman" w:hAnsi="Times New Roman" w:eastAsia="宋体" w:cs="Times New Roman"/>
                <w:b/>
                <w:bCs/>
                <w:i w:val="0"/>
                <w:iCs w:val="0"/>
                <w:color w:val="000000"/>
                <w:kern w:val="0"/>
                <w:sz w:val="21"/>
                <w:szCs w:val="21"/>
                <w:u w:val="none"/>
                <w:lang w:val="en-US" w:eastAsia="zh-CN" w:bidi="ar"/>
              </w:rPr>
              <w:t>噪声源强</w:t>
            </w:r>
            <w:r>
              <w:rPr>
                <w:rStyle w:val="72"/>
                <w:rFonts w:hint="default" w:ascii="Times New Roman" w:hAnsi="Times New Roman" w:eastAsia="宋体" w:cs="Times New Roman"/>
                <w:b/>
                <w:bCs/>
                <w:caps w:val="0"/>
                <w:smallCaps w:val="0"/>
                <w:color w:val="auto"/>
                <w:spacing w:val="0"/>
                <w:w w:val="100"/>
                <w:position w:val="0"/>
                <w:sz w:val="21"/>
                <w:szCs w:val="21"/>
                <w:u w:val="none" w:color="auto"/>
              </w:rPr>
              <w:t>dB（A）</w:t>
            </w:r>
          </w:p>
        </w:tc>
      </w:tr>
      <w:tr w14:paraId="2E63324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534D810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965" w:type="dxa"/>
            <w:tcBorders>
              <w:tl2br w:val="nil"/>
              <w:tr2bl w:val="nil"/>
            </w:tcBorders>
            <w:shd w:val="clear" w:color="auto" w:fill="auto"/>
            <w:noWrap/>
            <w:vAlign w:val="center"/>
          </w:tcPr>
          <w:p w14:paraId="7CB7A03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反铲挖掘机</w:t>
            </w:r>
          </w:p>
        </w:tc>
        <w:tc>
          <w:tcPr>
            <w:tcW w:w="1500" w:type="dxa"/>
            <w:tcBorders>
              <w:tl2br w:val="nil"/>
              <w:tr2bl w:val="nil"/>
            </w:tcBorders>
            <w:shd w:val="clear" w:color="auto" w:fill="auto"/>
            <w:noWrap/>
            <w:vAlign w:val="center"/>
          </w:tcPr>
          <w:p w14:paraId="290C3ED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1170" w:type="dxa"/>
            <w:tcBorders>
              <w:tl2br w:val="nil"/>
              <w:tr2bl w:val="nil"/>
            </w:tcBorders>
            <w:shd w:val="clear" w:color="auto" w:fill="auto"/>
            <w:noWrap/>
            <w:vAlign w:val="center"/>
          </w:tcPr>
          <w:p w14:paraId="1104E6B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17FCAEB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776" w:type="dxa"/>
            <w:tcBorders>
              <w:tl2br w:val="nil"/>
              <w:tr2bl w:val="nil"/>
            </w:tcBorders>
            <w:shd w:val="clear" w:color="auto" w:fill="auto"/>
            <w:noWrap/>
            <w:vAlign w:val="center"/>
          </w:tcPr>
          <w:p w14:paraId="6653A40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r>
      <w:tr w14:paraId="6A2279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1924B6C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965" w:type="dxa"/>
            <w:tcBorders>
              <w:tl2br w:val="nil"/>
              <w:tr2bl w:val="nil"/>
            </w:tcBorders>
            <w:shd w:val="clear" w:color="auto" w:fill="auto"/>
            <w:noWrap/>
            <w:vAlign w:val="center"/>
          </w:tcPr>
          <w:p w14:paraId="2CAED99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推土机</w:t>
            </w:r>
          </w:p>
        </w:tc>
        <w:tc>
          <w:tcPr>
            <w:tcW w:w="1500" w:type="dxa"/>
            <w:tcBorders>
              <w:tl2br w:val="nil"/>
              <w:tr2bl w:val="nil"/>
            </w:tcBorders>
            <w:shd w:val="clear" w:color="auto" w:fill="auto"/>
            <w:noWrap/>
            <w:vAlign w:val="center"/>
          </w:tcPr>
          <w:p w14:paraId="4348BE9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74KW</w:t>
            </w:r>
          </w:p>
        </w:tc>
        <w:tc>
          <w:tcPr>
            <w:tcW w:w="1170" w:type="dxa"/>
            <w:tcBorders>
              <w:tl2br w:val="nil"/>
              <w:tr2bl w:val="nil"/>
            </w:tcBorders>
            <w:shd w:val="clear" w:color="auto" w:fill="auto"/>
            <w:noWrap/>
            <w:vAlign w:val="center"/>
          </w:tcPr>
          <w:p w14:paraId="685152C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50E351D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76" w:type="dxa"/>
            <w:tcBorders>
              <w:tl2br w:val="nil"/>
              <w:tr2bl w:val="nil"/>
            </w:tcBorders>
            <w:shd w:val="clear" w:color="auto" w:fill="auto"/>
            <w:noWrap/>
            <w:vAlign w:val="center"/>
          </w:tcPr>
          <w:p w14:paraId="31863D0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r>
      <w:tr w14:paraId="62D53B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1B2CAF0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965" w:type="dxa"/>
            <w:tcBorders>
              <w:tl2br w:val="nil"/>
              <w:tr2bl w:val="nil"/>
            </w:tcBorders>
            <w:shd w:val="clear" w:color="auto" w:fill="auto"/>
            <w:noWrap/>
            <w:vAlign w:val="center"/>
          </w:tcPr>
          <w:p w14:paraId="30D7586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蛙式打夯机</w:t>
            </w:r>
          </w:p>
        </w:tc>
        <w:tc>
          <w:tcPr>
            <w:tcW w:w="1500" w:type="dxa"/>
            <w:tcBorders>
              <w:tl2br w:val="nil"/>
              <w:tr2bl w:val="nil"/>
            </w:tcBorders>
            <w:shd w:val="clear" w:color="auto" w:fill="auto"/>
            <w:noWrap/>
            <w:vAlign w:val="center"/>
          </w:tcPr>
          <w:p w14:paraId="2F72611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HW-20</w:t>
            </w:r>
          </w:p>
        </w:tc>
        <w:tc>
          <w:tcPr>
            <w:tcW w:w="1170" w:type="dxa"/>
            <w:tcBorders>
              <w:tl2br w:val="nil"/>
              <w:tr2bl w:val="nil"/>
            </w:tcBorders>
            <w:shd w:val="clear" w:color="auto" w:fill="auto"/>
            <w:noWrap/>
            <w:vAlign w:val="center"/>
          </w:tcPr>
          <w:p w14:paraId="4D5F64F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1AC2E91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776" w:type="dxa"/>
            <w:tcBorders>
              <w:tl2br w:val="nil"/>
              <w:tr2bl w:val="nil"/>
            </w:tcBorders>
            <w:shd w:val="clear" w:color="auto" w:fill="auto"/>
            <w:noWrap/>
            <w:vAlign w:val="center"/>
          </w:tcPr>
          <w:p w14:paraId="43F3662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r>
      <w:tr w14:paraId="1617297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25D8CAE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965" w:type="dxa"/>
            <w:tcBorders>
              <w:tl2br w:val="nil"/>
              <w:tr2bl w:val="nil"/>
            </w:tcBorders>
            <w:shd w:val="clear" w:color="auto" w:fill="auto"/>
            <w:noWrap/>
            <w:vAlign w:val="center"/>
          </w:tcPr>
          <w:p w14:paraId="248948D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手风钻</w:t>
            </w:r>
          </w:p>
        </w:tc>
        <w:tc>
          <w:tcPr>
            <w:tcW w:w="1500" w:type="dxa"/>
            <w:tcBorders>
              <w:tl2br w:val="nil"/>
              <w:tr2bl w:val="nil"/>
            </w:tcBorders>
            <w:shd w:val="clear" w:color="auto" w:fill="auto"/>
            <w:noWrap/>
            <w:vAlign w:val="center"/>
          </w:tcPr>
          <w:p w14:paraId="1F003C3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Y28型</w:t>
            </w:r>
          </w:p>
        </w:tc>
        <w:tc>
          <w:tcPr>
            <w:tcW w:w="1170" w:type="dxa"/>
            <w:tcBorders>
              <w:tl2br w:val="nil"/>
              <w:tr2bl w:val="nil"/>
            </w:tcBorders>
            <w:shd w:val="clear" w:color="auto" w:fill="auto"/>
            <w:noWrap/>
            <w:vAlign w:val="center"/>
          </w:tcPr>
          <w:p w14:paraId="53BAE4D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把</w:t>
            </w:r>
          </w:p>
        </w:tc>
        <w:tc>
          <w:tcPr>
            <w:tcW w:w="1050" w:type="dxa"/>
            <w:tcBorders>
              <w:tl2br w:val="nil"/>
              <w:tr2bl w:val="nil"/>
            </w:tcBorders>
            <w:shd w:val="clear" w:color="auto" w:fill="auto"/>
            <w:noWrap/>
            <w:vAlign w:val="center"/>
          </w:tcPr>
          <w:p w14:paraId="623AC31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76" w:type="dxa"/>
            <w:tcBorders>
              <w:tl2br w:val="nil"/>
              <w:tr2bl w:val="nil"/>
            </w:tcBorders>
            <w:shd w:val="clear" w:color="auto" w:fill="auto"/>
            <w:noWrap/>
            <w:vAlign w:val="center"/>
          </w:tcPr>
          <w:p w14:paraId="1988122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r>
      <w:tr w14:paraId="4E5D88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6105E1E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965" w:type="dxa"/>
            <w:tcBorders>
              <w:tl2br w:val="nil"/>
              <w:tr2bl w:val="nil"/>
            </w:tcBorders>
            <w:shd w:val="clear" w:color="auto" w:fill="auto"/>
            <w:noWrap/>
            <w:vAlign w:val="center"/>
          </w:tcPr>
          <w:p w14:paraId="3A53B15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潜孔钻</w:t>
            </w:r>
          </w:p>
        </w:tc>
        <w:tc>
          <w:tcPr>
            <w:tcW w:w="1500" w:type="dxa"/>
            <w:tcBorders>
              <w:tl2br w:val="nil"/>
              <w:tr2bl w:val="nil"/>
            </w:tcBorders>
            <w:shd w:val="clear" w:color="auto" w:fill="auto"/>
            <w:noWrap/>
            <w:vAlign w:val="center"/>
          </w:tcPr>
          <w:p w14:paraId="4E0E53DA">
            <w:pPr>
              <w:spacing w:line="240" w:lineRule="auto"/>
              <w:jc w:val="center"/>
              <w:rPr>
                <w:rFonts w:hint="default" w:ascii="Times New Roman" w:hAnsi="Times New Roman" w:eastAsia="宋体" w:cs="Times New Roman"/>
                <w:i w:val="0"/>
                <w:iCs w:val="0"/>
                <w:color w:val="000000"/>
                <w:sz w:val="21"/>
                <w:szCs w:val="21"/>
                <w:u w:val="none"/>
              </w:rPr>
            </w:pPr>
          </w:p>
        </w:tc>
        <w:tc>
          <w:tcPr>
            <w:tcW w:w="1170" w:type="dxa"/>
            <w:tcBorders>
              <w:tl2br w:val="nil"/>
              <w:tr2bl w:val="nil"/>
            </w:tcBorders>
            <w:shd w:val="clear" w:color="auto" w:fill="auto"/>
            <w:noWrap/>
            <w:vAlign w:val="center"/>
          </w:tcPr>
          <w:p w14:paraId="6877C09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33438F8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76" w:type="dxa"/>
            <w:tcBorders>
              <w:tl2br w:val="nil"/>
              <w:tr2bl w:val="nil"/>
            </w:tcBorders>
            <w:shd w:val="clear" w:color="auto" w:fill="auto"/>
            <w:noWrap/>
            <w:vAlign w:val="center"/>
          </w:tcPr>
          <w:p w14:paraId="52FF38C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r>
      <w:tr w14:paraId="06033E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282EADE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1965" w:type="dxa"/>
            <w:tcBorders>
              <w:tl2br w:val="nil"/>
              <w:tr2bl w:val="nil"/>
            </w:tcBorders>
            <w:shd w:val="clear" w:color="auto" w:fill="auto"/>
            <w:noWrap/>
            <w:vAlign w:val="center"/>
          </w:tcPr>
          <w:p w14:paraId="5A2D34B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振动碾</w:t>
            </w:r>
          </w:p>
        </w:tc>
        <w:tc>
          <w:tcPr>
            <w:tcW w:w="1500" w:type="dxa"/>
            <w:tcBorders>
              <w:tl2br w:val="nil"/>
              <w:tr2bl w:val="nil"/>
            </w:tcBorders>
            <w:shd w:val="clear" w:color="auto" w:fill="auto"/>
            <w:noWrap/>
            <w:vAlign w:val="center"/>
          </w:tcPr>
          <w:p w14:paraId="30E3162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13-15t</w:t>
            </w:r>
          </w:p>
        </w:tc>
        <w:tc>
          <w:tcPr>
            <w:tcW w:w="1170" w:type="dxa"/>
            <w:tcBorders>
              <w:tl2br w:val="nil"/>
              <w:tr2bl w:val="nil"/>
            </w:tcBorders>
            <w:shd w:val="clear" w:color="auto" w:fill="auto"/>
            <w:noWrap/>
            <w:vAlign w:val="center"/>
          </w:tcPr>
          <w:p w14:paraId="2A44F1F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78F143F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76" w:type="dxa"/>
            <w:tcBorders>
              <w:tl2br w:val="nil"/>
              <w:tr2bl w:val="nil"/>
            </w:tcBorders>
            <w:shd w:val="clear" w:color="auto" w:fill="auto"/>
            <w:noWrap/>
            <w:vAlign w:val="center"/>
          </w:tcPr>
          <w:p w14:paraId="3C8E7EB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r>
      <w:tr w14:paraId="50FDC8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2842C41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965" w:type="dxa"/>
            <w:tcBorders>
              <w:tl2br w:val="nil"/>
              <w:tr2bl w:val="nil"/>
            </w:tcBorders>
            <w:shd w:val="clear" w:color="auto" w:fill="auto"/>
            <w:noWrap/>
            <w:vAlign w:val="center"/>
          </w:tcPr>
          <w:p w14:paraId="79906DF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自卸汽车</w:t>
            </w:r>
          </w:p>
        </w:tc>
        <w:tc>
          <w:tcPr>
            <w:tcW w:w="1500" w:type="dxa"/>
            <w:tcBorders>
              <w:tl2br w:val="nil"/>
              <w:tr2bl w:val="nil"/>
            </w:tcBorders>
            <w:shd w:val="clear" w:color="auto" w:fill="auto"/>
            <w:noWrap/>
            <w:vAlign w:val="center"/>
          </w:tcPr>
          <w:p w14:paraId="270E72E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3.5-5t</w:t>
            </w:r>
          </w:p>
        </w:tc>
        <w:tc>
          <w:tcPr>
            <w:tcW w:w="1170" w:type="dxa"/>
            <w:tcBorders>
              <w:tl2br w:val="nil"/>
              <w:tr2bl w:val="nil"/>
            </w:tcBorders>
            <w:shd w:val="clear" w:color="auto" w:fill="auto"/>
            <w:noWrap/>
            <w:vAlign w:val="center"/>
          </w:tcPr>
          <w:p w14:paraId="6B31855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0054806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776" w:type="dxa"/>
            <w:tcBorders>
              <w:tl2br w:val="nil"/>
              <w:tr2bl w:val="nil"/>
            </w:tcBorders>
            <w:shd w:val="clear" w:color="auto" w:fill="auto"/>
            <w:noWrap/>
            <w:vAlign w:val="center"/>
          </w:tcPr>
          <w:p w14:paraId="276F957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r>
      <w:tr w14:paraId="024D7E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7AC07AF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8</w:t>
            </w:r>
          </w:p>
        </w:tc>
        <w:tc>
          <w:tcPr>
            <w:tcW w:w="1965" w:type="dxa"/>
            <w:tcBorders>
              <w:tl2br w:val="nil"/>
              <w:tr2bl w:val="nil"/>
            </w:tcBorders>
            <w:shd w:val="clear" w:color="auto" w:fill="auto"/>
            <w:noWrap/>
            <w:vAlign w:val="center"/>
          </w:tcPr>
          <w:p w14:paraId="2F3E965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装载机</w:t>
            </w:r>
          </w:p>
        </w:tc>
        <w:tc>
          <w:tcPr>
            <w:tcW w:w="1500" w:type="dxa"/>
            <w:tcBorders>
              <w:tl2br w:val="nil"/>
              <w:tr2bl w:val="nil"/>
            </w:tcBorders>
            <w:shd w:val="clear" w:color="auto" w:fill="auto"/>
            <w:noWrap/>
            <w:vAlign w:val="center"/>
          </w:tcPr>
          <w:p w14:paraId="6139FE9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1170" w:type="dxa"/>
            <w:tcBorders>
              <w:tl2br w:val="nil"/>
              <w:tr2bl w:val="nil"/>
            </w:tcBorders>
            <w:shd w:val="clear" w:color="auto" w:fill="auto"/>
            <w:noWrap/>
            <w:vAlign w:val="center"/>
          </w:tcPr>
          <w:p w14:paraId="29A297B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5F016B2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76" w:type="dxa"/>
            <w:tcBorders>
              <w:tl2br w:val="nil"/>
              <w:tr2bl w:val="nil"/>
            </w:tcBorders>
            <w:shd w:val="clear" w:color="auto" w:fill="auto"/>
            <w:noWrap/>
            <w:vAlign w:val="center"/>
          </w:tcPr>
          <w:p w14:paraId="288175A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r>
      <w:tr w14:paraId="2F7E25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2DEFEBD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9</w:t>
            </w:r>
          </w:p>
        </w:tc>
        <w:tc>
          <w:tcPr>
            <w:tcW w:w="1965" w:type="dxa"/>
            <w:tcBorders>
              <w:tl2br w:val="nil"/>
              <w:tr2bl w:val="nil"/>
            </w:tcBorders>
            <w:shd w:val="clear" w:color="auto" w:fill="auto"/>
            <w:noWrap/>
            <w:vAlign w:val="center"/>
          </w:tcPr>
          <w:p w14:paraId="21437E3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砼拌和机</w:t>
            </w:r>
          </w:p>
        </w:tc>
        <w:tc>
          <w:tcPr>
            <w:tcW w:w="1500" w:type="dxa"/>
            <w:tcBorders>
              <w:tl2br w:val="nil"/>
              <w:tr2bl w:val="nil"/>
            </w:tcBorders>
            <w:shd w:val="clear" w:color="auto" w:fill="auto"/>
            <w:noWrap/>
            <w:vAlign w:val="center"/>
          </w:tcPr>
          <w:p w14:paraId="0DEACD4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0.8m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c>
          <w:tcPr>
            <w:tcW w:w="1170" w:type="dxa"/>
            <w:tcBorders>
              <w:tl2br w:val="nil"/>
              <w:tr2bl w:val="nil"/>
            </w:tcBorders>
            <w:shd w:val="clear" w:color="auto" w:fill="auto"/>
            <w:noWrap/>
            <w:vAlign w:val="center"/>
          </w:tcPr>
          <w:p w14:paraId="29D661F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25E1DFF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76" w:type="dxa"/>
            <w:tcBorders>
              <w:tl2br w:val="nil"/>
              <w:tr2bl w:val="nil"/>
            </w:tcBorders>
            <w:shd w:val="clear" w:color="auto" w:fill="auto"/>
            <w:noWrap/>
            <w:vAlign w:val="center"/>
          </w:tcPr>
          <w:p w14:paraId="23ADED2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r>
      <w:tr w14:paraId="1EF48E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699EFD6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10</w:t>
            </w:r>
          </w:p>
        </w:tc>
        <w:tc>
          <w:tcPr>
            <w:tcW w:w="1965" w:type="dxa"/>
            <w:tcBorders>
              <w:tl2br w:val="nil"/>
              <w:tr2bl w:val="nil"/>
            </w:tcBorders>
            <w:shd w:val="clear" w:color="auto" w:fill="auto"/>
            <w:noWrap/>
            <w:vAlign w:val="center"/>
          </w:tcPr>
          <w:p w14:paraId="31E933C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卷扬机</w:t>
            </w:r>
          </w:p>
        </w:tc>
        <w:tc>
          <w:tcPr>
            <w:tcW w:w="1500" w:type="dxa"/>
            <w:tcBorders>
              <w:tl2br w:val="nil"/>
              <w:tr2bl w:val="nil"/>
            </w:tcBorders>
            <w:shd w:val="clear" w:color="auto" w:fill="auto"/>
            <w:noWrap/>
            <w:vAlign w:val="center"/>
          </w:tcPr>
          <w:p w14:paraId="186C08C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5t</w:t>
            </w:r>
          </w:p>
        </w:tc>
        <w:tc>
          <w:tcPr>
            <w:tcW w:w="1170" w:type="dxa"/>
            <w:tcBorders>
              <w:tl2br w:val="nil"/>
              <w:tr2bl w:val="nil"/>
            </w:tcBorders>
            <w:shd w:val="clear" w:color="auto" w:fill="auto"/>
            <w:noWrap/>
            <w:vAlign w:val="center"/>
          </w:tcPr>
          <w:p w14:paraId="3DE7098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4CFB20E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76" w:type="dxa"/>
            <w:tcBorders>
              <w:tl2br w:val="nil"/>
              <w:tr2bl w:val="nil"/>
            </w:tcBorders>
            <w:shd w:val="clear" w:color="auto" w:fill="auto"/>
            <w:noWrap/>
            <w:vAlign w:val="center"/>
          </w:tcPr>
          <w:p w14:paraId="1BD3C03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r>
      <w:tr w14:paraId="6E69D4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7E432FB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11</w:t>
            </w:r>
          </w:p>
        </w:tc>
        <w:tc>
          <w:tcPr>
            <w:tcW w:w="1965" w:type="dxa"/>
            <w:tcBorders>
              <w:tl2br w:val="nil"/>
              <w:tr2bl w:val="nil"/>
            </w:tcBorders>
            <w:shd w:val="clear" w:color="auto" w:fill="auto"/>
            <w:noWrap/>
            <w:vAlign w:val="center"/>
          </w:tcPr>
          <w:p w14:paraId="3C74287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地质钻</w:t>
            </w:r>
          </w:p>
        </w:tc>
        <w:tc>
          <w:tcPr>
            <w:tcW w:w="1500" w:type="dxa"/>
            <w:tcBorders>
              <w:tl2br w:val="nil"/>
              <w:tr2bl w:val="nil"/>
            </w:tcBorders>
            <w:shd w:val="clear" w:color="auto" w:fill="auto"/>
            <w:noWrap/>
            <w:vAlign w:val="center"/>
          </w:tcPr>
          <w:p w14:paraId="0BA4045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100型</w:t>
            </w:r>
          </w:p>
        </w:tc>
        <w:tc>
          <w:tcPr>
            <w:tcW w:w="1170" w:type="dxa"/>
            <w:tcBorders>
              <w:tl2br w:val="nil"/>
              <w:tr2bl w:val="nil"/>
            </w:tcBorders>
            <w:shd w:val="clear" w:color="auto" w:fill="auto"/>
            <w:noWrap/>
            <w:vAlign w:val="center"/>
          </w:tcPr>
          <w:p w14:paraId="2836076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51BE726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776" w:type="dxa"/>
            <w:tcBorders>
              <w:tl2br w:val="nil"/>
              <w:tr2bl w:val="nil"/>
            </w:tcBorders>
            <w:shd w:val="clear" w:color="auto" w:fill="auto"/>
            <w:noWrap/>
            <w:vAlign w:val="center"/>
          </w:tcPr>
          <w:p w14:paraId="300F365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r>
      <w:tr w14:paraId="622EA5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3025031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12</w:t>
            </w:r>
          </w:p>
        </w:tc>
        <w:tc>
          <w:tcPr>
            <w:tcW w:w="1965" w:type="dxa"/>
            <w:tcBorders>
              <w:tl2br w:val="nil"/>
              <w:tr2bl w:val="nil"/>
            </w:tcBorders>
            <w:shd w:val="clear" w:color="auto" w:fill="auto"/>
            <w:noWrap/>
            <w:vAlign w:val="center"/>
          </w:tcPr>
          <w:p w14:paraId="0269E95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灰浆搅拌机</w:t>
            </w:r>
          </w:p>
        </w:tc>
        <w:tc>
          <w:tcPr>
            <w:tcW w:w="1500" w:type="dxa"/>
            <w:tcBorders>
              <w:tl2br w:val="nil"/>
              <w:tr2bl w:val="nil"/>
            </w:tcBorders>
            <w:shd w:val="clear" w:color="auto" w:fill="auto"/>
            <w:noWrap/>
            <w:vAlign w:val="center"/>
          </w:tcPr>
          <w:p w14:paraId="4CFBB40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200L</w:t>
            </w:r>
          </w:p>
        </w:tc>
        <w:tc>
          <w:tcPr>
            <w:tcW w:w="1170" w:type="dxa"/>
            <w:tcBorders>
              <w:tl2br w:val="nil"/>
              <w:tr2bl w:val="nil"/>
            </w:tcBorders>
            <w:shd w:val="clear" w:color="auto" w:fill="auto"/>
            <w:noWrap/>
            <w:vAlign w:val="center"/>
          </w:tcPr>
          <w:p w14:paraId="5C0AD21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47D890F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76" w:type="dxa"/>
            <w:tcBorders>
              <w:tl2br w:val="nil"/>
              <w:tr2bl w:val="nil"/>
            </w:tcBorders>
            <w:shd w:val="clear" w:color="auto" w:fill="auto"/>
            <w:noWrap/>
            <w:vAlign w:val="center"/>
          </w:tcPr>
          <w:p w14:paraId="6D84051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r>
      <w:tr w14:paraId="10160E6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429FFC5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13</w:t>
            </w:r>
          </w:p>
        </w:tc>
        <w:tc>
          <w:tcPr>
            <w:tcW w:w="1965" w:type="dxa"/>
            <w:tcBorders>
              <w:tl2br w:val="nil"/>
              <w:tr2bl w:val="nil"/>
            </w:tcBorders>
            <w:shd w:val="clear" w:color="auto" w:fill="auto"/>
            <w:noWrap/>
            <w:vAlign w:val="center"/>
          </w:tcPr>
          <w:p w14:paraId="5543EAD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灌浆泵</w:t>
            </w:r>
          </w:p>
        </w:tc>
        <w:tc>
          <w:tcPr>
            <w:tcW w:w="1500" w:type="dxa"/>
            <w:tcBorders>
              <w:tl2br w:val="nil"/>
              <w:tr2bl w:val="nil"/>
            </w:tcBorders>
            <w:shd w:val="clear" w:color="auto" w:fill="auto"/>
            <w:noWrap/>
            <w:vAlign w:val="center"/>
          </w:tcPr>
          <w:p w14:paraId="6B0218A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BW80/150</w:t>
            </w:r>
          </w:p>
        </w:tc>
        <w:tc>
          <w:tcPr>
            <w:tcW w:w="1170" w:type="dxa"/>
            <w:tcBorders>
              <w:tl2br w:val="nil"/>
              <w:tr2bl w:val="nil"/>
            </w:tcBorders>
            <w:shd w:val="clear" w:color="auto" w:fill="auto"/>
            <w:noWrap/>
            <w:vAlign w:val="center"/>
          </w:tcPr>
          <w:p w14:paraId="24295FF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342616D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76" w:type="dxa"/>
            <w:tcBorders>
              <w:tl2br w:val="nil"/>
              <w:tr2bl w:val="nil"/>
            </w:tcBorders>
            <w:shd w:val="clear" w:color="auto" w:fill="auto"/>
            <w:noWrap/>
            <w:vAlign w:val="center"/>
          </w:tcPr>
          <w:p w14:paraId="35FC4E8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r>
      <w:tr w14:paraId="49660EC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482185D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14</w:t>
            </w:r>
          </w:p>
        </w:tc>
        <w:tc>
          <w:tcPr>
            <w:tcW w:w="1965" w:type="dxa"/>
            <w:tcBorders>
              <w:tl2br w:val="nil"/>
              <w:tr2bl w:val="nil"/>
            </w:tcBorders>
            <w:shd w:val="clear" w:color="auto" w:fill="auto"/>
            <w:noWrap/>
            <w:vAlign w:val="center"/>
          </w:tcPr>
          <w:p w14:paraId="2F6919C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冲击钻机</w:t>
            </w:r>
          </w:p>
        </w:tc>
        <w:tc>
          <w:tcPr>
            <w:tcW w:w="1500" w:type="dxa"/>
            <w:tcBorders>
              <w:tl2br w:val="nil"/>
              <w:tr2bl w:val="nil"/>
            </w:tcBorders>
            <w:shd w:val="clear" w:color="auto" w:fill="auto"/>
            <w:noWrap/>
            <w:vAlign w:val="center"/>
          </w:tcPr>
          <w:p w14:paraId="20AB5CB3">
            <w:pPr>
              <w:spacing w:line="240" w:lineRule="auto"/>
              <w:jc w:val="center"/>
              <w:rPr>
                <w:rFonts w:hint="default" w:ascii="Times New Roman" w:hAnsi="Times New Roman" w:eastAsia="宋体" w:cs="Times New Roman"/>
                <w:i w:val="0"/>
                <w:iCs w:val="0"/>
                <w:color w:val="000000"/>
                <w:sz w:val="21"/>
                <w:szCs w:val="21"/>
                <w:u w:val="none"/>
              </w:rPr>
            </w:pPr>
          </w:p>
        </w:tc>
        <w:tc>
          <w:tcPr>
            <w:tcW w:w="1170" w:type="dxa"/>
            <w:tcBorders>
              <w:tl2br w:val="nil"/>
              <w:tr2bl w:val="nil"/>
            </w:tcBorders>
            <w:shd w:val="clear" w:color="auto" w:fill="auto"/>
            <w:noWrap/>
            <w:vAlign w:val="center"/>
          </w:tcPr>
          <w:p w14:paraId="6C28113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791CF1F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76" w:type="dxa"/>
            <w:tcBorders>
              <w:tl2br w:val="nil"/>
              <w:tr2bl w:val="nil"/>
            </w:tcBorders>
            <w:shd w:val="clear" w:color="auto" w:fill="auto"/>
            <w:noWrap/>
            <w:vAlign w:val="center"/>
          </w:tcPr>
          <w:p w14:paraId="31F4C67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r>
      <w:tr w14:paraId="0183DE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58422CD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15</w:t>
            </w:r>
          </w:p>
        </w:tc>
        <w:tc>
          <w:tcPr>
            <w:tcW w:w="1965" w:type="dxa"/>
            <w:tcBorders>
              <w:tl2br w:val="nil"/>
              <w:tr2bl w:val="nil"/>
            </w:tcBorders>
            <w:shd w:val="clear" w:color="auto" w:fill="auto"/>
            <w:noWrap/>
            <w:vAlign w:val="center"/>
          </w:tcPr>
          <w:p w14:paraId="2B1E20A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汽车吊</w:t>
            </w:r>
          </w:p>
        </w:tc>
        <w:tc>
          <w:tcPr>
            <w:tcW w:w="1500" w:type="dxa"/>
            <w:tcBorders>
              <w:tl2br w:val="nil"/>
              <w:tr2bl w:val="nil"/>
            </w:tcBorders>
            <w:shd w:val="clear" w:color="auto" w:fill="auto"/>
            <w:noWrap/>
            <w:vAlign w:val="center"/>
          </w:tcPr>
          <w:p w14:paraId="6D97D41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5t</w:t>
            </w:r>
          </w:p>
        </w:tc>
        <w:tc>
          <w:tcPr>
            <w:tcW w:w="1170" w:type="dxa"/>
            <w:tcBorders>
              <w:tl2br w:val="nil"/>
              <w:tr2bl w:val="nil"/>
            </w:tcBorders>
            <w:shd w:val="clear" w:color="auto" w:fill="auto"/>
            <w:noWrap/>
            <w:vAlign w:val="center"/>
          </w:tcPr>
          <w:p w14:paraId="7F0DE35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1554968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76" w:type="dxa"/>
            <w:tcBorders>
              <w:tl2br w:val="nil"/>
              <w:tr2bl w:val="nil"/>
            </w:tcBorders>
            <w:shd w:val="clear" w:color="auto" w:fill="auto"/>
            <w:noWrap/>
            <w:vAlign w:val="center"/>
          </w:tcPr>
          <w:p w14:paraId="22F71F9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r>
      <w:tr w14:paraId="184528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62E3B95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16</w:t>
            </w:r>
          </w:p>
        </w:tc>
        <w:tc>
          <w:tcPr>
            <w:tcW w:w="1965" w:type="dxa"/>
            <w:tcBorders>
              <w:tl2br w:val="nil"/>
              <w:tr2bl w:val="nil"/>
            </w:tcBorders>
            <w:shd w:val="clear" w:color="auto" w:fill="auto"/>
            <w:noWrap/>
            <w:vAlign w:val="center"/>
          </w:tcPr>
          <w:p w14:paraId="3A9103B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水泵</w:t>
            </w:r>
          </w:p>
        </w:tc>
        <w:tc>
          <w:tcPr>
            <w:tcW w:w="1500" w:type="dxa"/>
            <w:tcBorders>
              <w:tl2br w:val="nil"/>
              <w:tr2bl w:val="nil"/>
            </w:tcBorders>
            <w:shd w:val="clear" w:color="auto" w:fill="auto"/>
            <w:noWrap/>
            <w:vAlign w:val="center"/>
          </w:tcPr>
          <w:p w14:paraId="5EB5684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6SA-8B型</w:t>
            </w:r>
          </w:p>
        </w:tc>
        <w:tc>
          <w:tcPr>
            <w:tcW w:w="1170" w:type="dxa"/>
            <w:tcBorders>
              <w:tl2br w:val="nil"/>
              <w:tr2bl w:val="nil"/>
            </w:tcBorders>
            <w:shd w:val="clear" w:color="auto" w:fill="auto"/>
            <w:noWrap/>
            <w:vAlign w:val="center"/>
          </w:tcPr>
          <w:p w14:paraId="058F5AB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6382508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76" w:type="dxa"/>
            <w:tcBorders>
              <w:tl2br w:val="nil"/>
              <w:tr2bl w:val="nil"/>
            </w:tcBorders>
            <w:shd w:val="clear" w:color="auto" w:fill="auto"/>
            <w:noWrap/>
            <w:vAlign w:val="center"/>
          </w:tcPr>
          <w:p w14:paraId="4A11919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r>
      <w:tr w14:paraId="08654B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6B4A3A1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17</w:t>
            </w:r>
          </w:p>
        </w:tc>
        <w:tc>
          <w:tcPr>
            <w:tcW w:w="1965" w:type="dxa"/>
            <w:tcBorders>
              <w:tl2br w:val="nil"/>
              <w:tr2bl w:val="nil"/>
            </w:tcBorders>
            <w:shd w:val="clear" w:color="auto" w:fill="auto"/>
            <w:noWrap/>
            <w:vAlign w:val="center"/>
          </w:tcPr>
          <w:p w14:paraId="2AD7A01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水泵</w:t>
            </w:r>
          </w:p>
        </w:tc>
        <w:tc>
          <w:tcPr>
            <w:tcW w:w="1500" w:type="dxa"/>
            <w:tcBorders>
              <w:tl2br w:val="nil"/>
              <w:tr2bl w:val="nil"/>
            </w:tcBorders>
            <w:shd w:val="clear" w:color="auto" w:fill="auto"/>
            <w:noWrap/>
            <w:vAlign w:val="center"/>
          </w:tcPr>
          <w:p w14:paraId="49F63FA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3KW</w:t>
            </w:r>
          </w:p>
        </w:tc>
        <w:tc>
          <w:tcPr>
            <w:tcW w:w="1170" w:type="dxa"/>
            <w:tcBorders>
              <w:tl2br w:val="nil"/>
              <w:tr2bl w:val="nil"/>
            </w:tcBorders>
            <w:shd w:val="clear" w:color="auto" w:fill="auto"/>
            <w:noWrap/>
            <w:vAlign w:val="center"/>
          </w:tcPr>
          <w:p w14:paraId="6BFDCF0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2DCF425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76" w:type="dxa"/>
            <w:tcBorders>
              <w:tl2br w:val="nil"/>
              <w:tr2bl w:val="nil"/>
            </w:tcBorders>
            <w:shd w:val="clear" w:color="auto" w:fill="auto"/>
            <w:noWrap/>
            <w:vAlign w:val="center"/>
          </w:tcPr>
          <w:p w14:paraId="64F9BA7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r>
      <w:tr w14:paraId="42A3DB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050" w:type="dxa"/>
            <w:tcBorders>
              <w:tl2br w:val="nil"/>
              <w:tr2bl w:val="nil"/>
            </w:tcBorders>
            <w:shd w:val="clear" w:color="auto" w:fill="auto"/>
            <w:noWrap/>
            <w:vAlign w:val="center"/>
          </w:tcPr>
          <w:p w14:paraId="3D7856D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18</w:t>
            </w:r>
          </w:p>
        </w:tc>
        <w:tc>
          <w:tcPr>
            <w:tcW w:w="1965" w:type="dxa"/>
            <w:tcBorders>
              <w:tl2br w:val="nil"/>
              <w:tr2bl w:val="nil"/>
            </w:tcBorders>
            <w:shd w:val="clear" w:color="auto" w:fill="auto"/>
            <w:noWrap/>
            <w:vAlign w:val="center"/>
          </w:tcPr>
          <w:p w14:paraId="3DBF3FF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空压机</w:t>
            </w:r>
          </w:p>
        </w:tc>
        <w:tc>
          <w:tcPr>
            <w:tcW w:w="1500" w:type="dxa"/>
            <w:tcBorders>
              <w:tl2br w:val="nil"/>
              <w:tr2bl w:val="nil"/>
            </w:tcBorders>
            <w:shd w:val="clear" w:color="auto" w:fill="auto"/>
            <w:noWrap/>
            <w:vAlign w:val="center"/>
          </w:tcPr>
          <w:p w14:paraId="69DE302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/min</w:t>
            </w:r>
          </w:p>
        </w:tc>
        <w:tc>
          <w:tcPr>
            <w:tcW w:w="1170" w:type="dxa"/>
            <w:tcBorders>
              <w:tl2br w:val="nil"/>
              <w:tr2bl w:val="nil"/>
            </w:tcBorders>
            <w:shd w:val="clear" w:color="auto" w:fill="auto"/>
            <w:noWrap/>
            <w:vAlign w:val="center"/>
          </w:tcPr>
          <w:p w14:paraId="6E7F2DE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1050" w:type="dxa"/>
            <w:tcBorders>
              <w:tl2br w:val="nil"/>
              <w:tr2bl w:val="nil"/>
            </w:tcBorders>
            <w:shd w:val="clear" w:color="auto" w:fill="auto"/>
            <w:noWrap/>
            <w:vAlign w:val="center"/>
          </w:tcPr>
          <w:p w14:paraId="5B44D92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776" w:type="dxa"/>
            <w:tcBorders>
              <w:tl2br w:val="nil"/>
              <w:tr2bl w:val="nil"/>
            </w:tcBorders>
            <w:shd w:val="clear" w:color="auto" w:fill="auto"/>
            <w:noWrap/>
            <w:vAlign w:val="center"/>
          </w:tcPr>
          <w:p w14:paraId="6FF49B6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r>
    </w:tbl>
    <w:p w14:paraId="633616B0">
      <w:pPr>
        <w:pStyle w:val="73"/>
        <w:pageBreakBefore w:val="0"/>
        <w:shd w:val="clear" w:color="auto" w:fill="auto"/>
        <w:kinsoku w:val="0"/>
        <w:wordWrap w:val="0"/>
        <w:overflowPunct/>
        <w:topLinePunct/>
        <w:autoSpaceDE/>
        <w:autoSpaceDN/>
        <w:bidi w:val="0"/>
        <w:spacing w:line="240" w:lineRule="auto"/>
        <w:jc w:val="center"/>
        <w:rPr>
          <w:rStyle w:val="72"/>
          <w:rFonts w:hint="default" w:ascii="Times New Roman" w:hAnsi="Times New Roman" w:eastAsia="宋体" w:cs="Times New Roman"/>
          <w:b/>
          <w:bCs/>
          <w:caps w:val="0"/>
          <w:smallCaps w:val="0"/>
          <w:color w:val="auto"/>
          <w:spacing w:val="0"/>
          <w:w w:val="100"/>
          <w:position w:val="0"/>
          <w:sz w:val="21"/>
          <w:szCs w:val="21"/>
          <w:u w:val="none" w:color="auto"/>
        </w:rPr>
      </w:pPr>
    </w:p>
    <w:p w14:paraId="49D4A1A8">
      <w:pPr>
        <w:pageBreakBefore w:val="0"/>
        <w:kinsoku w:val="0"/>
        <w:wordWrap w:val="0"/>
        <w:overflowPunct/>
        <w:topLinePunct/>
        <w:autoSpaceDE/>
        <w:autoSpaceDN/>
        <w:bidi w:val="0"/>
        <w:spacing w:line="1" w:lineRule="exact"/>
        <w:rPr>
          <w:rFonts w:hint="default" w:ascii="Times New Roman" w:hAnsi="Times New Roman" w:eastAsia="宋体" w:cs="Times New Roman"/>
          <w:caps w:val="0"/>
          <w:smallCaps w:val="0"/>
          <w:color w:val="auto"/>
          <w:spacing w:val="0"/>
          <w:w w:val="100"/>
          <w:position w:val="0"/>
          <w:u w:val="none" w:color="auto"/>
        </w:rPr>
      </w:pPr>
    </w:p>
    <w:p w14:paraId="21BCF26C">
      <w:pPr>
        <w:pStyle w:val="5"/>
        <w:bidi w:val="0"/>
        <w:rPr>
          <w:rFonts w:hint="default" w:ascii="Times New Roman" w:hAnsi="Times New Roman" w:cs="Times New Roman"/>
        </w:rPr>
      </w:pPr>
      <w:r>
        <w:rPr>
          <w:rFonts w:hint="default" w:ascii="Times New Roman" w:hAnsi="Times New Roman" w:cs="Times New Roman"/>
        </w:rPr>
        <w:t>固体废物</w:t>
      </w:r>
    </w:p>
    <w:p w14:paraId="6CFD0647">
      <w:pPr>
        <w:keepNext w:val="0"/>
        <w:keepLines w:val="0"/>
        <w:pageBreakBefore w:val="0"/>
        <w:widowControl/>
        <w:suppressLineNumbers w:val="0"/>
        <w:kinsoku/>
        <w:overflowPunct/>
        <w:autoSpaceDE/>
        <w:autoSpaceDN/>
        <w:bidi w:val="0"/>
        <w:adjustRightInd/>
        <w:snapToGrid/>
        <w:spacing w:line="360" w:lineRule="auto"/>
        <w:ind w:firstLine="480" w:firstLineChars="200"/>
        <w:jc w:val="left"/>
        <w:textAlignment w:val="auto"/>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施工期固体废物主要包括施工过程产生的弃渣、沉淀池收集的污泥、油水分离池收集的废机油、拆除的建筑垃圾、旧设备和施工人员生活垃圾。</w:t>
      </w:r>
    </w:p>
    <w:p w14:paraId="72989E03">
      <w:pPr>
        <w:keepNext w:val="0"/>
        <w:keepLines w:val="0"/>
        <w:pageBreakBefore w:val="0"/>
        <w:widowControl w:val="0"/>
        <w:kinsoku/>
        <w:wordWrap/>
        <w:overflowPunct/>
        <w:topLinePunct w:val="0"/>
        <w:autoSpaceDE/>
        <w:autoSpaceDN/>
        <w:bidi w:val="0"/>
        <w:adjustRightInd/>
        <w:snapToGrid/>
        <w:spacing w:line="360" w:lineRule="auto"/>
        <w:ind w:left="0" w:right="0" w:firstLine="481"/>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val="en-US" w:eastAsia="zh-CN"/>
        </w:rPr>
        <w:t>1</w:t>
      </w:r>
      <w:r>
        <w:rPr>
          <w:rFonts w:hint="default" w:ascii="Times New Roman" w:hAnsi="Times New Roman" w:eastAsia="宋体" w:cs="Times New Roman"/>
          <w:color w:val="auto"/>
          <w:spacing w:val="0"/>
          <w:w w:val="100"/>
          <w:position w:val="0"/>
          <w:sz w:val="24"/>
          <w:szCs w:val="24"/>
          <w:u w:val="none" w:color="auto"/>
          <w:lang w:eastAsia="zh-CN"/>
        </w:rPr>
        <w:t>）工程弃土</w:t>
      </w:r>
    </w:p>
    <w:p w14:paraId="5E0B7E31">
      <w:pPr>
        <w:keepNext w:val="0"/>
        <w:keepLines w:val="0"/>
        <w:pageBreakBefore w:val="0"/>
        <w:widowControl w:val="0"/>
        <w:numPr>
          <w:ilvl w:val="0"/>
          <w:numId w:val="0"/>
        </w:numPr>
        <w:kinsoku/>
        <w:wordWrap w:val="0"/>
        <w:overflowPunct/>
        <w:topLinePunct/>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aps w:val="0"/>
          <w:smallCaps w:val="0"/>
          <w:color w:val="0000FF"/>
          <w:spacing w:val="0"/>
          <w:w w:val="100"/>
          <w:kern w:val="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rPr>
        <w:t>根据本工程初设报告</w:t>
      </w:r>
      <w:r>
        <w:rPr>
          <w:rFonts w:hint="default" w:ascii="Times New Roman" w:hAnsi="Times New Roman" w:eastAsia="宋体" w:cs="Times New Roman"/>
          <w:color w:val="auto"/>
          <w:spacing w:val="0"/>
          <w:w w:val="100"/>
          <w:position w:val="0"/>
          <w:sz w:val="24"/>
          <w:szCs w:val="24"/>
          <w:u w:val="none" w:color="auto"/>
          <w:lang w:eastAsia="zh-CN"/>
        </w:rPr>
        <w:t>报告和</w:t>
      </w:r>
      <w:r>
        <w:rPr>
          <w:rFonts w:hint="default" w:ascii="Times New Roman" w:hAnsi="Times New Roman" w:eastAsia="宋体" w:cs="Times New Roman"/>
          <w:color w:val="auto"/>
          <w:spacing w:val="0"/>
          <w:w w:val="100"/>
          <w:position w:val="0"/>
          <w:sz w:val="24"/>
          <w:szCs w:val="24"/>
          <w:u w:val="none" w:color="auto"/>
        </w:rPr>
        <w:t>水土保持</w:t>
      </w:r>
      <w:r>
        <w:rPr>
          <w:rFonts w:hint="default" w:ascii="Times New Roman" w:hAnsi="Times New Roman" w:eastAsia="宋体" w:cs="Times New Roman"/>
          <w:color w:val="auto"/>
          <w:spacing w:val="0"/>
          <w:w w:val="100"/>
          <w:position w:val="0"/>
          <w:sz w:val="24"/>
          <w:szCs w:val="24"/>
          <w:u w:val="none" w:color="auto"/>
          <w:lang w:eastAsia="zh-CN"/>
        </w:rPr>
        <w:t>方案中</w:t>
      </w:r>
      <w:r>
        <w:rPr>
          <w:rFonts w:hint="default" w:ascii="Times New Roman" w:hAnsi="Times New Roman" w:eastAsia="宋体" w:cs="Times New Roman"/>
          <w:color w:val="auto"/>
          <w:spacing w:val="0"/>
          <w:w w:val="100"/>
          <w:position w:val="0"/>
          <w:sz w:val="24"/>
          <w:szCs w:val="24"/>
          <w:u w:val="none" w:color="auto"/>
        </w:rPr>
        <w:t>土石方平衡</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本工程产生弃土</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量约为9883</w:t>
      </w:r>
      <w:r>
        <w:rPr>
          <w:rFonts w:hint="default" w:ascii="Times New Roman" w:hAnsi="Times New Roman" w:eastAsia="宋体" w:cs="Times New Roman"/>
          <w:caps w:val="0"/>
          <w:smallCaps w:val="0"/>
          <w:color w:val="auto"/>
          <w:spacing w:val="0"/>
          <w:w w:val="100"/>
          <w:kern w:val="0"/>
          <w:position w:val="0"/>
          <w:sz w:val="24"/>
          <w:szCs w:val="24"/>
          <w:u w:val="none" w:color="auto"/>
        </w:rPr>
        <w:t>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w:t>
      </w:r>
    </w:p>
    <w:p w14:paraId="62631663">
      <w:pPr>
        <w:keepNext w:val="0"/>
        <w:keepLines w:val="0"/>
        <w:pageBreakBefore w:val="0"/>
        <w:widowControl w:val="0"/>
        <w:kinsoku/>
        <w:wordWrap/>
        <w:overflowPunct/>
        <w:topLinePunct w:val="0"/>
        <w:autoSpaceDE/>
        <w:autoSpaceDN/>
        <w:bidi w:val="0"/>
        <w:adjustRightInd/>
        <w:snapToGrid/>
        <w:spacing w:line="360" w:lineRule="auto"/>
        <w:ind w:left="0" w:right="0" w:firstLine="481"/>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val="en-US" w:eastAsia="zh-CN"/>
        </w:rPr>
        <w:t>2</w:t>
      </w:r>
      <w:r>
        <w:rPr>
          <w:rFonts w:hint="default" w:ascii="Times New Roman" w:hAnsi="Times New Roman" w:eastAsia="宋体" w:cs="Times New Roman"/>
          <w:color w:val="auto"/>
          <w:spacing w:val="0"/>
          <w:w w:val="100"/>
          <w:position w:val="0"/>
          <w:sz w:val="24"/>
          <w:szCs w:val="24"/>
          <w:u w:val="none" w:color="auto"/>
          <w:lang w:eastAsia="zh-CN"/>
        </w:rPr>
        <w:t>）拆除的设备</w:t>
      </w:r>
    </w:p>
    <w:p w14:paraId="1D605BF3">
      <w:pPr>
        <w:keepNext w:val="0"/>
        <w:keepLines w:val="0"/>
        <w:pageBreakBefore w:val="0"/>
        <w:widowControl w:val="0"/>
        <w:kinsoku/>
        <w:wordWrap/>
        <w:overflowPunct/>
        <w:topLinePunct w:val="0"/>
        <w:autoSpaceDE/>
        <w:autoSpaceDN/>
        <w:bidi w:val="0"/>
        <w:adjustRightInd/>
        <w:snapToGrid/>
        <w:spacing w:line="360" w:lineRule="auto"/>
        <w:ind w:left="0" w:right="0" w:firstLine="481"/>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本工程拟</w:t>
      </w:r>
      <w:r>
        <w:rPr>
          <w:rFonts w:hint="default" w:ascii="Times New Roman" w:hAnsi="Times New Roman" w:eastAsia="宋体" w:cs="Times New Roman"/>
          <w:color w:val="auto"/>
          <w:spacing w:val="0"/>
          <w:w w:val="100"/>
          <w:position w:val="0"/>
          <w:sz w:val="24"/>
          <w:szCs w:val="24"/>
          <w:u w:val="none" w:color="auto"/>
          <w:lang w:eastAsia="zh-CN"/>
        </w:rPr>
        <w:t>对</w:t>
      </w:r>
      <w:r>
        <w:rPr>
          <w:rFonts w:hint="default" w:ascii="Times New Roman" w:hAnsi="Times New Roman" w:eastAsia="宋体" w:cs="Times New Roman"/>
          <w:sz w:val="24"/>
          <w:szCs w:val="24"/>
        </w:rPr>
        <w:t>进水塔闸墩上部启闭机房及工作桥进行拆除重建</w:t>
      </w:r>
      <w:r>
        <w:rPr>
          <w:rFonts w:hint="default" w:ascii="Times New Roman" w:hAnsi="Times New Roman" w:eastAsia="宋体" w:cs="Times New Roman"/>
          <w:sz w:val="24"/>
          <w:szCs w:val="24"/>
          <w:lang w:eastAsia="zh-CN"/>
        </w:rPr>
        <w:t>，对引水渠节制闸更换、泄洪闸拆除重建，</w:t>
      </w:r>
      <w:r>
        <w:rPr>
          <w:rFonts w:hint="default" w:ascii="Times New Roman" w:hAnsi="Times New Roman" w:eastAsia="宋体" w:cs="Times New Roman"/>
          <w:color w:val="auto"/>
          <w:spacing w:val="0"/>
          <w:w w:val="100"/>
          <w:position w:val="0"/>
          <w:sz w:val="24"/>
          <w:szCs w:val="24"/>
          <w:u w:val="none" w:color="auto"/>
        </w:rPr>
        <w:t>工程对金属结构及设备拆除后</w:t>
      </w:r>
      <w:r>
        <w:rPr>
          <w:rFonts w:hint="default" w:ascii="Times New Roman" w:hAnsi="Times New Roman" w:eastAsia="宋体" w:cs="Times New Roman"/>
          <w:color w:val="auto"/>
          <w:spacing w:val="0"/>
          <w:w w:val="100"/>
          <w:position w:val="0"/>
          <w:sz w:val="24"/>
          <w:szCs w:val="24"/>
          <w:u w:val="none" w:color="auto"/>
          <w:lang w:eastAsia="zh-CN"/>
        </w:rPr>
        <w:t>外售</w:t>
      </w:r>
      <w:r>
        <w:rPr>
          <w:rFonts w:hint="default" w:ascii="Times New Roman" w:hAnsi="Times New Roman" w:eastAsia="宋体" w:cs="Times New Roman"/>
          <w:color w:val="auto"/>
          <w:spacing w:val="0"/>
          <w:w w:val="100"/>
          <w:position w:val="0"/>
          <w:sz w:val="24"/>
          <w:szCs w:val="24"/>
          <w:u w:val="none" w:color="auto"/>
        </w:rPr>
        <w:t>进行资源回收</w:t>
      </w:r>
      <w:r>
        <w:rPr>
          <w:rFonts w:hint="default" w:ascii="Times New Roman" w:hAnsi="Times New Roman" w:eastAsia="宋体" w:cs="Times New Roman"/>
          <w:color w:val="auto"/>
          <w:spacing w:val="0"/>
          <w:w w:val="100"/>
          <w:position w:val="0"/>
          <w:sz w:val="24"/>
          <w:szCs w:val="24"/>
          <w:u w:val="none" w:color="auto"/>
          <w:lang w:eastAsia="zh-CN"/>
        </w:rPr>
        <w:t>利用</w:t>
      </w:r>
      <w:r>
        <w:rPr>
          <w:rFonts w:hint="default" w:ascii="Times New Roman" w:hAnsi="Times New Roman" w:eastAsia="宋体" w:cs="Times New Roman"/>
          <w:color w:val="auto"/>
          <w:spacing w:val="0"/>
          <w:w w:val="100"/>
          <w:position w:val="0"/>
          <w:sz w:val="24"/>
          <w:szCs w:val="24"/>
          <w:u w:val="none" w:color="auto"/>
        </w:rPr>
        <w:t>。</w:t>
      </w:r>
    </w:p>
    <w:p w14:paraId="62B25EB4">
      <w:pPr>
        <w:keepNext w:val="0"/>
        <w:keepLines w:val="0"/>
        <w:pageBreakBefore w:val="0"/>
        <w:widowControl w:val="0"/>
        <w:kinsoku/>
        <w:wordWrap/>
        <w:overflowPunct/>
        <w:topLinePunct w:val="0"/>
        <w:autoSpaceDE/>
        <w:autoSpaceDN/>
        <w:bidi w:val="0"/>
        <w:adjustRightInd/>
        <w:snapToGrid/>
        <w:spacing w:line="360" w:lineRule="auto"/>
        <w:ind w:left="0" w:right="0" w:firstLine="481"/>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val="en-US" w:eastAsia="zh-CN"/>
        </w:rPr>
        <w:t>3</w:t>
      </w:r>
      <w:r>
        <w:rPr>
          <w:rFonts w:hint="default" w:ascii="Times New Roman" w:hAnsi="Times New Roman" w:eastAsia="宋体" w:cs="Times New Roman"/>
          <w:color w:val="auto"/>
          <w:spacing w:val="0"/>
          <w:w w:val="100"/>
          <w:position w:val="0"/>
          <w:sz w:val="24"/>
          <w:szCs w:val="24"/>
          <w:u w:val="none" w:color="auto"/>
          <w:lang w:eastAsia="zh-CN"/>
        </w:rPr>
        <w:t>）建筑垃圾</w:t>
      </w:r>
    </w:p>
    <w:p w14:paraId="40903FE0">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rPr>
      </w:pPr>
      <w:r>
        <w:rPr>
          <w:rFonts w:hint="default" w:ascii="Times New Roman" w:hAnsi="Times New Roman" w:eastAsia="宋体" w:cs="Times New Roman"/>
          <w:color w:val="auto"/>
          <w:spacing w:val="0"/>
          <w:w w:val="100"/>
          <w:position w:val="0"/>
          <w:sz w:val="24"/>
          <w:szCs w:val="24"/>
          <w:u w:val="none" w:color="auto"/>
          <w:lang w:eastAsia="zh-CN"/>
        </w:rPr>
        <w:t>项目施工过程中会产生部分建筑垃圾，主要为管理房、大坝护坡、进水塔、抬升井、暗涵、泄洪闸、溢洪道、引水渠等部分拆除工程产生的废弃建筑垃圾。根据工程设计方案，砌体和混凝土拆除工程量约为</w:t>
      </w:r>
      <w:r>
        <w:rPr>
          <w:rFonts w:hint="default" w:ascii="Times New Roman" w:hAnsi="Times New Roman" w:eastAsia="宋体" w:cs="Times New Roman"/>
          <w:color w:val="auto"/>
          <w:spacing w:val="0"/>
          <w:w w:val="100"/>
          <w:position w:val="0"/>
          <w:sz w:val="24"/>
          <w:szCs w:val="24"/>
          <w:u w:val="none" w:color="auto"/>
          <w:lang w:val="en-US" w:eastAsia="zh-CN"/>
        </w:rPr>
        <w:t>3278</w:t>
      </w:r>
      <w:r>
        <w:rPr>
          <w:rFonts w:hint="default" w:ascii="Times New Roman" w:hAnsi="Times New Roman" w:eastAsia="宋体" w:cs="Times New Roman"/>
          <w:caps w:val="0"/>
          <w:smallCaps w:val="0"/>
          <w:color w:val="auto"/>
          <w:spacing w:val="0"/>
          <w:w w:val="100"/>
          <w:kern w:val="0"/>
          <w:position w:val="0"/>
          <w:sz w:val="24"/>
          <w:szCs w:val="24"/>
          <w:u w:val="none" w:color="auto"/>
        </w:rPr>
        <w:t>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olor w:val="auto"/>
          <w:spacing w:val="0"/>
          <w:w w:val="100"/>
          <w:position w:val="0"/>
          <w:sz w:val="24"/>
          <w:szCs w:val="24"/>
          <w:u w:val="none" w:color="auto"/>
          <w:lang w:val="en-US" w:eastAsia="zh-CN"/>
        </w:rPr>
        <w:t>，收集后运至弃渣场堆存。</w:t>
      </w:r>
    </w:p>
    <w:p w14:paraId="0998C26D">
      <w:pPr>
        <w:keepNext w:val="0"/>
        <w:keepLines w:val="0"/>
        <w:pageBreakBefore w:val="0"/>
        <w:widowControl w:val="0"/>
        <w:kinsoku/>
        <w:wordWrap/>
        <w:overflowPunct/>
        <w:topLinePunct w:val="0"/>
        <w:autoSpaceDE/>
        <w:autoSpaceDN/>
        <w:bidi w:val="0"/>
        <w:adjustRightInd/>
        <w:snapToGrid/>
        <w:spacing w:line="360" w:lineRule="auto"/>
        <w:ind w:left="0" w:right="0" w:firstLine="481"/>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val="en-US" w:eastAsia="zh-CN"/>
        </w:rPr>
        <w:t>4</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val="en-US" w:eastAsia="zh-CN"/>
        </w:rPr>
        <w:t xml:space="preserve">沉淀池收集的污泥 </w:t>
      </w:r>
    </w:p>
    <w:p w14:paraId="2E412823">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本工程施工期产生的废水经沉淀池处理后回用，不外排，沉淀池会产生污泥、泥渣。</w:t>
      </w:r>
      <w:r>
        <w:rPr>
          <w:rFonts w:hint="default" w:ascii="Times New Roman" w:hAnsi="Times New Roman" w:eastAsia="瀹嬩綋" w:cs="Times New Roman"/>
          <w:color w:val="000000"/>
          <w:kern w:val="0"/>
          <w:sz w:val="24"/>
          <w:szCs w:val="24"/>
          <w:lang w:val="en-US" w:eastAsia="zh-CN" w:bidi="ar"/>
        </w:rPr>
        <w:t>同时施工结束后</w:t>
      </w:r>
      <w:r>
        <w:rPr>
          <w:rFonts w:hint="default" w:ascii="Times New Roman" w:hAnsi="Times New Roman" w:eastAsia="宋体" w:cs="Times New Roman"/>
          <w:color w:val="auto"/>
          <w:spacing w:val="0"/>
          <w:w w:val="100"/>
          <w:position w:val="0"/>
          <w:sz w:val="24"/>
          <w:szCs w:val="24"/>
          <w:u w:val="none" w:color="auto"/>
        </w:rPr>
        <w:t>帷幕灌浆</w:t>
      </w:r>
      <w:r>
        <w:rPr>
          <w:rFonts w:hint="default" w:ascii="Times New Roman" w:hAnsi="Times New Roman" w:eastAsia="宋体" w:cs="Times New Roman"/>
          <w:color w:val="auto"/>
          <w:spacing w:val="0"/>
          <w:w w:val="100"/>
          <w:position w:val="0"/>
          <w:sz w:val="24"/>
          <w:szCs w:val="24"/>
          <w:u w:val="none" w:color="auto"/>
          <w:lang w:eastAsia="zh-CN"/>
        </w:rPr>
        <w:t>废</w:t>
      </w:r>
      <w:r>
        <w:rPr>
          <w:rFonts w:hint="default" w:ascii="Times New Roman" w:hAnsi="Times New Roman" w:eastAsia="瀹嬩綋" w:cs="Times New Roman"/>
          <w:color w:val="000000"/>
          <w:kern w:val="0"/>
          <w:sz w:val="24"/>
          <w:szCs w:val="24"/>
          <w:lang w:val="en-US" w:eastAsia="zh-CN" w:bidi="ar"/>
        </w:rPr>
        <w:t>泥浆在泥浆池干化后，也会产生部分污泥。</w:t>
      </w:r>
      <w:r>
        <w:rPr>
          <w:rFonts w:hint="default" w:ascii="Times New Roman" w:hAnsi="Times New Roman" w:eastAsia="宋体" w:cs="Times New Roman"/>
          <w:sz w:val="24"/>
          <w:szCs w:val="24"/>
          <w:lang w:val="en-US" w:eastAsia="zh-CN"/>
        </w:rPr>
        <w:t>施工期污泥产生量约为15t。</w:t>
      </w:r>
    </w:p>
    <w:p w14:paraId="68B1B507">
      <w:pPr>
        <w:keepNext w:val="0"/>
        <w:keepLines w:val="0"/>
        <w:pageBreakBefore w:val="0"/>
        <w:widowControl w:val="0"/>
        <w:kinsoku/>
        <w:wordWrap/>
        <w:overflowPunct/>
        <w:topLinePunct w:val="0"/>
        <w:autoSpaceDE/>
        <w:autoSpaceDN/>
        <w:bidi w:val="0"/>
        <w:adjustRightInd/>
        <w:snapToGrid/>
        <w:spacing w:line="360" w:lineRule="auto"/>
        <w:ind w:left="0" w:right="0" w:firstLine="481"/>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val="en-US" w:eastAsia="zh-CN"/>
        </w:rPr>
        <w:t>5</w:t>
      </w:r>
      <w:r>
        <w:rPr>
          <w:rFonts w:hint="default" w:ascii="Times New Roman" w:hAnsi="Times New Roman" w:eastAsia="宋体" w:cs="Times New Roman"/>
          <w:color w:val="auto"/>
          <w:spacing w:val="0"/>
          <w:w w:val="100"/>
          <w:position w:val="0"/>
          <w:sz w:val="24"/>
          <w:szCs w:val="24"/>
          <w:u w:val="none" w:color="auto"/>
          <w:lang w:eastAsia="zh-CN"/>
        </w:rPr>
        <w:t>）废油</w:t>
      </w:r>
    </w:p>
    <w:p w14:paraId="3858E361">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val="en-US" w:eastAsia="zh-CN"/>
        </w:rPr>
        <w:t xml:space="preserve">项目机械设备冲洗废水中石油含量较高，经油水分离池处理后会产生废油，废机油产生量约为0.5t/a。根据《国家危险废物名录》（2021年版），隔油沉淀池废油属于“HW08 废矿物油与含矿物油废物”中的“900-210-08 含油废水处理中隔油、气浮、沉淀等处理过程中产生的浮油、浮渣和污泥”，应委托有资质单位处理。 </w:t>
      </w:r>
    </w:p>
    <w:p w14:paraId="40718DBE">
      <w:pPr>
        <w:keepNext w:val="0"/>
        <w:keepLines w:val="0"/>
        <w:pageBreakBefore w:val="0"/>
        <w:widowControl w:val="0"/>
        <w:kinsoku/>
        <w:wordWrap/>
        <w:overflowPunct/>
        <w:topLinePunct w:val="0"/>
        <w:autoSpaceDE/>
        <w:autoSpaceDN/>
        <w:bidi w:val="0"/>
        <w:adjustRightInd/>
        <w:snapToGrid/>
        <w:spacing w:line="360" w:lineRule="auto"/>
        <w:ind w:left="0" w:right="0" w:firstLine="481"/>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val="en-US" w:eastAsia="zh-CN"/>
        </w:rPr>
        <w:t>6</w:t>
      </w:r>
      <w:r>
        <w:rPr>
          <w:rFonts w:hint="default" w:ascii="Times New Roman" w:hAnsi="Times New Roman" w:eastAsia="宋体" w:cs="Times New Roman"/>
          <w:color w:val="auto"/>
          <w:spacing w:val="0"/>
          <w:w w:val="100"/>
          <w:position w:val="0"/>
          <w:sz w:val="24"/>
          <w:szCs w:val="24"/>
          <w:u w:val="none" w:color="auto"/>
          <w:lang w:eastAsia="zh-CN"/>
        </w:rPr>
        <w:t>）施工人员生活垃圾</w:t>
      </w:r>
    </w:p>
    <w:p w14:paraId="419A6A17">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本项目施工高峰期入场人员约有</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300</w:t>
      </w:r>
      <w:r>
        <w:rPr>
          <w:rFonts w:hint="default" w:ascii="Times New Roman" w:hAnsi="Times New Roman" w:eastAsia="宋体" w:cs="Times New Roman"/>
          <w:caps w:val="0"/>
          <w:smallCaps w:val="0"/>
          <w:color w:val="auto"/>
          <w:spacing w:val="0"/>
          <w:w w:val="100"/>
          <w:kern w:val="0"/>
          <w:position w:val="0"/>
          <w:sz w:val="24"/>
          <w:szCs w:val="24"/>
          <w:u w:val="none" w:color="auto"/>
        </w:rPr>
        <w:t>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约20人住宿，住宿</w:t>
      </w:r>
      <w:r>
        <w:rPr>
          <w:rFonts w:hint="default" w:ascii="Times New Roman" w:hAnsi="Times New Roman" w:eastAsia="宋体" w:cs="Times New Roman"/>
          <w:caps w:val="0"/>
          <w:smallCaps w:val="0"/>
          <w:color w:val="auto"/>
          <w:spacing w:val="0"/>
          <w:w w:val="100"/>
          <w:kern w:val="0"/>
          <w:position w:val="0"/>
          <w:sz w:val="24"/>
          <w:szCs w:val="24"/>
          <w:u w:val="none" w:color="auto"/>
        </w:rPr>
        <w:t>施工人员生活垃圾按每人每天生活垃圾产生量按1.0kg/d计，</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非住宿</w:t>
      </w:r>
      <w:r>
        <w:rPr>
          <w:rFonts w:hint="default" w:ascii="Times New Roman" w:hAnsi="Times New Roman" w:eastAsia="宋体" w:cs="Times New Roman"/>
          <w:caps w:val="0"/>
          <w:smallCaps w:val="0"/>
          <w:color w:val="auto"/>
          <w:spacing w:val="0"/>
          <w:w w:val="100"/>
          <w:kern w:val="0"/>
          <w:position w:val="0"/>
          <w:sz w:val="24"/>
          <w:szCs w:val="24"/>
          <w:u w:val="none" w:color="auto"/>
        </w:rPr>
        <w:t>施工人员生活垃圾按每人每天生活垃圾产生量按</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0.5</w:t>
      </w:r>
      <w:r>
        <w:rPr>
          <w:rFonts w:hint="default" w:ascii="Times New Roman" w:hAnsi="Times New Roman" w:eastAsia="宋体" w:cs="Times New Roman"/>
          <w:caps w:val="0"/>
          <w:smallCaps w:val="0"/>
          <w:color w:val="auto"/>
          <w:spacing w:val="0"/>
          <w:w w:val="100"/>
          <w:kern w:val="0"/>
          <w:position w:val="0"/>
          <w:sz w:val="24"/>
          <w:szCs w:val="24"/>
          <w:u w:val="none" w:color="auto"/>
        </w:rPr>
        <w:t>kg/d计，</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则生活垃圾</w:t>
      </w:r>
      <w:r>
        <w:rPr>
          <w:rFonts w:hint="default" w:ascii="Times New Roman" w:hAnsi="Times New Roman" w:eastAsia="宋体" w:cs="Times New Roman"/>
          <w:caps w:val="0"/>
          <w:smallCaps w:val="0"/>
          <w:color w:val="auto"/>
          <w:spacing w:val="0"/>
          <w:w w:val="100"/>
          <w:kern w:val="0"/>
          <w:position w:val="0"/>
          <w:sz w:val="24"/>
          <w:szCs w:val="24"/>
          <w:u w:val="none" w:color="auto"/>
        </w:rPr>
        <w:t>产生量为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0.16t</w:t>
      </w:r>
      <w:r>
        <w:rPr>
          <w:rFonts w:hint="default" w:ascii="Times New Roman" w:hAnsi="Times New Roman" w:eastAsia="宋体" w:cs="Times New Roman"/>
          <w:caps w:val="0"/>
          <w:smallCaps w:val="0"/>
          <w:color w:val="auto"/>
          <w:spacing w:val="0"/>
          <w:w w:val="100"/>
          <w:kern w:val="0"/>
          <w:position w:val="0"/>
          <w:sz w:val="24"/>
          <w:szCs w:val="24"/>
          <w:u w:val="none" w:color="auto"/>
        </w:rPr>
        <w:t>/d</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生活垃圾</w:t>
      </w:r>
      <w:r>
        <w:rPr>
          <w:rFonts w:hint="default" w:ascii="Times New Roman" w:hAnsi="Times New Roman" w:eastAsia="宋体" w:cs="Times New Roman"/>
          <w:caps w:val="0"/>
          <w:smallCaps w:val="0"/>
          <w:color w:val="auto"/>
          <w:spacing w:val="0"/>
          <w:w w:val="100"/>
          <w:kern w:val="0"/>
          <w:position w:val="0"/>
          <w:sz w:val="24"/>
          <w:szCs w:val="24"/>
          <w:u w:val="none" w:color="auto"/>
        </w:rPr>
        <w:t>定点堆放，定期清运处理。</w:t>
      </w:r>
    </w:p>
    <w:bookmarkEnd w:id="112"/>
    <w:bookmarkEnd w:id="113"/>
    <w:p w14:paraId="36C6B21B">
      <w:pPr>
        <w:pStyle w:val="4"/>
        <w:bidi w:val="0"/>
        <w:rPr>
          <w:rFonts w:hint="default" w:ascii="Times New Roman" w:hAnsi="Times New Roman" w:cs="Times New Roman"/>
        </w:rPr>
      </w:pPr>
      <w:bookmarkStart w:id="114" w:name="_Toc23835"/>
      <w:r>
        <w:rPr>
          <w:rFonts w:hint="default" w:ascii="Times New Roman" w:hAnsi="Times New Roman" w:cs="Times New Roman"/>
        </w:rPr>
        <w:t>营运期污染源分析</w:t>
      </w:r>
      <w:bookmarkEnd w:id="114"/>
    </w:p>
    <w:p w14:paraId="0DC42C95">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bookmarkStart w:id="115" w:name="bookmark308"/>
      <w:bookmarkStart w:id="116" w:name="bookmark309"/>
      <w:r>
        <w:rPr>
          <w:rFonts w:hint="default" w:ascii="Times New Roman" w:hAnsi="Times New Roman" w:eastAsia="宋体" w:cs="Times New Roman"/>
          <w:caps w:val="0"/>
          <w:smallCaps w:val="0"/>
          <w:color w:val="auto"/>
          <w:spacing w:val="0"/>
          <w:w w:val="100"/>
          <w:kern w:val="0"/>
          <w:position w:val="0"/>
          <w:sz w:val="24"/>
          <w:szCs w:val="24"/>
          <w:u w:val="none" w:color="auto"/>
        </w:rPr>
        <w:t>本工程为水库除险加固工程，</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营运期主要污染物为水库管理人员产生的三废，以及设备运行噪声。</w:t>
      </w:r>
      <w:r>
        <w:rPr>
          <w:rFonts w:hint="default" w:ascii="Times New Roman" w:hAnsi="Times New Roman" w:eastAsia="宋体" w:cs="Times New Roman"/>
          <w:caps w:val="0"/>
          <w:smallCaps w:val="0"/>
          <w:color w:val="auto"/>
          <w:spacing w:val="0"/>
          <w:w w:val="100"/>
          <w:kern w:val="0"/>
          <w:position w:val="0"/>
          <w:sz w:val="24"/>
          <w:szCs w:val="24"/>
          <w:u w:val="none" w:color="auto"/>
        </w:rPr>
        <w:t>工程完成后，</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运行期不新增工程管理人员，生活污水、食堂油烟、生活垃圾等均不新增。</w:t>
      </w:r>
    </w:p>
    <w:p w14:paraId="57CCE613">
      <w:pPr>
        <w:keepNext w:val="0"/>
        <w:keepLines w:val="0"/>
        <w:pageBreakBefore w:val="0"/>
        <w:widowControl w:val="0"/>
        <w:numPr>
          <w:ilvl w:val="0"/>
          <w:numId w:val="13"/>
        </w:numPr>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生活污水</w:t>
      </w:r>
    </w:p>
    <w:p w14:paraId="56CE6968">
      <w:pPr>
        <w:keepNext w:val="0"/>
        <w:keepLines w:val="0"/>
        <w:pageBreakBefore w:val="0"/>
        <w:widowControl w:val="0"/>
        <w:kinsoku/>
        <w:wordWrap w:val="0"/>
        <w:overflowPunct/>
        <w:topLinePunct/>
        <w:autoSpaceDE/>
        <w:autoSpaceDN/>
        <w:bidi w:val="0"/>
        <w:adjustRightInd w:val="0"/>
        <w:snapToGrid/>
        <w:spacing w:line="500" w:lineRule="exact"/>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营运期水库管理人员8人，不新增人员，</w:t>
      </w:r>
      <w:r>
        <w:rPr>
          <w:rFonts w:hint="default" w:ascii="Times New Roman" w:hAnsi="Times New Roman" w:eastAsia="宋体" w:cs="Times New Roman"/>
          <w:caps w:val="0"/>
          <w:smallCaps w:val="0"/>
          <w:color w:val="auto"/>
          <w:spacing w:val="0"/>
          <w:w w:val="100"/>
          <w:kern w:val="0"/>
          <w:position w:val="0"/>
          <w:sz w:val="24"/>
          <w:szCs w:val="24"/>
          <w:u w:val="none" w:color="auto"/>
        </w:rPr>
        <w:t>生活用水按</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140</w:t>
      </w:r>
      <w:r>
        <w:rPr>
          <w:rFonts w:hint="default" w:ascii="Times New Roman" w:hAnsi="Times New Roman" w:eastAsia="宋体" w:cs="Times New Roman"/>
          <w:caps w:val="0"/>
          <w:smallCaps w:val="0"/>
          <w:color w:val="auto"/>
          <w:spacing w:val="0"/>
          <w:w w:val="100"/>
          <w:kern w:val="0"/>
          <w:position w:val="0"/>
          <w:sz w:val="24"/>
          <w:szCs w:val="24"/>
          <w:u w:val="none" w:color="auto"/>
        </w:rPr>
        <w:t>L/人·d计，</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则生活用水量为1.12</w:t>
      </w:r>
      <w:r>
        <w:rPr>
          <w:rFonts w:hint="default" w:ascii="Times New Roman" w:hAnsi="Times New Roman" w:eastAsia="宋体" w:cs="Times New Roman"/>
          <w:caps w:val="0"/>
          <w:smallCaps w:val="0"/>
          <w:color w:val="auto"/>
          <w:spacing w:val="0"/>
          <w:w w:val="100"/>
          <w:kern w:val="0"/>
          <w:position w:val="0"/>
          <w:sz w:val="24"/>
          <w:szCs w:val="24"/>
          <w:u w:val="none" w:color="auto"/>
        </w:rPr>
        <w:t>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rPr>
        <w:t>/d</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生活污水量按用水量的80%，生活污水产生量为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0.896</w:t>
      </w:r>
      <w:r>
        <w:rPr>
          <w:rFonts w:hint="default" w:ascii="Times New Roman" w:hAnsi="Times New Roman" w:eastAsia="宋体" w:cs="Times New Roman"/>
          <w:caps w:val="0"/>
          <w:smallCaps w:val="0"/>
          <w:color w:val="auto"/>
          <w:spacing w:val="0"/>
          <w:w w:val="100"/>
          <w:kern w:val="0"/>
          <w:position w:val="0"/>
          <w:sz w:val="24"/>
          <w:szCs w:val="24"/>
          <w:u w:val="none" w:color="auto"/>
        </w:rPr>
        <w:t>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rPr>
        <w:t>/d</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olor w:val="000000"/>
          <w:kern w:val="0"/>
          <w:sz w:val="24"/>
          <w:szCs w:val="24"/>
          <w:lang w:val="en-US" w:eastAsia="zh-CN" w:bidi="ar"/>
        </w:rPr>
        <w:t>生活污水主要污染物为COD、BOD</w:t>
      </w:r>
      <w:r>
        <w:rPr>
          <w:rFonts w:hint="default" w:ascii="Times New Roman" w:hAnsi="Times New Roman" w:eastAsia="宋体" w:cs="Times New Roman"/>
          <w:color w:val="000000"/>
          <w:kern w:val="0"/>
          <w:sz w:val="15"/>
          <w:szCs w:val="15"/>
          <w:lang w:val="en-US" w:eastAsia="zh-CN" w:bidi="ar"/>
        </w:rPr>
        <w:t>5</w:t>
      </w:r>
      <w:r>
        <w:rPr>
          <w:rFonts w:hint="default" w:ascii="Times New Roman" w:hAnsi="Times New Roman" w:eastAsia="宋体" w:cs="Times New Roman"/>
          <w:color w:val="000000"/>
          <w:kern w:val="0"/>
          <w:sz w:val="24"/>
          <w:szCs w:val="24"/>
          <w:lang w:val="en-US" w:eastAsia="zh-CN" w:bidi="ar"/>
        </w:rPr>
        <w:t>、氨氮、SS等，浓度约为200mg/L、100mg/L、20mg/L、100mg/L。</w:t>
      </w:r>
    </w:p>
    <w:p w14:paraId="548895CC">
      <w:pPr>
        <w:keepNext w:val="0"/>
        <w:keepLines w:val="0"/>
        <w:pageBreakBefore w:val="0"/>
        <w:widowControl w:val="0"/>
        <w:numPr>
          <w:ilvl w:val="0"/>
          <w:numId w:val="0"/>
        </w:numPr>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（2）食堂油烟</w:t>
      </w:r>
    </w:p>
    <w:p w14:paraId="3DD20EB8">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运营期水库管理人员不变，不新增废气，运营期主要废气污染源为食堂油烟。管理房食堂油烟经抽油烟机处理后达标排放，排放浓度＜2mg/m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w:t>
      </w:r>
    </w:p>
    <w:p w14:paraId="542C5C35">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（3）噪声</w:t>
      </w:r>
    </w:p>
    <w:p w14:paraId="76A235C0">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运营期主要为启闭机、备用发电机等设备运行产生的噪声，噪声源在80～85dB（A）。</w:t>
      </w:r>
    </w:p>
    <w:p w14:paraId="2203111C">
      <w:pPr>
        <w:keepNext w:val="0"/>
        <w:keepLines w:val="0"/>
        <w:pageBreakBefore w:val="0"/>
        <w:widowControl w:val="0"/>
        <w:numPr>
          <w:ilvl w:val="0"/>
          <w:numId w:val="0"/>
        </w:numPr>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（4）生活垃圾</w:t>
      </w:r>
    </w:p>
    <w:p w14:paraId="245EB966">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营运期水库管理人员8人，不新增人员，</w:t>
      </w:r>
      <w:r>
        <w:rPr>
          <w:rFonts w:hint="default" w:ascii="Times New Roman" w:hAnsi="Times New Roman" w:eastAsia="宋体" w:cs="Times New Roman"/>
          <w:caps w:val="0"/>
          <w:smallCaps w:val="0"/>
          <w:color w:val="auto"/>
          <w:spacing w:val="0"/>
          <w:w w:val="100"/>
          <w:kern w:val="0"/>
          <w:position w:val="0"/>
          <w:sz w:val="24"/>
          <w:szCs w:val="24"/>
          <w:u w:val="none" w:color="auto"/>
        </w:rPr>
        <w:t>生活</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垃圾产生量按</w:t>
      </w:r>
      <w:r>
        <w:rPr>
          <w:rFonts w:hint="default" w:ascii="Times New Roman" w:hAnsi="Times New Roman" w:eastAsia="宋体" w:cs="Times New Roman"/>
          <w:caps w:val="0"/>
          <w:smallCaps w:val="0"/>
          <w:color w:val="auto"/>
          <w:spacing w:val="0"/>
          <w:w w:val="100"/>
          <w:kern w:val="0"/>
          <w:position w:val="0"/>
          <w:sz w:val="24"/>
          <w:szCs w:val="24"/>
          <w:u w:val="none" w:color="auto"/>
        </w:rPr>
        <w:t>1.0kg/d计</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，则生活垃圾产生量为0.008t</w:t>
      </w:r>
      <w:r>
        <w:rPr>
          <w:rFonts w:hint="default" w:ascii="Times New Roman" w:hAnsi="Times New Roman" w:eastAsia="宋体" w:cs="Times New Roman"/>
          <w:caps w:val="0"/>
          <w:smallCaps w:val="0"/>
          <w:color w:val="auto"/>
          <w:spacing w:val="0"/>
          <w:w w:val="100"/>
          <w:kern w:val="0"/>
          <w:position w:val="0"/>
          <w:sz w:val="24"/>
          <w:szCs w:val="24"/>
          <w:u w:val="none" w:color="auto"/>
        </w:rPr>
        <w:t>/d</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，统一收集后交由环卫部门清运处理。</w:t>
      </w:r>
    </w:p>
    <w:p w14:paraId="586F6CA0">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p>
    <w:p w14:paraId="6703030E">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p>
    <w:bookmarkEnd w:id="115"/>
    <w:bookmarkEnd w:id="116"/>
    <w:p w14:paraId="1228FA77">
      <w:pPr>
        <w:keepNext w:val="0"/>
        <w:keepLines w:val="0"/>
        <w:pageBreakBefore w:val="0"/>
        <w:widowControl w:val="0"/>
        <w:kinsoku w:val="0"/>
        <w:wordWrap w:val="0"/>
        <w:overflowPunct/>
        <w:topLinePunct/>
        <w:autoSpaceDE/>
        <w:autoSpaceDN/>
        <w:bidi w:val="0"/>
        <w:snapToGrid/>
        <w:spacing w:line="360" w:lineRule="auto"/>
        <w:ind w:left="0"/>
        <w:textAlignment w:val="auto"/>
        <w:outlineLvl w:val="0"/>
        <w:rPr>
          <w:rFonts w:hint="default" w:ascii="Times New Roman" w:hAnsi="Times New Roman" w:eastAsia="宋体" w:cs="Times New Roman"/>
          <w:b/>
          <w:caps w:val="0"/>
          <w:smallCaps w:val="0"/>
          <w:color w:val="auto"/>
          <w:spacing w:val="0"/>
          <w:w w:val="100"/>
          <w:position w:val="0"/>
          <w:sz w:val="32"/>
          <w:szCs w:val="32"/>
          <w:u w:val="none" w:color="auto"/>
        </w:rPr>
        <w:sectPr>
          <w:headerReference r:id="rId12" w:type="default"/>
          <w:footerReference r:id="rId13" w:type="default"/>
          <w:pgSz w:w="11906" w:h="16838"/>
          <w:pgMar w:top="1440" w:right="1803" w:bottom="1440" w:left="1803" w:header="851" w:footer="850" w:gutter="0"/>
          <w:pgBorders>
            <w:top w:val="none" w:sz="0" w:space="0"/>
            <w:left w:val="none" w:sz="0" w:space="0"/>
            <w:bottom w:val="none" w:sz="0" w:space="0"/>
            <w:right w:val="none" w:sz="0" w:space="0"/>
          </w:pgBorders>
          <w:pgNumType w:fmt="decimal"/>
          <w:cols w:space="425" w:num="1"/>
          <w:docGrid w:type="lines" w:linePitch="312" w:charSpace="0"/>
        </w:sectPr>
      </w:pPr>
    </w:p>
    <w:p w14:paraId="6E04B7D0">
      <w:pPr>
        <w:pStyle w:val="2"/>
        <w:bidi w:val="0"/>
        <w:rPr>
          <w:rFonts w:hint="default" w:ascii="Times New Roman" w:hAnsi="Times New Roman" w:cs="Times New Roman"/>
        </w:rPr>
      </w:pPr>
      <w:bookmarkStart w:id="117" w:name="_Toc9848"/>
      <w:r>
        <w:rPr>
          <w:rFonts w:hint="default" w:ascii="Times New Roman" w:hAnsi="Times New Roman" w:cs="Times New Roman"/>
        </w:rPr>
        <w:t>环境现状调查与评价</w:t>
      </w:r>
      <w:bookmarkEnd w:id="117"/>
    </w:p>
    <w:p w14:paraId="2917BA69">
      <w:pPr>
        <w:pStyle w:val="3"/>
        <w:bidi w:val="0"/>
        <w:rPr>
          <w:rFonts w:hint="default" w:ascii="Times New Roman" w:hAnsi="Times New Roman" w:cs="Times New Roman"/>
        </w:rPr>
      </w:pPr>
      <w:bookmarkStart w:id="118" w:name="_Toc21974"/>
      <w:r>
        <w:rPr>
          <w:rFonts w:hint="default" w:ascii="Times New Roman" w:hAnsi="Times New Roman" w:cs="Times New Roman"/>
        </w:rPr>
        <w:t>自然环境概况</w:t>
      </w:r>
      <w:bookmarkEnd w:id="118"/>
    </w:p>
    <w:p w14:paraId="7BFA161A">
      <w:pPr>
        <w:pStyle w:val="4"/>
        <w:bidi w:val="0"/>
        <w:rPr>
          <w:rFonts w:hint="default" w:ascii="Times New Roman" w:hAnsi="Times New Roman" w:cs="Times New Roman"/>
          <w:lang w:eastAsia="zh-CN"/>
        </w:rPr>
      </w:pPr>
      <w:bookmarkStart w:id="119" w:name="_Toc16714"/>
      <w:r>
        <w:rPr>
          <w:rFonts w:hint="default" w:ascii="Times New Roman" w:hAnsi="Times New Roman" w:cs="Times New Roman"/>
          <w:lang w:eastAsia="zh-CN"/>
        </w:rPr>
        <w:t>流域概况</w:t>
      </w:r>
      <w:bookmarkEnd w:id="119"/>
    </w:p>
    <w:p w14:paraId="5AD6DDF2">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华容县大荆河全长16.7km，位于民生垸内，起讫东山水库-大荆湖，白马港(河)是大荆湖水系的主要支流之一，大荆湖属于内陆淡水湖，位于湖南东北部，其湖水流入长江。</w:t>
      </w:r>
    </w:p>
    <w:p w14:paraId="6D21DB42">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东山水库位于白马港(河)的中上游，坝址坐落在华容县东山镇仙鹅寺村。水库距华容县城25km，距S202省道3.5km。经1：1万大比例尺地图复核后，其坝址控制集雨面积13.3km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，另有外引集雨面积1.19km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，坝址以上干流长度5.28km，干流平均坡降43.1%。</w:t>
      </w:r>
    </w:p>
    <w:p w14:paraId="5A79B1BD">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东山水库水位据测绘专业提供的信息，对其高程系统进行变更，原高程系统为相对高程系统，统一减少2.7m转换成1985国家高程基准。水库正常蓄水位67.5m，相应库容960.59万m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，死水位48.3m，死库容92.0万m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，校核洪水位68.70m，总库容1054.5万m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。东山水库是一座以灌溉(设计灌溉面积3.1万亩)为主，兼有防洪(保护下游人口2.5万人)、供水(年供水量96万m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)、养殖等综合效益的中型水利工程，其相对位置见图3.1-1。</w:t>
      </w:r>
    </w:p>
    <w:p w14:paraId="4B1E2DC1">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东山水库上游另有高山、战备两水库。高山水库修建于1955年，位于湖南省华容县东山镇平垒村境内，属长江水系，大坝距离平垒村仅lkm，距华容县城约32km，工程区附近有公路通达华容县城，对外交通条件一般。水库控制流域面积1.52k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，干流长度1.46km，平均坡降125%，该工程是一座以灌溉为主，兼防洪、抗旱、调蓄、养殖等综合效益的小(II)型水库工程。战备水库建成于1969年，坝址以上控制集雨面积1.37km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，干流长2.06km，干流平均坡降38‰，是一座以灌溉为主，兼顾防洪、养殖等综合效益的小(II)型水利工程。</w:t>
      </w:r>
    </w:p>
    <w:p w14:paraId="25BFF626">
      <w:pPr>
        <w:shd w:val="clear" w:color="auto" w:fill="FFFFFF"/>
        <w:adjustRightInd w:val="0"/>
        <w:snapToGrid w:val="0"/>
        <w:spacing w:line="480" w:lineRule="atLeast"/>
        <w:ind w:left="0" w:leftChars="0" w:firstLine="0" w:firstLineChars="0"/>
        <w:jc w:val="both"/>
        <w:rPr>
          <w:rFonts w:hint="default" w:ascii="Times New Roman" w:hAnsi="Times New Roman" w:cs="Times New Roman"/>
          <w:spacing w:val="0"/>
          <w:w w:val="100"/>
          <w:position w:val="0"/>
        </w:rPr>
      </w:pPr>
      <w:r>
        <w:rPr>
          <w:rFonts w:hint="default" w:ascii="Times New Roman" w:hAnsi="Times New Roman" w:cs="Times New Roman"/>
          <w:sz w:val="21"/>
        </w:rPr>
        <mc:AlternateContent>
          <mc:Choice Requires="wps">
            <w:drawing>
              <wp:anchor distT="0" distB="0" distL="114300" distR="114300" simplePos="0" relativeHeight="251667456" behindDoc="0" locked="0" layoutInCell="1" allowOverlap="1">
                <wp:simplePos x="0" y="0"/>
                <wp:positionH relativeFrom="column">
                  <wp:posOffset>1807210</wp:posOffset>
                </wp:positionH>
                <wp:positionV relativeFrom="paragraph">
                  <wp:posOffset>1149985</wp:posOffset>
                </wp:positionV>
                <wp:extent cx="605790" cy="213995"/>
                <wp:effectExtent l="6350" t="6350" r="515620" b="282575"/>
                <wp:wrapNone/>
                <wp:docPr id="36" name="矩形标注 36"/>
                <wp:cNvGraphicFramePr/>
                <a:graphic xmlns:a="http://schemas.openxmlformats.org/drawingml/2006/main">
                  <a:graphicData uri="http://schemas.microsoft.com/office/word/2010/wordprocessingShape">
                    <wps:wsp>
                      <wps:cNvSpPr/>
                      <wps:spPr>
                        <a:xfrm>
                          <a:off x="3275965" y="1826895"/>
                          <a:ext cx="605790" cy="213995"/>
                        </a:xfrm>
                        <a:prstGeom prst="wedgeRectCallout">
                          <a:avLst>
                            <a:gd name="adj1" fmla="val 126100"/>
                            <a:gd name="adj2" fmla="val 168694"/>
                          </a:avLst>
                        </a:prstGeom>
                        <a:solidFill>
                          <a:schemeClr val="bg2">
                            <a:alpha val="76000"/>
                          </a:scheme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E8EB551">
                            <w:pPr>
                              <w:jc w:val="center"/>
                              <w:rPr>
                                <w:rFonts w:hint="eastAsia" w:eastAsiaTheme="minorEastAsia"/>
                                <w:color w:val="FF0000"/>
                                <w:sz w:val="18"/>
                                <w:szCs w:val="18"/>
                                <w:lang w:eastAsia="zh-CN"/>
                              </w:rPr>
                            </w:pPr>
                            <w:r>
                              <w:rPr>
                                <w:rFonts w:hint="eastAsia"/>
                                <w:color w:val="FF0000"/>
                                <w:sz w:val="18"/>
                                <w:szCs w:val="18"/>
                                <w:lang w:eastAsia="zh-CN"/>
                              </w:rPr>
                              <w:t>东山水库</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142.3pt;margin-top:90.55pt;height:16.85pt;width:47.7pt;z-index:251667456;v-text-anchor:middle;mso-width-relative:page;mso-height-relative:page;" fillcolor="#E7E6E6 [3214]" filled="t" stroked="t" coordsize="21600,21600" o:gfxdata="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DG392c1wAAAAsB&#10;AAAPAAAAAAAAAAEAIAAAACIAAABkcnMvZG93bnJldi54bWxQSwECFAAUAAAACACHTuJAeK3VkscC&#10;AACCBQAADgAAAAAAAAABACAAAAAmAQAAZHJzL2Uyb0RvYy54bWxQSwUGAAAAAAYABgBZAQAAXwYA&#10;AAAA&#10;" adj="38038,47238">
                <v:fill on="t" opacity="49807f" focussize="0,0"/>
                <v:stroke weight="1pt" color="#FF0000 [2404]" miterlimit="8" joinstyle="miter"/>
                <v:imagedata o:title=""/>
                <o:lock v:ext="edit" aspectratio="f"/>
                <v:textbox inset="0mm,0mm,0mm,0mm">
                  <w:txbxContent>
                    <w:p w14:paraId="7E8EB551">
                      <w:pPr>
                        <w:jc w:val="center"/>
                        <w:rPr>
                          <w:rFonts w:hint="eastAsia" w:eastAsiaTheme="minorEastAsia"/>
                          <w:color w:val="FF0000"/>
                          <w:sz w:val="18"/>
                          <w:szCs w:val="18"/>
                          <w:lang w:eastAsia="zh-CN"/>
                        </w:rPr>
                      </w:pPr>
                      <w:r>
                        <w:rPr>
                          <w:rFonts w:hint="eastAsia"/>
                          <w:color w:val="FF0000"/>
                          <w:sz w:val="18"/>
                          <w:szCs w:val="18"/>
                          <w:lang w:eastAsia="zh-CN"/>
                        </w:rPr>
                        <w:t>东山水库</w:t>
                      </w:r>
                    </w:p>
                  </w:txbxContent>
                </v:textbox>
              </v:shape>
            </w:pict>
          </mc:Fallback>
        </mc:AlternateContent>
      </w:r>
      <w:r>
        <w:rPr>
          <w:rFonts w:hint="default" w:ascii="Times New Roman" w:hAnsi="Times New Roman" w:cs="Times New Roman"/>
        </w:rPr>
        <w:drawing>
          <wp:inline distT="0" distB="0" distL="114300" distR="114300">
            <wp:extent cx="5271770" cy="3695700"/>
            <wp:effectExtent l="9525" t="9525" r="22225" b="13335"/>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47"/>
                    <a:stretch>
                      <a:fillRect/>
                    </a:stretch>
                  </pic:blipFill>
                  <pic:spPr>
                    <a:xfrm>
                      <a:off x="0" y="0"/>
                      <a:ext cx="5271770" cy="3695700"/>
                    </a:xfrm>
                    <a:prstGeom prst="rect">
                      <a:avLst/>
                    </a:prstGeom>
                    <a:noFill/>
                    <a:ln>
                      <a:solidFill>
                        <a:schemeClr val="tx1"/>
                      </a:solidFill>
                    </a:ln>
                  </pic:spPr>
                </pic:pic>
              </a:graphicData>
            </a:graphic>
          </wp:inline>
        </w:drawing>
      </w:r>
    </w:p>
    <w:p w14:paraId="5ACDDA37">
      <w:pPr>
        <w:pStyle w:val="47"/>
        <w:jc w:val="center"/>
        <w:rPr>
          <w:rFonts w:hint="default" w:ascii="Times New Roman" w:hAnsi="Times New Roman" w:eastAsia="宋体" w:cs="Times New Roman"/>
          <w:b/>
          <w:bCs/>
          <w:spacing w:val="0"/>
          <w:w w:val="100"/>
          <w:position w:val="0"/>
          <w:sz w:val="24"/>
          <w:szCs w:val="24"/>
          <w:lang w:eastAsia="zh-CN"/>
        </w:rPr>
      </w:pPr>
      <w:r>
        <w:rPr>
          <w:rFonts w:hint="default" w:ascii="Times New Roman" w:hAnsi="Times New Roman" w:eastAsia="宋体" w:cs="Times New Roman"/>
          <w:b/>
          <w:bCs/>
          <w:spacing w:val="0"/>
          <w:w w:val="100"/>
          <w:position w:val="0"/>
          <w:sz w:val="24"/>
          <w:szCs w:val="24"/>
          <w:lang w:eastAsia="zh-CN"/>
        </w:rPr>
        <w:t>图</w:t>
      </w:r>
      <w:r>
        <w:rPr>
          <w:rFonts w:hint="default" w:ascii="Times New Roman" w:hAnsi="Times New Roman" w:eastAsia="宋体" w:cs="Times New Roman"/>
          <w:b/>
          <w:bCs/>
          <w:spacing w:val="0"/>
          <w:w w:val="100"/>
          <w:position w:val="0"/>
          <w:sz w:val="24"/>
          <w:szCs w:val="24"/>
          <w:lang w:val="en-US" w:eastAsia="zh-CN"/>
        </w:rPr>
        <w:t xml:space="preserve">3.1-1  </w:t>
      </w:r>
      <w:r>
        <w:rPr>
          <w:rFonts w:hint="default" w:ascii="Times New Roman" w:hAnsi="Times New Roman" w:eastAsia="宋体" w:cs="Times New Roman"/>
          <w:b/>
          <w:bCs/>
          <w:spacing w:val="0"/>
          <w:w w:val="100"/>
          <w:position w:val="0"/>
          <w:sz w:val="24"/>
          <w:szCs w:val="24"/>
          <w:lang w:eastAsia="zh-CN"/>
        </w:rPr>
        <w:t>东山水库流域图</w:t>
      </w:r>
    </w:p>
    <w:p w14:paraId="387AEEAB">
      <w:pPr>
        <w:pStyle w:val="4"/>
        <w:bidi w:val="0"/>
        <w:rPr>
          <w:rFonts w:hint="default" w:ascii="Times New Roman" w:hAnsi="Times New Roman" w:cs="Times New Roman"/>
          <w:lang w:eastAsia="zh-CN"/>
        </w:rPr>
      </w:pPr>
      <w:bookmarkStart w:id="120" w:name="_Toc32373"/>
      <w:r>
        <w:rPr>
          <w:rFonts w:hint="default" w:ascii="Times New Roman" w:hAnsi="Times New Roman" w:cs="Times New Roman"/>
          <w:lang w:eastAsia="zh-CN"/>
        </w:rPr>
        <w:t>地理位置</w:t>
      </w:r>
      <w:bookmarkEnd w:id="120"/>
    </w:p>
    <w:p w14:paraId="2AE1428B">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东山水库大坝位于华容县东山镇仙鹅寺村，枢纽座落在大荆湖水系主支流—白马港（河）的中上游，水库距华容县城25km，距S202省道3.5km。坝址地理位置坐标：东经112°44′03″，北纬29°37′03″。项目地理位置具体见附图一。</w:t>
      </w:r>
    </w:p>
    <w:p w14:paraId="1C5E68FE">
      <w:pPr>
        <w:pStyle w:val="4"/>
        <w:bidi w:val="0"/>
        <w:rPr>
          <w:rFonts w:hint="default" w:ascii="Times New Roman" w:hAnsi="Times New Roman" w:cs="Times New Roman"/>
        </w:rPr>
      </w:pPr>
      <w:bookmarkStart w:id="121" w:name="_Toc17358"/>
      <w:r>
        <w:rPr>
          <w:rFonts w:hint="default" w:ascii="Times New Roman" w:hAnsi="Times New Roman" w:cs="Times New Roman"/>
        </w:rPr>
        <w:t>气象</w:t>
      </w:r>
      <w:bookmarkEnd w:id="121"/>
    </w:p>
    <w:p w14:paraId="7B429816">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东山水库库区属中亚热带季风湿润气候，具有“气候温和，四季分明，热量丰富，雨水充沛”的特点。根据洪山头站气象资料统计，多年平均降雨量1262.3mm，多年平均降雨天数183.1天，降雨量年内分布极不均匀，4～6月降雨量523.2mm，占全年的41.37%。</w:t>
      </w:r>
    </w:p>
    <w:p w14:paraId="6410F340">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农作物需水高峰期的7～9月多年平均降雨量仅336.6mm，只占年降雨量的26.61%。多年平均气温16.7～17.4℃，极端最低气温为零下12.6℃，极端最高气温40.0℃，无霜期273～283d，冰冻期一般从12月下旬开始至元月底结束，结冰厚度一般为5～10mm，最大积雪厚300mm。年平均日照时数为1800h。年平均蒸发量970.9mm。最大风力8级，瞬间最大风速24.5m/s。</w:t>
      </w:r>
    </w:p>
    <w:p w14:paraId="734BE72F">
      <w:pPr>
        <w:pStyle w:val="4"/>
        <w:bidi w:val="0"/>
        <w:rPr>
          <w:rFonts w:hint="default" w:ascii="Times New Roman" w:hAnsi="Times New Roman" w:cs="Times New Roman"/>
        </w:rPr>
      </w:pPr>
      <w:bookmarkStart w:id="122" w:name="_Toc19179"/>
      <w:r>
        <w:rPr>
          <w:rFonts w:hint="default" w:ascii="Times New Roman" w:hAnsi="Times New Roman" w:cs="Times New Roman"/>
        </w:rPr>
        <w:t>泥沙</w:t>
      </w:r>
      <w:bookmarkEnd w:id="122"/>
    </w:p>
    <w:p w14:paraId="3FA33D5C">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东山水库</w:t>
      </w:r>
      <w:r>
        <w:rPr>
          <w:rFonts w:hint="default" w:ascii="Times New Roman" w:hAnsi="Times New Roman" w:eastAsia="宋体" w:cs="Times New Roman"/>
          <w:caps w:val="0"/>
          <w:smallCaps w:val="0"/>
          <w:color w:val="auto"/>
          <w:spacing w:val="0"/>
          <w:w w:val="100"/>
          <w:kern w:val="0"/>
          <w:position w:val="0"/>
          <w:sz w:val="24"/>
          <w:szCs w:val="24"/>
          <w:u w:val="none" w:color="auto"/>
        </w:rPr>
        <w:t>流域上游为山区，河流平均比降大，河流泥沙主要是暴雨对地表的侵蚀冲淘形成，但流域内植被条件较好，土壤结构密实，水土流失不严重，河流含沙量较少。</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东山水库</w:t>
      </w:r>
      <w:r>
        <w:rPr>
          <w:rFonts w:hint="default" w:ascii="Times New Roman" w:hAnsi="Times New Roman" w:eastAsia="宋体" w:cs="Times New Roman"/>
          <w:caps w:val="0"/>
          <w:smallCaps w:val="0"/>
          <w:color w:val="auto"/>
          <w:spacing w:val="0"/>
          <w:w w:val="100"/>
          <w:kern w:val="0"/>
          <w:position w:val="0"/>
          <w:sz w:val="24"/>
          <w:szCs w:val="24"/>
          <w:u w:val="none" w:color="auto"/>
        </w:rPr>
        <w:t>流域内无实测泥沙资料。</w:t>
      </w:r>
    </w:p>
    <w:p w14:paraId="036A9A8D">
      <w:pPr>
        <w:pStyle w:val="4"/>
        <w:bidi w:val="0"/>
        <w:rPr>
          <w:rFonts w:hint="default" w:ascii="Times New Roman" w:hAnsi="Times New Roman" w:eastAsia="宋体" w:cs="Times New Roman"/>
          <w:b/>
          <w:caps w:val="0"/>
          <w:smallCaps w:val="0"/>
          <w:color w:val="auto"/>
          <w:spacing w:val="0"/>
          <w:w w:val="100"/>
          <w:position w:val="0"/>
          <w:sz w:val="28"/>
          <w:szCs w:val="28"/>
          <w:u w:val="none" w:color="auto"/>
        </w:rPr>
      </w:pPr>
      <w:bookmarkStart w:id="123" w:name="_Toc1801"/>
      <w:r>
        <w:rPr>
          <w:rFonts w:hint="default" w:ascii="Times New Roman" w:hAnsi="Times New Roman" w:eastAsia="SimSun,Bold" w:cs="Times New Roman"/>
          <w:b/>
          <w:spacing w:val="0"/>
          <w:w w:val="100"/>
          <w:position w:val="0"/>
          <w:sz w:val="32"/>
          <w:szCs w:val="24"/>
        </w:rPr>
        <w:t>区域地质概况</w:t>
      </w:r>
      <w:bookmarkEnd w:id="123"/>
    </w:p>
    <w:p w14:paraId="449FE253">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东山水库位于大荆湖水系主支流——白马港（河）中上游河段。地势西北高、东南低，山顶最高高程328.7m，河谷高程40~60m，属侵蚀剥蚀低山地貌类型。区内地层比较简单，主要分布燕山早期（ηr52）侵入岩和第四系覆盖层，地下水主要为基岩裂隙水和第四系孔隙水为主。</w:t>
      </w:r>
    </w:p>
    <w:p w14:paraId="611A554F">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工程区处于目平湖凸起东北部，石门——华容——临湘东西向褶皱带的东段，湘阴——岳阳断裂西北侧。区域新构造运动以间歇性不均匀下降为主，挽近期有短暂性回升，幅度较小，部分流域地段出现发育不全的Ⅰ级阶地，区域应属相对稳定地块。</w:t>
      </w:r>
    </w:p>
    <w:p w14:paraId="359277A5">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据“湖南地震史”记载，我省东北部岳州（现岳阳）、临湘、华容等地域，曾多次发生震级不明地震，按湖南地震资料年表，公元1605年四月华容地震，五月复震（乾隆岳州府志）；公元1850年（道光30年</w:t>
      </w:r>
      <w:r>
        <w:rPr>
          <w:rFonts w:hint="default" w:ascii="Times New Roman" w:hAnsi="Times New Roman" w:eastAsia="宋体" w:cs="Times New Roman"/>
          <w:color w:val="auto"/>
          <w:spacing w:val="0"/>
          <w:w w:val="100"/>
          <w:position w:val="0"/>
          <w:sz w:val="24"/>
          <w:szCs w:val="24"/>
          <w:u w:val="none" w:color="auto"/>
          <w:lang w:val="en-US" w:eastAsia="zh-CN"/>
        </w:rPr>
        <w:t>3</w:t>
      </w:r>
      <w:r>
        <w:rPr>
          <w:rFonts w:hint="default" w:ascii="Times New Roman" w:hAnsi="Times New Roman" w:eastAsia="宋体" w:cs="Times New Roman"/>
          <w:color w:val="auto"/>
          <w:spacing w:val="0"/>
          <w:w w:val="100"/>
          <w:position w:val="0"/>
          <w:sz w:val="24"/>
          <w:szCs w:val="24"/>
          <w:u w:val="none" w:color="auto"/>
        </w:rPr>
        <w:t>月18日）华容地震（光绪湖南通志）；1923年</w:t>
      </w:r>
      <w:r>
        <w:rPr>
          <w:rFonts w:hint="default" w:ascii="Times New Roman" w:hAnsi="Times New Roman" w:eastAsia="宋体" w:cs="Times New Roman"/>
          <w:color w:val="auto"/>
          <w:spacing w:val="0"/>
          <w:w w:val="100"/>
          <w:position w:val="0"/>
          <w:sz w:val="24"/>
          <w:szCs w:val="24"/>
          <w:u w:val="none" w:color="auto"/>
          <w:lang w:val="en-US" w:eastAsia="zh-CN"/>
        </w:rPr>
        <w:t>1</w:t>
      </w:r>
      <w:r>
        <w:rPr>
          <w:rFonts w:hint="default" w:ascii="Times New Roman" w:hAnsi="Times New Roman" w:eastAsia="宋体" w:cs="Times New Roman"/>
          <w:color w:val="auto"/>
          <w:spacing w:val="0"/>
          <w:w w:val="100"/>
          <w:position w:val="0"/>
          <w:sz w:val="24"/>
          <w:szCs w:val="24"/>
          <w:u w:val="none" w:color="auto"/>
        </w:rPr>
        <w:t>1月12日华容地震（中国地震新闻报）；1965年12月22日华容1.2级地震（长委地震地质队）。</w:t>
      </w:r>
    </w:p>
    <w:p w14:paraId="2ECBD11E">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坝址位于岳阳市华容县东山镇，根据《中国地震动参数区划图》（GB18306-2015），区内基本地震动峰值加速度为0.05g，基本地震动反应谱特征周期为0.35s，对应的地震基本烈度为VI度，属相对稳定地区。</w:t>
      </w:r>
    </w:p>
    <w:p w14:paraId="7CDE226C">
      <w:pPr>
        <w:pStyle w:val="4"/>
        <w:bidi w:val="0"/>
        <w:rPr>
          <w:rFonts w:hint="default" w:ascii="Times New Roman" w:hAnsi="Times New Roman" w:cs="Times New Roman"/>
        </w:rPr>
      </w:pPr>
      <w:bookmarkStart w:id="124" w:name="_Toc6527"/>
      <w:r>
        <w:rPr>
          <w:rFonts w:hint="default" w:ascii="Times New Roman" w:hAnsi="Times New Roman" w:cs="Times New Roman"/>
        </w:rPr>
        <w:t>水库区工程地质</w:t>
      </w:r>
      <w:bookmarkEnd w:id="124"/>
    </w:p>
    <w:p w14:paraId="01D1E647">
      <w:pPr>
        <w:pStyle w:val="5"/>
        <w:bidi w:val="0"/>
        <w:rPr>
          <w:rFonts w:hint="default" w:ascii="Times New Roman" w:hAnsi="Times New Roman" w:cs="Times New Roman"/>
        </w:rPr>
      </w:pPr>
      <w:r>
        <w:rPr>
          <w:rFonts w:hint="default" w:ascii="Times New Roman" w:hAnsi="Times New Roman" w:cs="Times New Roman"/>
        </w:rPr>
        <w:t>地形地貌</w:t>
      </w:r>
    </w:p>
    <w:p w14:paraId="69F48930">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东山水库位于东山镇仙鹅寺村的山丘谷口，谷口宽度400~600m，两</w:t>
      </w:r>
    </w:p>
    <w:p w14:paraId="15173CF9">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岸地形基本对称，河谷呈“U”型。左、右岸坝肩接头于自然条形山脊上。两岸坝肩旁侧均有一冲沟存在。溢洪道即利用右岸冲沟修建而成。</w:t>
      </w:r>
    </w:p>
    <w:p w14:paraId="6C343D31">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坝区河床宽度25.0~30.0m，高程49.0m，两岸分布Ⅰ级阶地，宽约100m，高程49.5~51.0m，库内均已被库水淹没，无漫滩。两岸坝肩条形山脊较为单薄，岸坡舒缓，坡度约20°。</w:t>
      </w:r>
    </w:p>
    <w:p w14:paraId="659FD31A">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大坝以下原河道已被改良成农田，现河道通过溢洪道的冲沟处在下游1km外与原河道相接，工程区属侵蚀剥蚀低山地貌类型。</w:t>
      </w:r>
    </w:p>
    <w:p w14:paraId="2A16D760">
      <w:pPr>
        <w:pStyle w:val="5"/>
        <w:bidi w:val="0"/>
        <w:rPr>
          <w:rFonts w:hint="default" w:ascii="Times New Roman" w:hAnsi="Times New Roman" w:cs="Times New Roman"/>
        </w:rPr>
      </w:pPr>
      <w:r>
        <w:rPr>
          <w:rFonts w:hint="default" w:ascii="Times New Roman" w:hAnsi="Times New Roman" w:cs="Times New Roman"/>
        </w:rPr>
        <w:t>地层岩性</w:t>
      </w:r>
    </w:p>
    <w:p w14:paraId="24D2F18C">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根据现场钻探揭露，工程区内分布的地层自上而下为：第四系全新统人工填土层（Qs）、冲积层（Q4al）和残坡积层（Qedl），下伏基岩为燕山早期第二阶段第一次侵入（ηr53）的二云母二长花岗岩。由老至新分述如下：</w:t>
      </w:r>
    </w:p>
    <w:p w14:paraId="4E65FE02">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1）燕山早期第二阶段第一次侵入的二云母二长花岗岩（ηr52）：灰黄色、灰白色，岩石矿物成分主要由长石、石英和少量云母组成，具斑晶结构，块状构造，岩芯较完整，以柱状为主，少量块状，新鲜岩体致密坚硬。</w:t>
      </w:r>
    </w:p>
    <w:p w14:paraId="29343CFD">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（2）第四系残坡积堆积（Qedl）：为黄色、黄褐色砂质粘性土，厚度0~2.0m不等，主要分布于库内两岸山坡。</w:t>
      </w:r>
    </w:p>
    <w:p w14:paraId="00483BB1">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3）第四系冲积堆积（Q4al）：上部为粉质粘土：灰黄色，黄褐色，局部含少量砂，碎石，可塑状，无摇震反应，似网纹状结构，具有中等压缩性。厚度0.5~4.0m不等，主要分布于大坝下游。下部为砂砾石：灰黄、灰白色，以粗砂、卵石、砾石为主，见大量粘土成分，砾石直径一般为2~4cm，结构较松散，孕镶结构，最大厚度达21m，主要分布于大坝坝基及下游。</w:t>
      </w:r>
    </w:p>
    <w:p w14:paraId="5328AFC7">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4）第四系坝体填土（Q4s）：坝前为斜墙和铺盖填土，主要为粉质粘土，由灰黄色，灰褐色粉质粘土组成，较密实，可塑。坝体填土成分复杂，主要为浅黄色粉质粘土，砂质粘性土，偶夹腐殖质土，含少量中细砂，坝下游见砂砾石、干砌石等。主要分布于大坝坝体。</w:t>
      </w:r>
    </w:p>
    <w:p w14:paraId="6DE6C76E">
      <w:pPr>
        <w:pStyle w:val="5"/>
        <w:bidi w:val="0"/>
        <w:rPr>
          <w:rFonts w:hint="default" w:ascii="Times New Roman" w:hAnsi="Times New Roman" w:cs="Times New Roman"/>
        </w:rPr>
      </w:pPr>
      <w:r>
        <w:rPr>
          <w:rFonts w:hint="default" w:ascii="Times New Roman" w:hAnsi="Times New Roman" w:cs="Times New Roman"/>
        </w:rPr>
        <w:t>地质构造</w:t>
      </w:r>
    </w:p>
    <w:p w14:paraId="45440A34">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区内主要分布侵入的二云母二长花岗岩（ηr53），呈岩基、岩株产出，区断层构造不发育，无大的断层切割。根据平面地质测绘统计，坝区节理裂隙按其走向和倾角主要发育以下几组节理：①节理产状：N75~85E・NW∠81~85°，与河床呈小角度斜交，节理面平直光滑，强风化岩体内张开宽0.2cm~1.0cm，延伸长＞20m，发育频率2条/m。②节理产状：N25~30°E・NW∠55~65°，与河床呈大角度斜交，平直光滑，闭合，延伸长大于10m，发育频率3条/m。③节理产状：N40~45°W・NE∠23~33°，延伸长，长度大于10m，发育频率3条/m，张开，无充填，平直光滑。</w:t>
      </w:r>
    </w:p>
    <w:p w14:paraId="796A4EB5">
      <w:pPr>
        <w:pStyle w:val="5"/>
        <w:bidi w:val="0"/>
        <w:rPr>
          <w:rFonts w:hint="default" w:ascii="Times New Roman" w:hAnsi="Times New Roman" w:cs="Times New Roman"/>
        </w:rPr>
      </w:pPr>
      <w:r>
        <w:rPr>
          <w:rFonts w:hint="default" w:ascii="Times New Roman" w:hAnsi="Times New Roman" w:cs="Times New Roman"/>
        </w:rPr>
        <w:t xml:space="preserve"> 坝区工程地质条件及评价</w:t>
      </w:r>
    </w:p>
    <w:p w14:paraId="00C44271">
      <w:pPr>
        <w:spacing w:before="6" w:after="0" w:line="260" w:lineRule="exact"/>
        <w:jc w:val="left"/>
        <w:rPr>
          <w:rFonts w:hint="default" w:ascii="Times New Roman" w:hAnsi="Times New Roman" w:cs="Times New Roman"/>
          <w:spacing w:val="0"/>
          <w:w w:val="100"/>
          <w:position w:val="0"/>
          <w:sz w:val="26"/>
          <w:szCs w:val="26"/>
        </w:rPr>
      </w:pPr>
    </w:p>
    <w:p w14:paraId="41237715">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spacing w:val="0"/>
          <w:w w:val="100"/>
          <w:position w:val="0"/>
          <w:sz w:val="24"/>
          <w:szCs w:val="24"/>
          <w:lang w:val="en-US" w:eastAsia="zh-CN"/>
        </w:rPr>
        <w:t>1、</w:t>
      </w:r>
      <w:r>
        <w:rPr>
          <w:rFonts w:hint="default" w:ascii="Times New Roman" w:hAnsi="Times New Roman" w:eastAsia="宋体" w:cs="Times New Roman"/>
          <w:color w:val="auto"/>
          <w:spacing w:val="0"/>
          <w:w w:val="100"/>
          <w:position w:val="0"/>
          <w:sz w:val="24"/>
          <w:szCs w:val="24"/>
          <w:highlight w:val="none"/>
          <w:lang w:val="en-US" w:eastAsia="zh-CN"/>
        </w:rPr>
        <w:t xml:space="preserve">坝基主要工程地质条件及评价 </w:t>
      </w:r>
    </w:p>
    <w:p w14:paraId="0D9B4E4B">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坝基主要为砂砾石层和花岗岩，上部为砂砾石，磨圆度较差，多呈棱角状，含大量粗砂，砾石粒径2~6cm，最大可达8cm，结构松散，渗透系数k=2.43×10</w:t>
      </w:r>
      <w:r>
        <w:rPr>
          <w:rFonts w:hint="default" w:ascii="Times New Roman" w:hAnsi="Times New Roman" w:eastAsia="宋体" w:cs="Times New Roman"/>
          <w:color w:val="auto"/>
          <w:spacing w:val="0"/>
          <w:w w:val="100"/>
          <w:position w:val="0"/>
          <w:sz w:val="24"/>
          <w:szCs w:val="24"/>
          <w:highlight w:val="none"/>
          <w:vertAlign w:val="superscript"/>
          <w:lang w:val="en-US" w:eastAsia="zh-CN"/>
        </w:rPr>
        <w:t>-4</w:t>
      </w:r>
      <w:r>
        <w:rPr>
          <w:rFonts w:hint="default" w:ascii="Times New Roman" w:hAnsi="Times New Roman" w:eastAsia="宋体" w:cs="Times New Roman"/>
          <w:color w:val="auto"/>
          <w:spacing w:val="0"/>
          <w:w w:val="100"/>
          <w:position w:val="0"/>
          <w:sz w:val="24"/>
          <w:szCs w:val="24"/>
          <w:highlight w:val="none"/>
          <w:lang w:val="en-US" w:eastAsia="zh-CN"/>
        </w:rPr>
        <w:t>~5.5×10</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cm/s，呈中等透水性；下部为二云母二长花岗岩：灰黑色，深灰色，全风化带呈灰黄色、麻灰色的砂土状，结构疏松，含大量风化砂成分，透水性较好，为中等透水性；强风化带岩体破碎，节理裂隙较发育，各节理面相互切割，贯通性较好，为库水渗漏的良好通道。</w:t>
      </w:r>
    </w:p>
    <w:p w14:paraId="1B5C3D79">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通过钻探取芯，岩芯多呈碎块状、岩石较破碎。钻孔岩芯获得率0%~60%，RQD为0~18%。根据钻孔压水试验，全~强风化岩带，岩体透水率为q=10.3~31.7Lu，属中等透水带，厚度0.3~5m。弱风化带岩体完整性较好，岩石坚硬，岩芯获得率40%~100%，RQD为20%~80%。根据钻孔压水试验，弱风化带上部岩体透水率为q=6.6~9.1Lu，为弱透水上带，厚度约5m，弱风化带下部岩体透水率为q=0.02~4.6Lu，为弱透水下带，厚度大于15m。</w:t>
      </w:r>
    </w:p>
    <w:p w14:paraId="31B44285">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坝基砂砾石层厚度较大，透水性较好，属中等透水层，不满足大坝防渗及渗透变形要求；全风化花岗岩结构疏松，存在大量的风化砂，透水性较好，为中等透水层，强风化二云母二长花岗岩岩体破碎，节理裂隙发育，各节理面相互切割，贯通性较好，为库水渗漏的良好通道，抗渗能力差，属中等透水层，难以满足坝基渗透性要求。</w:t>
      </w:r>
    </w:p>
    <w:p w14:paraId="0753035A">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2、坝肩工程地质条件及评价</w:t>
      </w:r>
    </w:p>
    <w:p w14:paraId="1DF69B9F">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左右岸坝肩山体较宽阔雄厚，自然坡角为15~30°，周边无低于库水位的冲沟、邻谷、垭口与单薄地形分布。通过地质测绘，左右岸坝肩岩性均为二云母二长花岗岩（ηr3），岩体完整性较好，上部和全~强风化花岗岩，全风化带呈灰黄色、麻灰色的砂土状，结构疏松，含大量风化砂成分，透水性较好，为中等透水性；强风化带岩体破碎，节理裂隙较发育，各节理面相互切割，贯通性较好，为库水渗漏的良好通道，通过钻探取芯，岩芯多呈碎块状、岩石较破碎。</w:t>
      </w:r>
    </w:p>
    <w:p w14:paraId="444B314C">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全风化花岗岩结构疏松，存在大量的风化砂，透水性较好，为中等透水层，强风化二云母二长花岗岩岩体破碎，节理裂隙发育，各节理面相互切割，贯通性较好，为库水渗漏的良好通道，抗渗能力差，属中等透水层，难以满足水库防渗要求。</w:t>
      </w:r>
    </w:p>
    <w:p w14:paraId="7E9CE050">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3、主要工程地质问题及处理措施建议</w:t>
      </w:r>
    </w:p>
    <w:p w14:paraId="7F27E94D">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根据地质调查、钻探揭露分析，坝区存在的主要工程地质问题为坝基渗漏问题坝基上部存在较厚的砂砾石层，透水性较好，属中等透水层；下部为全~全风化花岗，全风化花岗岩结构疏松，存在大量的风化砂，透水性较好，为中等透水层，强风化花岗岩岩体破碎，节理裂隙发育，各节理面相互切割，贯通性较好，为库水渗漏的良好通道。因此库水容易通过砂砾石层、全~强风化花岗岩层向下游渗漏。</w:t>
      </w:r>
    </w:p>
    <w:p w14:paraId="10B212F8">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根据现场调查，坝体外坡脚存在1处集中渗漏点，一般渗漏量0.05L/s，渗漏量随库内水位上升渗漏量增大，据水管部门反映，最大可达0.1L/s。大坝下游存在3处散浸点，第一处位于大坝左侧公路下平台，散浸面积约170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，散浸区内常年积水；第二处位于大坝中部平台处，散浸面积约500m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；第三处位于坝脚处，散浸面积约为2600m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，下游常年湿润，生长喜湿植物。</w:t>
      </w:r>
    </w:p>
    <w:p w14:paraId="74659EA0">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建议坝基砂砾石层、全~强风化花岗岩，进行防渗处理，防渗深度应深入相对不透水带（透水率q＜10Lu）以下3～5m，两岸坝肩向外延伸5～10m。</w:t>
      </w:r>
    </w:p>
    <w:p w14:paraId="7683FBE9">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4、近坝库岸工程地质条件及评价</w:t>
      </w:r>
    </w:p>
    <w:p w14:paraId="48D67C93">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库区北、西、南三面均为高山环绕。山顶高程在220～380m之间。水库区处在溪流相汇处的小型峡谷出口处，库尾为小型峡谷区，中部交汇处地型较为平坦开阔，库首谷口宽400～600m。</w:t>
      </w:r>
    </w:p>
    <w:p w14:paraId="3744058F">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左岸岸坡自然坡度10～15°，为土质岸坡，上部为残坡积砂质粘性土，黄褐色，褐色，可塑状，下部为花岗岩，由于岸坡自然岸坡为缓坡，自稳性较好；</w:t>
      </w:r>
    </w:p>
    <w:p w14:paraId="7DD5B20A">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右岸岸坡自然坡度为15~20°，为岩质边坡，上部为全风化花岗岩，灰黄色、麻灰色的砂土状，结构疏松，胶结较好，自然休止角较高，因此岸坡的自稳性较好，不存在库岸稳定问题。</w:t>
      </w:r>
    </w:p>
    <w:p w14:paraId="3AF4823F">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5、其他建筑物工程地质条件评价</w:t>
      </w:r>
    </w:p>
    <w:p w14:paraId="48F05980">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溢洪道及泄洪渠溢洪道位于大坝右岸，为岸边开敞式，堰型为实用堰，堰顶高程为67.50m，堰顶宽为45m，无闸门控制。溢洪道进口段、溢流段、泄流段左右墙体均为六方块或浆砌石护砌，底板砼护砌。溢洪道左侧壁土层为素填土及强风化花岗岩层，右侧及底部为强风化花岗岩层，强风化花岗岩岩石节理裂隙发育，岩体破碎，溢洪道置于强风化花岗岩之上，地基强度基本满足要求。</w:t>
      </w:r>
    </w:p>
    <w:p w14:paraId="06C30909">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溢洪道消力池下部混凝土结构，下部为填土，主要为花岗岩残积土，质量较差，抗冲刷能力差。</w:t>
      </w:r>
    </w:p>
    <w:p w14:paraId="3A1E5A04">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下游泄洪渠为矩形渠，为混凝土结构，尺寸为1.2m×1.5m，长约300m，据现场调查，泄洪渠内淤积严重，见图8.1，淤积物主要为砂、淤泥等，呈软塑~流塑状，上部生长大量杂草。泄洪渠两侧及渠基均为粉质粘土，黄褪色，黄色，可塑-硬塑，弱透水性，承载力为160Kpa，能满足渠道防渗和承载力要求。据现场调查：溢洪道及消力池整体结构较完整，未见明显塌陷、裂缝等现象，但溢流堰面局部存在蜂窝、麻面、粗骨料外露。溢洪道消力池淤积情况严重；下游泄洪渠杂草丛生，严重影响泄洪。建议翻修溢洪道底板，对下游泄洪渠拆除重建。</w:t>
      </w:r>
    </w:p>
    <w:p w14:paraId="18ACA6BE">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输水暗涵位于大坝左端坝体内，为钢筋砼圆管，断面为圆形，内径1.0m，长125m，进口底板高程48.30m，出口底板高程48.30m，设计流量为2.5m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/s，进口连接输水隧洞出口，出口段为分水闸，采用平板钢闸门，5t斜拉式启闭机启闭。</w:t>
      </w:r>
    </w:p>
    <w:p w14:paraId="45E945F8">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输水暗涵两侧为坝体填土，底板全风化花岗岩层，输水暗涵基础全风化花岗岩之上，全风化花岗岩为灰白色、黄褐色，大部分矿物已经风化为土状，尚有基岩原生结构，地基承载力为200Kpa，能满足暗涵地基应力强度要求。</w:t>
      </w:r>
    </w:p>
    <w:p w14:paraId="4F7A1C13">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引水渠位于大坝左岸山坡，建于1974年，为半挖半填土渠，长度为851m，其中暗涵长92.0m。引水渠设一处节制闸，一处泄洪闸，其工程地质条件评价如下：</w:t>
      </w:r>
    </w:p>
    <w:p w14:paraId="28C8FAD0">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引水渠引水渠半山而建，渠道工程地质条件分段评价如下：</w:t>
      </w:r>
    </w:p>
    <w:p w14:paraId="341BDAED">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1）0+000~0+300，长300m，该段渠道位于山坡上，坡度20-25°渠道内侧为开挖边坡，无衬砌，坡比1：0.5~1：0.75，主要花岗岩，块状，节理裂隙不发育，弱~微风化状，自稳性较好，不存在坍塌，滑坡等问题；渠堤无衬砌，坡比1：1.3~1：1.5，主要为花岗岩残积土填筑而成，灰色，灰褐色，可塑状，中等透水性，存在堤坡稳定问题和渗漏问题；渠道底板无衬砌，位于强风化花岗岩内，黄褐色，中等透水性，存在渗漏问题。由于该段渠道无衬砌，存在渠堤坡稳定问题及渠堤、渠底板渗漏问题，建议复核渠堤坡稳定问题，对渠道进行护坡和衬砌。</w:t>
      </w:r>
    </w:p>
    <w:p w14:paraId="59790A87">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2）0+300~0+720，长420m，该段渠道位于山坡上，坡度15-20°渠道内侧为开挖边坡，无衬砌，坡比1：1.3~1：1.5，主要花岗岩残积土，黄褐色，可塑状，可能存在边坡稳定问题；渠堤无衬砌，坡比1：1.3~1：1.5，主要为花岗岩残积土填筑而成，灰色，灰褐色，可塑状，中等透水性，存在堤坡稳定问题和渗漏问题；渠道底板无衬砌，位于强风化花岗岩内，黄褐色，中等透水性，存在渗漏问题。由于该段渠道无衬砌，存在渠内坡稳定问题、渠堤坡稳定问题及渠堤、渠底板渗漏问题，建议复核渠内坡和渠堤坡稳定问题，对渠道进行护坡和衬砌。</w:t>
      </w:r>
    </w:p>
    <w:p w14:paraId="662DA6C7">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（3）0+720~0+812段，全长92m，为钢筋砼涵管，直径为0.8，涵管上部为水厂，地势平坦，两侧为水厂填土，填筑密实，底部为强风化花岗岩，相对承载力较高。综上所述，暗涵段工程地质条件较好。</w:t>
      </w:r>
    </w:p>
    <w:p w14:paraId="609C4695">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（4）0+812~0+851</w:t>
      </w:r>
      <w:r>
        <w:rPr>
          <w:rFonts w:hint="default" w:ascii="Times New Roman" w:hAnsi="Times New Roman" w:eastAsia="宋体" w:cs="Times New Roman"/>
          <w:color w:val="auto"/>
          <w:spacing w:val="0"/>
          <w:w w:val="100"/>
          <w:position w:val="0"/>
          <w:sz w:val="24"/>
          <w:szCs w:val="24"/>
          <w:u w:val="none" w:color="auto"/>
          <w:lang w:val="en-US" w:eastAsia="zh-CN"/>
        </w:rPr>
        <w:t>段，全长39m，该段渠位于上山公路路堤之下，路堤高约3m，无护坡，由于当地水厂建设，渠道周围地势平坦，为开挖渠道，渠道无衬砌，渠道两侧坡比约为1：1.5，两侧及底板为花岗岩残积土，黄褐色，可塑状，中等透水性，可能存在渗漏问题，建议对渠道进行衬砌。</w:t>
      </w:r>
    </w:p>
    <w:p w14:paraId="01AC5BC1">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引水渠节制闸位于K0+505处，节制闸建于土渠之上，节制闸左侧为山坡，坡度15-20°，左侧为渠堤，闸基坐落于强风化花岗岩之上，黄褐色，相对承载力较高，能满足节制闸基底应力要求。</w:t>
      </w:r>
    </w:p>
    <w:p w14:paraId="1E4D8C95">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泄洪闸位于K0+250处，位于渠堤之上，闸基础置于弱风化花岗岩之上，灰白色，节理裂隙不发育，弱透水性，相对承载力较高，能满足泄洪闸地基承载力要求，根据现场调查，泄洪闸下部无消能设施，建议对下部增设消能设施。</w:t>
      </w:r>
    </w:p>
    <w:p w14:paraId="4320AC3A">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mc:AlternateContent>
          <mc:Choice Requires="wps">
            <w:drawing>
              <wp:anchor distT="0" distB="0" distL="114300" distR="114300" simplePos="0" relativeHeight="251669504" behindDoc="1" locked="0" layoutInCell="1" allowOverlap="1">
                <wp:simplePos x="0" y="0"/>
                <wp:positionH relativeFrom="page">
                  <wp:posOffset>4887595</wp:posOffset>
                </wp:positionH>
                <wp:positionV relativeFrom="paragraph">
                  <wp:posOffset>499110</wp:posOffset>
                </wp:positionV>
                <wp:extent cx="38100" cy="76200"/>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38100" cy="76200"/>
                        </a:xfrm>
                        <a:prstGeom prst="rect">
                          <a:avLst/>
                        </a:prstGeom>
                        <a:noFill/>
                        <a:ln>
                          <a:noFill/>
                        </a:ln>
                      </wps:spPr>
                      <wps:txbx>
                        <w:txbxContent>
                          <w:p w14:paraId="16A91478">
                            <w:pPr>
                              <w:spacing w:before="0" w:after="0" w:line="120" w:lineRule="exact"/>
                              <w:ind w:right="-58"/>
                              <w:jc w:val="left"/>
                              <w:rPr>
                                <w:rFonts w:ascii="Arial" w:hAnsi="Arial" w:eastAsia="Arial" w:cs="Arial"/>
                                <w:sz w:val="12"/>
                                <w:szCs w:val="12"/>
                              </w:rPr>
                            </w:pPr>
                            <w:r>
                              <w:rPr>
                                <w:rFonts w:ascii="Arial" w:hAnsi="Arial" w:eastAsia="Arial" w:cs="Arial"/>
                                <w:spacing w:val="0"/>
                                <w:w w:val="100"/>
                                <w:position w:val="-1"/>
                                <w:sz w:val="12"/>
                                <w:szCs w:val="12"/>
                              </w:rPr>
                              <w:t>5</w:t>
                            </w:r>
                          </w:p>
                        </w:txbxContent>
                      </wps:txbx>
                      <wps:bodyPr lIns="0" tIns="0" rIns="0" bIns="0" upright="1"/>
                    </wps:wsp>
                  </a:graphicData>
                </a:graphic>
              </wp:anchor>
            </w:drawing>
          </mc:Choice>
          <mc:Fallback>
            <w:pict>
              <v:shape id="_x0000_s1026" o:spid="_x0000_s1026" o:spt="202" type="#_x0000_t202" style="position:absolute;left:0pt;margin-left:384.85pt;margin-top:39.3pt;height:6pt;width:3pt;mso-position-horizontal-relative:page;z-index:-251646976;mso-width-relative:page;mso-height-relative:page;" filled="f" stroked="f" coordsize="21600,21600" o:gfxdata="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exjyR1wAAAAkBAAAPAAAAAAAAAAEAIAAAACIAAABkcnMvZG93bnJldi54bWxQSwECFAAU&#10;AAAACACHTuJAEiEzqLkBAABzAwAADgAAAAAAAAABACAAAAAmAQAAZHJzL2Uyb0RvYy54bWxQSwUG&#10;AAAAAAYABgBZAQAAUQUAAAAA&#10;">
                <v:fill on="f" focussize="0,0"/>
                <v:stroke on="f"/>
                <v:imagedata o:title=""/>
                <o:lock v:ext="edit" aspectratio="f"/>
                <v:textbox inset="0mm,0mm,0mm,0mm">
                  <w:txbxContent>
                    <w:p w14:paraId="16A91478">
                      <w:pPr>
                        <w:spacing w:before="0" w:after="0" w:line="120" w:lineRule="exact"/>
                        <w:ind w:right="-58"/>
                        <w:jc w:val="left"/>
                        <w:rPr>
                          <w:rFonts w:ascii="Arial" w:hAnsi="Arial" w:eastAsia="Arial" w:cs="Arial"/>
                          <w:sz w:val="12"/>
                          <w:szCs w:val="12"/>
                        </w:rPr>
                      </w:pPr>
                      <w:r>
                        <w:rPr>
                          <w:rFonts w:ascii="Arial" w:hAnsi="Arial" w:eastAsia="Arial" w:cs="Arial"/>
                          <w:spacing w:val="0"/>
                          <w:w w:val="100"/>
                          <w:position w:val="-1"/>
                          <w:sz w:val="12"/>
                          <w:szCs w:val="12"/>
                        </w:rPr>
                        <w:t>5</w:t>
                      </w:r>
                    </w:p>
                  </w:txbxContent>
                </v:textbox>
              </v:shape>
            </w:pict>
          </mc:Fallback>
        </mc:AlternateContent>
      </w:r>
      <w:r>
        <w:rPr>
          <w:rFonts w:hint="default" w:ascii="Times New Roman" w:hAnsi="Times New Roman" w:eastAsia="宋体" w:cs="Times New Roman"/>
          <w:color w:val="auto"/>
          <w:spacing w:val="0"/>
          <w:w w:val="100"/>
          <w:position w:val="0"/>
          <w:sz w:val="24"/>
          <w:szCs w:val="24"/>
          <w:u w:val="none" w:color="auto"/>
          <w:lang w:val="en-US" w:eastAsia="zh-CN"/>
        </w:rPr>
        <w:t>拟建人行桥跨溢洪道，为工作桥，全长约50m，桥边墩位于溢洪道侧墙，中墩位于溢洪道内，根据钻孔揭露，桥墩处主要为燕山期晚期（ηγ3）花岗岩，灰褐色，灰白色，强风化厚度约3m，强风化花岗岩相对承载力较低，承载力为200Kpa，能满足人行桥承载力要求，可采用天然地基，下部弱~微风化花岗岩完整性较好，相对承载力较好，可以作为桥墩基础的持力层，桥墩其他岩土参数见表4.2-3。综上所述，交通桥工程地质条件较好。</w:t>
      </w:r>
    </w:p>
    <w:p w14:paraId="2BB565ED">
      <w:pPr>
        <w:pStyle w:val="4"/>
        <w:bidi w:val="0"/>
        <w:rPr>
          <w:rFonts w:hint="default" w:ascii="Times New Roman" w:hAnsi="Times New Roman" w:eastAsia="SimSun,Bold" w:cs="Times New Roman"/>
          <w:b/>
          <w:spacing w:val="0"/>
          <w:w w:val="100"/>
          <w:position w:val="0"/>
          <w:sz w:val="28"/>
          <w:szCs w:val="24"/>
        </w:rPr>
      </w:pPr>
      <w:bookmarkStart w:id="125" w:name="_Toc7195"/>
      <w:r>
        <w:rPr>
          <w:rFonts w:hint="default" w:ascii="Times New Roman" w:hAnsi="Times New Roman" w:eastAsia="SimSun,Bold" w:cs="Times New Roman"/>
          <w:b/>
          <w:spacing w:val="0"/>
          <w:w w:val="100"/>
          <w:position w:val="0"/>
          <w:sz w:val="28"/>
          <w:szCs w:val="24"/>
        </w:rPr>
        <w:t>文地质条件</w:t>
      </w:r>
      <w:bookmarkEnd w:id="125"/>
    </w:p>
    <w:p w14:paraId="16D26399">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（1）地下水类型</w:t>
      </w:r>
    </w:p>
    <w:p w14:paraId="43895DD3">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工程区受库水的影响，地下水埋深较浅，一般埋深2.0~5.0m，受季节性变化，年变幅2~3m。</w:t>
      </w:r>
      <w:r>
        <w:rPr>
          <w:rFonts w:hint="default" w:ascii="Times New Roman" w:hAnsi="Times New Roman" w:eastAsia="宋体" w:cs="Times New Roman"/>
          <w:color w:val="auto"/>
          <w:spacing w:val="0"/>
          <w:w w:val="100"/>
          <w:position w:val="0"/>
          <w:sz w:val="24"/>
          <w:szCs w:val="24"/>
          <w:u w:val="none" w:color="auto"/>
        </w:rPr>
        <w:t>区内地下水主要为基岩裂隙水和第四系孔隙水。</w:t>
      </w:r>
    </w:p>
    <w:p w14:paraId="7969B67E">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①基岩裂隙水主要赋存于花岗岩风化及构造裂隙中，受大气降水和库水补给，季节性变化小，水量贫乏，排泄于沟谷或河床。</w:t>
      </w:r>
    </w:p>
    <w:p w14:paraId="682C4D8C">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②第四系孔隙水赋存于第四系残坡积层中，主要受大气降水和库水补给，受季节性影响大，水量丰富，排泄于河床及沟谷。</w:t>
      </w:r>
    </w:p>
    <w:p w14:paraId="35F18277">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（2）坝体及坝基接触面透水性</w:t>
      </w:r>
    </w:p>
    <w:p w14:paraId="5EC21F61">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本次勘察工作对坝体进行4段注水试验，收资2020安全评价钻孔注水试验27段，根据钻孔注水试验表3.4-1可知，坝体填筑土渗透系数为K=5.94×10-5~1.98×10-3cm/s，属弱~中等透水性；坝体与坝基接触带渗透系数K=1.03×10-4~3.51×10-3cm/s，均值K=9.7×10-4cm/s，属中等透水性；摆喷灌浆防渗体渗透系数K=1.39×10-7~1.25×10-4cm/s，属极微~中等透水性。斜墙渗透系数K=2.7×10-6~3.5×10-5cm/s，属弱透水性。</w:t>
      </w:r>
    </w:p>
    <w:p w14:paraId="65B96348">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（3）坝基渗透性</w:t>
      </w:r>
    </w:p>
    <w:p w14:paraId="2BBA2A48">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rPr>
        <w:t>本次勘察对坝基及坝肩进行注水试验8段，压水试验8段；收集前期资料对坝基进行注水试验7段、压水试验16段</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根据钻孔注水试验成果，坝基砂砾石层整体渗透系数k=2.43×10-4~5.5×10-3cm/s，呈中等透水性；坝肩残积</w:t>
      </w:r>
      <w:r>
        <w:rPr>
          <w:rFonts w:hint="default" w:ascii="Times New Roman" w:hAnsi="Times New Roman" w:eastAsia="宋体" w:cs="Times New Roman"/>
          <w:caps w:val="0"/>
          <w:smallCaps w:val="0"/>
          <w:color w:val="auto"/>
          <w:spacing w:val="0"/>
          <w:w w:val="100"/>
          <w:kern w:val="0"/>
          <w:position w:val="0"/>
          <w:sz w:val="24"/>
          <w:szCs w:val="24"/>
          <w:u w:val="none" w:color="auto"/>
        </w:rPr>
        <w:t>土渗透系数k=1.03×10-4cm/s，呈中等透水性。</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p>
    <w:p w14:paraId="61A78FEF">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根据钻孔注水、压水试验，坝区岩体的按透水性可分为3个带：</w:t>
      </w:r>
    </w:p>
    <w:p w14:paraId="3CA68A99">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①中等透水带（10Lu≤q＜100Lu或10-4≤k＜10-2cm/s）：基本上处于全~弱风化上部岩体中，渗透系数k=3.24×10-3~9.6×10-3cm/s，局部不起压，透水率q=14.3Lu，整个坝区均有分布。</w:t>
      </w:r>
    </w:p>
    <w:p w14:paraId="14EAC4AA">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②弱透水上带（5Lu≤q＜10Lu或10-5≤k＜10-4cm/s）：岩体处于弱风化状态，透水率q=5.2~9.2Lu，分布于河床浅部。</w:t>
      </w:r>
    </w:p>
    <w:p w14:paraId="4522C1F0">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③弱透水中带及以下（q＜5Lu）：岩体处于弱~微风化状态，分布在河床及左、右岸，透水率3.3~4.5Lu，为坝基相对不透水层。</w:t>
      </w:r>
    </w:p>
    <w:p w14:paraId="20EFC4EE">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（4）环境水化学特性</w:t>
      </w:r>
    </w:p>
    <w:p w14:paraId="61746395">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工程区内地表水为地表径流水，地下水主要为第四系松散堆积层孔隙水和基岩裂隙水，根据室内水样分析结果：地表水及地下水水化学类型为HCO3-Ca-Mg型水根据《水利水电工程地质勘察规范》（GB50487-2008）附录L，区内地下水及河水对混凝土无腐蚀，对混凝土中的钢筋为无腐蚀，对钢结构为弱腐蚀。</w:t>
      </w:r>
      <w:r>
        <w:rPr>
          <w:rFonts w:hint="default" w:ascii="Times New Roman" w:hAnsi="Times New Roman" w:eastAsia="宋体" w:cs="Times New Roman"/>
          <w:color w:val="auto"/>
          <w:spacing w:val="0"/>
          <w:w w:val="100"/>
          <w:position w:val="0"/>
          <w:sz w:val="24"/>
          <w:szCs w:val="24"/>
          <w:u w:val="none" w:color="auto"/>
          <w:lang w:val="en-US" w:eastAsia="zh-CN"/>
        </w:rPr>
        <w:t xml:space="preserve"> </w:t>
      </w:r>
    </w:p>
    <w:p w14:paraId="0ECF114F">
      <w:pPr>
        <w:pStyle w:val="3"/>
        <w:bidi w:val="0"/>
        <w:rPr>
          <w:rFonts w:hint="default" w:ascii="Times New Roman" w:hAnsi="Times New Roman" w:cs="Times New Roman"/>
        </w:rPr>
      </w:pPr>
      <w:bookmarkStart w:id="126" w:name="_Toc31486"/>
      <w:r>
        <w:rPr>
          <w:rFonts w:hint="default" w:ascii="Times New Roman" w:hAnsi="Times New Roman" w:cs="Times New Roman"/>
          <w:lang w:val="en-US" w:eastAsia="zh-CN"/>
        </w:rPr>
        <w:t>环境质量</w:t>
      </w:r>
      <w:r>
        <w:rPr>
          <w:rFonts w:hint="default" w:ascii="Times New Roman" w:hAnsi="Times New Roman" w:cs="Times New Roman"/>
        </w:rPr>
        <w:t>现状调查与评价</w:t>
      </w:r>
      <w:bookmarkEnd w:id="126"/>
    </w:p>
    <w:p w14:paraId="057AF4E8">
      <w:pPr>
        <w:pStyle w:val="4"/>
        <w:bidi w:val="0"/>
        <w:rPr>
          <w:rFonts w:hint="default" w:ascii="Times New Roman" w:hAnsi="Times New Roman" w:cs="Times New Roman"/>
        </w:rPr>
      </w:pPr>
      <w:bookmarkStart w:id="127" w:name="_Toc11295"/>
      <w:r>
        <w:rPr>
          <w:rFonts w:hint="default" w:ascii="Times New Roman" w:hAnsi="Times New Roman" w:cs="Times New Roman"/>
        </w:rPr>
        <w:t>环境空气现状调查与评价</w:t>
      </w:r>
      <w:bookmarkEnd w:id="127"/>
    </w:p>
    <w:p w14:paraId="16CFD036">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1、达标区判定</w:t>
      </w:r>
    </w:p>
    <w:p w14:paraId="53BA0113">
      <w:pPr>
        <w:pageBreakBefore w:val="0"/>
        <w:widowControl/>
        <w:kinsoku w:val="0"/>
        <w:wordWrap w:val="0"/>
        <w:overflowPunct/>
        <w:topLinePunct/>
        <w:autoSpaceDE/>
        <w:autoSpaceDN/>
        <w:bidi w:val="0"/>
        <w:spacing w:line="360" w:lineRule="auto"/>
        <w:ind w:firstLine="480" w:firstLineChars="200"/>
        <w:rPr>
          <w:rFonts w:hint="default" w:ascii="Times New Roman" w:hAnsi="Times New Roman" w:eastAsia="宋体" w:cs="Times New Roman"/>
          <w:caps w:val="0"/>
          <w:smallCaps w:val="0"/>
          <w:color w:val="FF0000"/>
          <w:spacing w:val="0"/>
          <w:w w:val="100"/>
          <w:kern w:val="0"/>
          <w:position w:val="0"/>
          <w:sz w:val="24"/>
          <w:szCs w:val="24"/>
          <w:u w:val="none" w:color="auto"/>
        </w:rPr>
      </w:pPr>
      <w:r>
        <w:rPr>
          <w:rFonts w:hint="default" w:ascii="Times New Roman" w:hAnsi="Times New Roman" w:eastAsia="宋体" w:cs="Times New Roman"/>
          <w:color w:val="auto"/>
          <w:spacing w:val="0"/>
          <w:w w:val="100"/>
          <w:kern w:val="0"/>
          <w:position w:val="0"/>
          <w:sz w:val="24"/>
          <w:u w:val="none" w:color="auto"/>
          <w:lang w:val="en-US" w:eastAsia="zh-CN"/>
        </w:rPr>
        <w:t>根据《环境影响评价技术导则 大气环境》（HJ2.2 —2018）中“ 6环境空气质量现状调查与评价”内容，首先需要项目所在区域环境质量达标情况，作为项目所在区域是否为达标区的判断依据。同时根据导则“5.5依据评价所需环境空气质量现状、气象资料等数据的可获得性、数量质量、代表性等因素，选择近3年中数据相对完整的1个日历年作为评价基准年”，本项目筛选的评价基准年为2023年，</w:t>
      </w:r>
      <w:r>
        <w:rPr>
          <w:rFonts w:hint="default" w:ascii="Times New Roman" w:hAnsi="Times New Roman" w:eastAsia="宋体" w:cs="Times New Roman"/>
          <w:bCs/>
          <w:color w:val="000000" w:themeColor="text1"/>
          <w:spacing w:val="0"/>
          <w:position w:val="0"/>
          <w:sz w:val="24"/>
          <w:szCs w:val="24"/>
          <w:u w:val="none" w:color="auto"/>
          <w14:textFill>
            <w14:solidFill>
              <w14:schemeClr w14:val="tx1"/>
            </w14:solidFill>
          </w14:textFill>
        </w:rPr>
        <w:t>本次评价收集了岳阳市生态环境局公布的</w:t>
      </w:r>
      <w:r>
        <w:rPr>
          <w:rFonts w:hint="default" w:ascii="Times New Roman" w:hAnsi="Times New Roman" w:eastAsia="宋体" w:cs="Times New Roman"/>
          <w:bCs/>
          <w:color w:val="000000" w:themeColor="text1"/>
          <w:spacing w:val="0"/>
          <w:position w:val="0"/>
          <w:sz w:val="24"/>
          <w:szCs w:val="24"/>
          <w:u w:val="none" w:color="auto"/>
          <w:lang w:eastAsia="zh-CN"/>
          <w14:textFill>
            <w14:solidFill>
              <w14:schemeClr w14:val="tx1"/>
            </w14:solidFill>
          </w14:textFill>
        </w:rPr>
        <w:t>《岳阳市202</w:t>
      </w:r>
      <w:r>
        <w:rPr>
          <w:rFonts w:hint="default" w:ascii="Times New Roman" w:hAnsi="Times New Roman" w:eastAsia="宋体" w:cs="Times New Roman"/>
          <w:bCs/>
          <w:color w:val="000000" w:themeColor="text1"/>
          <w:spacing w:val="0"/>
          <w:position w:val="0"/>
          <w:sz w:val="24"/>
          <w:szCs w:val="24"/>
          <w:u w:val="none" w:color="auto"/>
          <w:lang w:val="en-US" w:eastAsia="zh-CN"/>
          <w14:textFill>
            <w14:solidFill>
              <w14:schemeClr w14:val="tx1"/>
            </w14:solidFill>
          </w14:textFill>
        </w:rPr>
        <w:t>3</w:t>
      </w:r>
      <w:r>
        <w:rPr>
          <w:rFonts w:hint="default" w:ascii="Times New Roman" w:hAnsi="Times New Roman" w:eastAsia="宋体" w:cs="Times New Roman"/>
          <w:bCs/>
          <w:color w:val="000000" w:themeColor="text1"/>
          <w:spacing w:val="0"/>
          <w:position w:val="0"/>
          <w:sz w:val="24"/>
          <w:szCs w:val="24"/>
          <w:u w:val="none" w:color="auto"/>
          <w:lang w:eastAsia="zh-CN"/>
          <w14:textFill>
            <w14:solidFill>
              <w14:schemeClr w14:val="tx1"/>
            </w14:solidFill>
          </w14:textFill>
        </w:rPr>
        <w:t>年度生态环境质量公报》</w:t>
      </w:r>
      <w:r>
        <w:rPr>
          <w:rFonts w:hint="default" w:ascii="Times New Roman" w:hAnsi="Times New Roman" w:eastAsia="宋体" w:cs="Times New Roman"/>
          <w:bCs/>
          <w:color w:val="000000" w:themeColor="text1"/>
          <w:spacing w:val="0"/>
          <w:position w:val="0"/>
          <w:sz w:val="24"/>
          <w:szCs w:val="24"/>
          <w:u w:val="none" w:color="auto"/>
          <w14:textFill>
            <w14:solidFill>
              <w14:schemeClr w14:val="tx1"/>
            </w14:solidFill>
          </w14:textFill>
        </w:rPr>
        <w:t>中的监测数据</w:t>
      </w:r>
      <w:r>
        <w:rPr>
          <w:rFonts w:hint="default" w:ascii="Times New Roman" w:hAnsi="Times New Roman" w:eastAsia="宋体" w:cs="Times New Roman"/>
          <w:bCs/>
          <w:color w:val="000000" w:themeColor="text1"/>
          <w:spacing w:val="0"/>
          <w:position w:val="0"/>
          <w:sz w:val="24"/>
          <w:szCs w:val="24"/>
          <w:u w:val="none" w:color="auto"/>
          <w:lang w:eastAsia="zh-CN"/>
          <w14:textFill>
            <w14:solidFill>
              <w14:schemeClr w14:val="tx1"/>
            </w14:solidFill>
          </w14:textFill>
        </w:rPr>
        <w:t>，以判定项目所在区</w:t>
      </w:r>
      <w:r>
        <w:rPr>
          <w:rFonts w:hint="default" w:ascii="Times New Roman" w:hAnsi="Times New Roman" w:eastAsia="宋体" w:cs="Times New Roman"/>
          <w:color w:val="000000" w:themeColor="text1"/>
          <w:spacing w:val="0"/>
          <w:position w:val="0"/>
          <w:sz w:val="24"/>
          <w:szCs w:val="24"/>
          <w:u w:val="none" w:color="auto"/>
          <w14:textFill>
            <w14:solidFill>
              <w14:schemeClr w14:val="tx1"/>
            </w14:solidFill>
          </w14:textFill>
        </w:rPr>
        <w:t>环境</w:t>
      </w:r>
      <w:r>
        <w:rPr>
          <w:rFonts w:hint="default" w:ascii="Times New Roman" w:hAnsi="Times New Roman" w:eastAsia="宋体" w:cs="Times New Roman"/>
          <w:color w:val="000000" w:themeColor="text1"/>
          <w:spacing w:val="0"/>
          <w:position w:val="0"/>
          <w:sz w:val="24"/>
          <w:szCs w:val="24"/>
          <w:u w:val="none" w:color="auto"/>
          <w:lang w:eastAsia="zh-CN"/>
          <w14:textFill>
            <w14:solidFill>
              <w14:schemeClr w14:val="tx1"/>
            </w14:solidFill>
          </w14:textFill>
        </w:rPr>
        <w:t>空气</w:t>
      </w:r>
      <w:r>
        <w:rPr>
          <w:rFonts w:hint="default" w:ascii="Times New Roman" w:hAnsi="Times New Roman" w:eastAsia="宋体" w:cs="Times New Roman"/>
          <w:color w:val="000000" w:themeColor="text1"/>
          <w:spacing w:val="0"/>
          <w:position w:val="0"/>
          <w:sz w:val="24"/>
          <w:szCs w:val="24"/>
          <w:u w:val="none" w:color="auto"/>
          <w14:textFill>
            <w14:solidFill>
              <w14:schemeClr w14:val="tx1"/>
            </w14:solidFill>
          </w14:textFill>
        </w:rPr>
        <w:t>质量达标情况</w:t>
      </w:r>
      <w:r>
        <w:rPr>
          <w:rFonts w:hint="default" w:ascii="Times New Roman" w:hAnsi="Times New Roman" w:eastAsia="宋体" w:cs="Times New Roman"/>
          <w:caps w:val="0"/>
          <w:smallCaps w:val="0"/>
          <w:color w:val="auto"/>
          <w:spacing w:val="0"/>
          <w:w w:val="100"/>
          <w:kern w:val="0"/>
          <w:position w:val="0"/>
          <w:sz w:val="24"/>
          <w:szCs w:val="24"/>
          <w:u w:val="none" w:color="auto"/>
        </w:rPr>
        <w:t>。项目所在</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华容县环境空气质量现状评价见</w:t>
      </w:r>
      <w:r>
        <w:rPr>
          <w:rFonts w:hint="default" w:ascii="Times New Roman" w:hAnsi="Times New Roman" w:eastAsia="宋体" w:cs="Times New Roman"/>
          <w:caps w:val="0"/>
          <w:smallCaps w:val="0"/>
          <w:color w:val="auto"/>
          <w:spacing w:val="0"/>
          <w:w w:val="100"/>
          <w:kern w:val="0"/>
          <w:position w:val="0"/>
          <w:sz w:val="24"/>
          <w:szCs w:val="24"/>
          <w:u w:val="none" w:color="auto"/>
        </w:rPr>
        <w:t>表3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.2-1</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3868B99F">
      <w:pPr>
        <w:pageBreakBefore w:val="0"/>
        <w:widowControl/>
        <w:kinsoku w:val="0"/>
        <w:wordWrap w:val="0"/>
        <w:overflowPunct/>
        <w:topLinePunct/>
        <w:autoSpaceDE/>
        <w:autoSpaceDN/>
        <w:bidi w:val="0"/>
        <w:spacing w:line="240" w:lineRule="auto"/>
        <w:jc w:val="center"/>
        <w:rPr>
          <w:rFonts w:hint="default" w:ascii="Times New Roman" w:hAnsi="Times New Roman" w:eastAsia="宋体" w:cs="Times New Roman"/>
          <w:b/>
          <w:caps w:val="0"/>
          <w:smallCaps w:val="0"/>
          <w:color w:val="auto"/>
          <w:spacing w:val="0"/>
          <w:w w:val="100"/>
          <w:kern w:val="0"/>
          <w:position w:val="0"/>
          <w:sz w:val="24"/>
          <w:szCs w:val="24"/>
          <w:u w:val="none" w:color="auto"/>
          <w:lang w:eastAsia="zh-CN" w:bidi="ar"/>
        </w:rPr>
      </w:pPr>
      <w:r>
        <w:rPr>
          <w:rFonts w:hint="default" w:ascii="Times New Roman" w:hAnsi="Times New Roman" w:eastAsia="宋体" w:cs="Times New Roman"/>
          <w:b/>
          <w:caps w:val="0"/>
          <w:smallCaps w:val="0"/>
          <w:color w:val="auto"/>
          <w:spacing w:val="0"/>
          <w:w w:val="100"/>
          <w:position w:val="0"/>
          <w:sz w:val="24"/>
          <w:szCs w:val="24"/>
          <w:u w:val="none" w:color="auto"/>
        </w:rPr>
        <w:t>表3</w:t>
      </w:r>
      <w:r>
        <w:rPr>
          <w:rFonts w:hint="default" w:ascii="Times New Roman" w:hAnsi="Times New Roman" w:eastAsia="宋体" w:cs="Times New Roman"/>
          <w:b/>
          <w:caps w:val="0"/>
          <w:smallCaps w:val="0"/>
          <w:color w:val="auto"/>
          <w:spacing w:val="0"/>
          <w:w w:val="100"/>
          <w:position w:val="0"/>
          <w:sz w:val="24"/>
          <w:szCs w:val="24"/>
          <w:u w:val="none" w:color="auto"/>
          <w:lang w:val="en-US" w:eastAsia="zh-CN"/>
        </w:rPr>
        <w:t>.2-1</w:t>
      </w:r>
      <w:r>
        <w:rPr>
          <w:rFonts w:hint="default" w:ascii="Times New Roman" w:hAnsi="Times New Roman" w:eastAsia="宋体" w:cs="Times New Roman"/>
          <w:b/>
          <w:caps w:val="0"/>
          <w:smallCaps w:val="0"/>
          <w:color w:val="auto"/>
          <w:spacing w:val="0"/>
          <w:w w:val="100"/>
          <w:position w:val="0"/>
          <w:sz w:val="24"/>
          <w:szCs w:val="24"/>
          <w:u w:val="none" w:color="auto"/>
        </w:rPr>
        <w:t xml:space="preserve">  202</w:t>
      </w:r>
      <w:r>
        <w:rPr>
          <w:rFonts w:hint="default" w:ascii="Times New Roman" w:hAnsi="Times New Roman" w:eastAsia="宋体" w:cs="Times New Roman"/>
          <w:b/>
          <w:caps w:val="0"/>
          <w:smallCaps w:val="0"/>
          <w:color w:val="auto"/>
          <w:spacing w:val="0"/>
          <w:w w:val="100"/>
          <w:position w:val="0"/>
          <w:sz w:val="24"/>
          <w:szCs w:val="24"/>
          <w:u w:val="none" w:color="auto"/>
          <w:lang w:val="en-US" w:eastAsia="zh-CN"/>
        </w:rPr>
        <w:t>3</w:t>
      </w:r>
      <w:r>
        <w:rPr>
          <w:rFonts w:hint="default" w:ascii="Times New Roman" w:hAnsi="Times New Roman" w:eastAsia="宋体" w:cs="Times New Roman"/>
          <w:b/>
          <w:caps w:val="0"/>
          <w:smallCaps w:val="0"/>
          <w:color w:val="auto"/>
          <w:spacing w:val="0"/>
          <w:w w:val="100"/>
          <w:position w:val="0"/>
          <w:sz w:val="24"/>
          <w:szCs w:val="24"/>
          <w:u w:val="none" w:color="auto"/>
        </w:rPr>
        <w:t>年</w:t>
      </w:r>
      <w:r>
        <w:rPr>
          <w:rFonts w:hint="default" w:ascii="Times New Roman" w:hAnsi="Times New Roman" w:eastAsia="宋体" w:cs="Times New Roman"/>
          <w:b/>
          <w:caps w:val="0"/>
          <w:smallCaps w:val="0"/>
          <w:color w:val="auto"/>
          <w:spacing w:val="0"/>
          <w:w w:val="100"/>
          <w:position w:val="0"/>
          <w:sz w:val="24"/>
          <w:szCs w:val="24"/>
          <w:u w:val="none" w:color="auto"/>
          <w:lang w:eastAsia="zh-CN"/>
        </w:rPr>
        <w:t>华容县</w:t>
      </w:r>
      <w:r>
        <w:rPr>
          <w:rFonts w:hint="default" w:ascii="Times New Roman" w:hAnsi="Times New Roman" w:eastAsia="宋体" w:cs="Times New Roman"/>
          <w:b/>
          <w:caps w:val="0"/>
          <w:smallCaps w:val="0"/>
          <w:color w:val="auto"/>
          <w:spacing w:val="0"/>
          <w:w w:val="100"/>
          <w:position w:val="0"/>
          <w:sz w:val="24"/>
          <w:szCs w:val="24"/>
          <w:u w:val="none" w:color="auto"/>
        </w:rPr>
        <w:t>环境空气</w:t>
      </w:r>
      <w:r>
        <w:rPr>
          <w:rFonts w:hint="default" w:ascii="Times New Roman" w:hAnsi="Times New Roman" w:eastAsia="宋体" w:cs="Times New Roman"/>
          <w:b/>
          <w:caps w:val="0"/>
          <w:smallCaps w:val="0"/>
          <w:color w:val="auto"/>
          <w:spacing w:val="0"/>
          <w:w w:val="100"/>
          <w:position w:val="0"/>
          <w:sz w:val="24"/>
          <w:szCs w:val="24"/>
          <w:u w:val="none" w:color="auto"/>
          <w:lang w:eastAsia="zh-CN"/>
        </w:rPr>
        <w:t>质量现状评价表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70"/>
        <w:gridCol w:w="2860"/>
        <w:gridCol w:w="1426"/>
        <w:gridCol w:w="1359"/>
        <w:gridCol w:w="956"/>
        <w:gridCol w:w="956"/>
      </w:tblGrid>
      <w:tr w14:paraId="2E0116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9" w:type="pct"/>
            <w:tcBorders>
              <w:tl2br w:val="nil"/>
              <w:tr2bl w:val="nil"/>
            </w:tcBorders>
            <w:noWrap w:val="0"/>
            <w:vAlign w:val="center"/>
          </w:tcPr>
          <w:p w14:paraId="2D901FE2">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caps w:val="0"/>
                <w:smallCaps w:val="0"/>
                <w:color w:val="auto"/>
                <w:spacing w:val="0"/>
                <w:w w:val="100"/>
                <w:kern w:val="0"/>
                <w:position w:val="0"/>
                <w:szCs w:val="21"/>
                <w:u w:val="none" w:color="auto"/>
                <w:lang w:bidi="ar"/>
              </w:rPr>
            </w:pPr>
            <w:r>
              <w:rPr>
                <w:rFonts w:hint="default" w:ascii="Times New Roman" w:hAnsi="Times New Roman" w:eastAsia="宋体" w:cs="Times New Roman"/>
                <w:b/>
                <w:caps w:val="0"/>
                <w:smallCaps w:val="0"/>
                <w:color w:val="auto"/>
                <w:spacing w:val="0"/>
                <w:w w:val="100"/>
                <w:kern w:val="0"/>
                <w:position w:val="0"/>
                <w:szCs w:val="21"/>
                <w:u w:val="none" w:color="auto"/>
                <w:lang w:bidi="ar"/>
              </w:rPr>
              <w:t>污染物</w:t>
            </w:r>
          </w:p>
        </w:tc>
        <w:tc>
          <w:tcPr>
            <w:tcW w:w="1675" w:type="pct"/>
            <w:tcBorders>
              <w:tl2br w:val="nil"/>
              <w:tr2bl w:val="nil"/>
            </w:tcBorders>
            <w:noWrap w:val="0"/>
            <w:vAlign w:val="center"/>
          </w:tcPr>
          <w:p w14:paraId="3FCF087F">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caps w:val="0"/>
                <w:smallCaps w:val="0"/>
                <w:color w:val="auto"/>
                <w:spacing w:val="0"/>
                <w:w w:val="100"/>
                <w:kern w:val="0"/>
                <w:position w:val="0"/>
                <w:szCs w:val="21"/>
                <w:u w:val="none" w:color="auto"/>
                <w:lang w:bidi="ar"/>
              </w:rPr>
            </w:pPr>
            <w:r>
              <w:rPr>
                <w:rFonts w:hint="default" w:ascii="Times New Roman" w:hAnsi="Times New Roman" w:eastAsia="宋体" w:cs="Times New Roman"/>
                <w:b/>
                <w:caps w:val="0"/>
                <w:smallCaps w:val="0"/>
                <w:color w:val="auto"/>
                <w:spacing w:val="0"/>
                <w:w w:val="100"/>
                <w:kern w:val="0"/>
                <w:position w:val="0"/>
                <w:szCs w:val="21"/>
                <w:u w:val="none" w:color="auto"/>
                <w:lang w:bidi="ar"/>
              </w:rPr>
              <w:t>年评价指标</w:t>
            </w:r>
          </w:p>
        </w:tc>
        <w:tc>
          <w:tcPr>
            <w:tcW w:w="835" w:type="pct"/>
            <w:tcBorders>
              <w:tl2br w:val="nil"/>
              <w:tr2bl w:val="nil"/>
            </w:tcBorders>
            <w:noWrap w:val="0"/>
            <w:vAlign w:val="center"/>
          </w:tcPr>
          <w:p w14:paraId="008BD4F7">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caps w:val="0"/>
                <w:smallCaps w:val="0"/>
                <w:color w:val="auto"/>
                <w:spacing w:val="0"/>
                <w:w w:val="100"/>
                <w:kern w:val="0"/>
                <w:position w:val="0"/>
                <w:szCs w:val="21"/>
                <w:u w:val="none" w:color="auto"/>
                <w:lang w:bidi="ar"/>
              </w:rPr>
            </w:pPr>
            <w:r>
              <w:rPr>
                <w:rFonts w:hint="default" w:ascii="Times New Roman" w:hAnsi="Times New Roman" w:eastAsia="宋体" w:cs="Times New Roman"/>
                <w:b/>
                <w:caps w:val="0"/>
                <w:smallCaps w:val="0"/>
                <w:color w:val="auto"/>
                <w:spacing w:val="0"/>
                <w:w w:val="100"/>
                <w:kern w:val="0"/>
                <w:position w:val="0"/>
                <w:szCs w:val="21"/>
                <w:u w:val="none" w:color="auto"/>
                <w:lang w:bidi="ar"/>
              </w:rPr>
              <w:t>现状浓度</w:t>
            </w:r>
          </w:p>
          <w:p w14:paraId="1F0019F3">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caps w:val="0"/>
                <w:smallCaps w:val="0"/>
                <w:color w:val="auto"/>
                <w:spacing w:val="0"/>
                <w:w w:val="100"/>
                <w:kern w:val="0"/>
                <w:position w:val="0"/>
                <w:szCs w:val="21"/>
                <w:u w:val="none" w:color="auto"/>
                <w:lang w:bidi="ar"/>
              </w:rPr>
            </w:pPr>
            <w:r>
              <w:rPr>
                <w:rFonts w:hint="default" w:ascii="Times New Roman" w:hAnsi="Times New Roman" w:eastAsia="宋体" w:cs="Times New Roman"/>
                <w:b/>
                <w:caps w:val="0"/>
                <w:smallCaps w:val="0"/>
                <w:color w:val="auto"/>
                <w:spacing w:val="0"/>
                <w:w w:val="100"/>
                <w:kern w:val="0"/>
                <w:position w:val="0"/>
                <w:szCs w:val="21"/>
                <w:u w:val="none" w:color="auto"/>
                <w:lang w:bidi="ar"/>
              </w:rPr>
              <w:t>(μg/m</w:t>
            </w:r>
            <w:r>
              <w:rPr>
                <w:rFonts w:hint="default" w:ascii="Times New Roman" w:hAnsi="Times New Roman" w:eastAsia="宋体" w:cs="Times New Roman"/>
                <w:b/>
                <w:caps w:val="0"/>
                <w:smallCaps w:val="0"/>
                <w:color w:val="auto"/>
                <w:spacing w:val="0"/>
                <w:w w:val="100"/>
                <w:kern w:val="0"/>
                <w:position w:val="0"/>
                <w:szCs w:val="21"/>
                <w:u w:val="none" w:color="auto"/>
                <w:vertAlign w:val="superscript"/>
                <w:lang w:bidi="ar"/>
              </w:rPr>
              <w:t>3</w:t>
            </w:r>
            <w:r>
              <w:rPr>
                <w:rFonts w:hint="default" w:ascii="Times New Roman" w:hAnsi="Times New Roman" w:eastAsia="宋体" w:cs="Times New Roman"/>
                <w:b/>
                <w:caps w:val="0"/>
                <w:smallCaps w:val="0"/>
                <w:color w:val="auto"/>
                <w:spacing w:val="0"/>
                <w:w w:val="100"/>
                <w:kern w:val="0"/>
                <w:position w:val="0"/>
                <w:szCs w:val="21"/>
                <w:u w:val="none" w:color="auto"/>
                <w:lang w:bidi="ar"/>
              </w:rPr>
              <w:t>)</w:t>
            </w:r>
          </w:p>
        </w:tc>
        <w:tc>
          <w:tcPr>
            <w:tcW w:w="796" w:type="pct"/>
            <w:tcBorders>
              <w:tl2br w:val="nil"/>
              <w:tr2bl w:val="nil"/>
            </w:tcBorders>
            <w:noWrap w:val="0"/>
            <w:vAlign w:val="center"/>
          </w:tcPr>
          <w:p w14:paraId="67497796">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caps w:val="0"/>
                <w:smallCaps w:val="0"/>
                <w:color w:val="auto"/>
                <w:spacing w:val="0"/>
                <w:w w:val="100"/>
                <w:kern w:val="0"/>
                <w:position w:val="0"/>
                <w:szCs w:val="21"/>
                <w:u w:val="none" w:color="auto"/>
                <w:lang w:bidi="ar"/>
              </w:rPr>
            </w:pPr>
            <w:r>
              <w:rPr>
                <w:rFonts w:hint="default" w:ascii="Times New Roman" w:hAnsi="Times New Roman" w:eastAsia="宋体" w:cs="Times New Roman"/>
                <w:b/>
                <w:caps w:val="0"/>
                <w:smallCaps w:val="0"/>
                <w:color w:val="auto"/>
                <w:spacing w:val="0"/>
                <w:w w:val="100"/>
                <w:kern w:val="0"/>
                <w:position w:val="0"/>
                <w:szCs w:val="21"/>
                <w:u w:val="none" w:color="auto"/>
                <w:lang w:bidi="ar"/>
              </w:rPr>
              <w:t>标准值</w:t>
            </w:r>
          </w:p>
          <w:p w14:paraId="4CAC1730">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caps w:val="0"/>
                <w:smallCaps w:val="0"/>
                <w:color w:val="auto"/>
                <w:spacing w:val="0"/>
                <w:w w:val="100"/>
                <w:kern w:val="0"/>
                <w:position w:val="0"/>
                <w:szCs w:val="21"/>
                <w:u w:val="none" w:color="auto"/>
                <w:lang w:bidi="ar"/>
              </w:rPr>
            </w:pPr>
            <w:r>
              <w:rPr>
                <w:rFonts w:hint="default" w:ascii="Times New Roman" w:hAnsi="Times New Roman" w:eastAsia="宋体" w:cs="Times New Roman"/>
                <w:b/>
                <w:caps w:val="0"/>
                <w:smallCaps w:val="0"/>
                <w:color w:val="auto"/>
                <w:spacing w:val="0"/>
                <w:w w:val="100"/>
                <w:kern w:val="0"/>
                <w:position w:val="0"/>
                <w:szCs w:val="21"/>
                <w:u w:val="none" w:color="auto"/>
                <w:lang w:bidi="ar"/>
              </w:rPr>
              <w:t>(μg/m</w:t>
            </w:r>
            <w:r>
              <w:rPr>
                <w:rFonts w:hint="default" w:ascii="Times New Roman" w:hAnsi="Times New Roman" w:eastAsia="宋体" w:cs="Times New Roman"/>
                <w:b/>
                <w:caps w:val="0"/>
                <w:smallCaps w:val="0"/>
                <w:color w:val="auto"/>
                <w:spacing w:val="0"/>
                <w:w w:val="100"/>
                <w:kern w:val="0"/>
                <w:position w:val="0"/>
                <w:szCs w:val="21"/>
                <w:u w:val="none" w:color="auto"/>
                <w:vertAlign w:val="superscript"/>
                <w:lang w:bidi="ar"/>
              </w:rPr>
              <w:t>3</w:t>
            </w:r>
            <w:r>
              <w:rPr>
                <w:rFonts w:hint="default" w:ascii="Times New Roman" w:hAnsi="Times New Roman" w:eastAsia="宋体" w:cs="Times New Roman"/>
                <w:b/>
                <w:caps w:val="0"/>
                <w:smallCaps w:val="0"/>
                <w:color w:val="auto"/>
                <w:spacing w:val="0"/>
                <w:w w:val="100"/>
                <w:kern w:val="0"/>
                <w:position w:val="0"/>
                <w:szCs w:val="21"/>
                <w:u w:val="none" w:color="auto"/>
                <w:lang w:bidi="ar"/>
              </w:rPr>
              <w:t>)</w:t>
            </w:r>
          </w:p>
        </w:tc>
        <w:tc>
          <w:tcPr>
            <w:tcW w:w="560" w:type="pct"/>
            <w:tcBorders>
              <w:tl2br w:val="nil"/>
              <w:tr2bl w:val="nil"/>
            </w:tcBorders>
            <w:noWrap w:val="0"/>
            <w:vAlign w:val="center"/>
          </w:tcPr>
          <w:p w14:paraId="4D0C4B5D">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caps w:val="0"/>
                <w:smallCaps w:val="0"/>
                <w:color w:val="auto"/>
                <w:spacing w:val="0"/>
                <w:w w:val="100"/>
                <w:kern w:val="0"/>
                <w:position w:val="0"/>
                <w:szCs w:val="21"/>
                <w:u w:val="none" w:color="auto"/>
                <w:lang w:val="en-US" w:eastAsia="zh-CN" w:bidi="ar"/>
              </w:rPr>
            </w:pPr>
            <w:r>
              <w:rPr>
                <w:rFonts w:hint="default" w:ascii="Times New Roman" w:hAnsi="Times New Roman" w:eastAsia="宋体" w:cs="Times New Roman"/>
                <w:b/>
                <w:caps w:val="0"/>
                <w:smallCaps w:val="0"/>
                <w:color w:val="auto"/>
                <w:spacing w:val="0"/>
                <w:w w:val="100"/>
                <w:kern w:val="0"/>
                <w:position w:val="0"/>
                <w:szCs w:val="21"/>
                <w:u w:val="none" w:color="auto"/>
                <w:lang w:val="en-US" w:eastAsia="zh-CN" w:bidi="ar"/>
              </w:rPr>
              <w:t>占标率（%）</w:t>
            </w:r>
          </w:p>
        </w:tc>
        <w:tc>
          <w:tcPr>
            <w:tcW w:w="560" w:type="pct"/>
            <w:tcBorders>
              <w:tl2br w:val="nil"/>
              <w:tr2bl w:val="nil"/>
            </w:tcBorders>
            <w:noWrap w:val="0"/>
            <w:vAlign w:val="center"/>
          </w:tcPr>
          <w:p w14:paraId="71ABDA6B">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caps w:val="0"/>
                <w:smallCaps w:val="0"/>
                <w:color w:val="auto"/>
                <w:spacing w:val="0"/>
                <w:w w:val="100"/>
                <w:kern w:val="0"/>
                <w:position w:val="0"/>
                <w:szCs w:val="21"/>
                <w:u w:val="none" w:color="auto"/>
                <w:lang w:bidi="ar"/>
              </w:rPr>
            </w:pPr>
            <w:r>
              <w:rPr>
                <w:rFonts w:hint="default" w:ascii="Times New Roman" w:hAnsi="Times New Roman" w:eastAsia="宋体" w:cs="Times New Roman"/>
                <w:b/>
                <w:caps w:val="0"/>
                <w:smallCaps w:val="0"/>
                <w:color w:val="auto"/>
                <w:spacing w:val="0"/>
                <w:w w:val="100"/>
                <w:kern w:val="0"/>
                <w:position w:val="0"/>
                <w:szCs w:val="21"/>
                <w:u w:val="none" w:color="auto"/>
                <w:lang w:bidi="ar"/>
              </w:rPr>
              <w:t>达标</w:t>
            </w:r>
          </w:p>
          <w:p w14:paraId="07F1136E">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b/>
                <w:caps w:val="0"/>
                <w:smallCaps w:val="0"/>
                <w:color w:val="auto"/>
                <w:spacing w:val="0"/>
                <w:w w:val="100"/>
                <w:kern w:val="0"/>
                <w:position w:val="0"/>
                <w:szCs w:val="21"/>
                <w:u w:val="none" w:color="auto"/>
                <w:lang w:bidi="ar"/>
              </w:rPr>
            </w:pPr>
            <w:r>
              <w:rPr>
                <w:rFonts w:hint="default" w:ascii="Times New Roman" w:hAnsi="Times New Roman" w:eastAsia="宋体" w:cs="Times New Roman"/>
                <w:b/>
                <w:caps w:val="0"/>
                <w:smallCaps w:val="0"/>
                <w:color w:val="auto"/>
                <w:spacing w:val="0"/>
                <w:w w:val="100"/>
                <w:kern w:val="0"/>
                <w:position w:val="0"/>
                <w:szCs w:val="21"/>
                <w:u w:val="none" w:color="auto"/>
                <w:lang w:bidi="ar"/>
              </w:rPr>
              <w:t>情况</w:t>
            </w:r>
          </w:p>
        </w:tc>
      </w:tr>
      <w:tr w14:paraId="04784D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9" w:type="pct"/>
            <w:tcBorders>
              <w:tl2br w:val="nil"/>
              <w:tr2bl w:val="nil"/>
            </w:tcBorders>
            <w:noWrap w:val="0"/>
            <w:vAlign w:val="center"/>
          </w:tcPr>
          <w:p w14:paraId="77B68DDB">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SO</w:t>
            </w:r>
            <w:r>
              <w:rPr>
                <w:rFonts w:hint="default" w:ascii="Times New Roman" w:hAnsi="Times New Roman" w:eastAsia="宋体" w:cs="Times New Roman"/>
                <w:caps w:val="0"/>
                <w:smallCaps w:val="0"/>
                <w:color w:val="auto"/>
                <w:spacing w:val="0"/>
                <w:w w:val="100"/>
                <w:kern w:val="0"/>
                <w:position w:val="0"/>
                <w:szCs w:val="21"/>
                <w:u w:val="none" w:color="auto"/>
                <w:vertAlign w:val="subscript"/>
                <w:lang w:bidi="ar"/>
              </w:rPr>
              <w:t>2</w:t>
            </w:r>
          </w:p>
        </w:tc>
        <w:tc>
          <w:tcPr>
            <w:tcW w:w="1675" w:type="pct"/>
            <w:tcBorders>
              <w:tl2br w:val="nil"/>
              <w:tr2bl w:val="nil"/>
            </w:tcBorders>
            <w:noWrap w:val="0"/>
            <w:vAlign w:val="center"/>
          </w:tcPr>
          <w:p w14:paraId="6935F5DE">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年平均质量浓度</w:t>
            </w:r>
          </w:p>
        </w:tc>
        <w:tc>
          <w:tcPr>
            <w:tcW w:w="835" w:type="pct"/>
            <w:tcBorders>
              <w:tl2br w:val="nil"/>
              <w:tr2bl w:val="nil"/>
            </w:tcBorders>
            <w:noWrap w:val="0"/>
            <w:vAlign w:val="center"/>
          </w:tcPr>
          <w:p w14:paraId="19B5A2DA">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pPr>
            <w:r>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t>8</w:t>
            </w:r>
          </w:p>
        </w:tc>
        <w:tc>
          <w:tcPr>
            <w:tcW w:w="796" w:type="pct"/>
            <w:tcBorders>
              <w:tl2br w:val="nil"/>
              <w:tr2bl w:val="nil"/>
            </w:tcBorders>
            <w:noWrap w:val="0"/>
            <w:vAlign w:val="center"/>
          </w:tcPr>
          <w:p w14:paraId="2DA63AAE">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60</w:t>
            </w:r>
          </w:p>
        </w:tc>
        <w:tc>
          <w:tcPr>
            <w:tcW w:w="560" w:type="pct"/>
            <w:tcBorders>
              <w:tl2br w:val="nil"/>
              <w:tr2bl w:val="nil"/>
            </w:tcBorders>
            <w:noWrap w:val="0"/>
            <w:vAlign w:val="center"/>
          </w:tcPr>
          <w:p w14:paraId="29C29932">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pPr>
            <w:r>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t>13.33</w:t>
            </w:r>
          </w:p>
        </w:tc>
        <w:tc>
          <w:tcPr>
            <w:tcW w:w="560" w:type="pct"/>
            <w:tcBorders>
              <w:tl2br w:val="nil"/>
              <w:tr2bl w:val="nil"/>
            </w:tcBorders>
            <w:noWrap w:val="0"/>
            <w:vAlign w:val="center"/>
          </w:tcPr>
          <w:p w14:paraId="0CC0AEA7">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达标</w:t>
            </w:r>
          </w:p>
        </w:tc>
      </w:tr>
      <w:tr w14:paraId="328B77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9" w:type="pct"/>
            <w:tcBorders>
              <w:tl2br w:val="nil"/>
              <w:tr2bl w:val="nil"/>
            </w:tcBorders>
            <w:noWrap w:val="0"/>
            <w:vAlign w:val="center"/>
          </w:tcPr>
          <w:p w14:paraId="27A512F1">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NO</w:t>
            </w:r>
            <w:r>
              <w:rPr>
                <w:rFonts w:hint="default" w:ascii="Times New Roman" w:hAnsi="Times New Roman" w:eastAsia="宋体" w:cs="Times New Roman"/>
                <w:caps w:val="0"/>
                <w:smallCaps w:val="0"/>
                <w:color w:val="auto"/>
                <w:spacing w:val="0"/>
                <w:w w:val="100"/>
                <w:kern w:val="0"/>
                <w:position w:val="0"/>
                <w:szCs w:val="21"/>
                <w:u w:val="none" w:color="auto"/>
                <w:vertAlign w:val="subscript"/>
                <w:lang w:bidi="ar"/>
              </w:rPr>
              <w:t>2</w:t>
            </w:r>
          </w:p>
        </w:tc>
        <w:tc>
          <w:tcPr>
            <w:tcW w:w="1675" w:type="pct"/>
            <w:tcBorders>
              <w:tl2br w:val="nil"/>
              <w:tr2bl w:val="nil"/>
            </w:tcBorders>
            <w:noWrap w:val="0"/>
            <w:vAlign w:val="center"/>
          </w:tcPr>
          <w:p w14:paraId="26EDB3BF">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年平均质量浓度</w:t>
            </w:r>
          </w:p>
        </w:tc>
        <w:tc>
          <w:tcPr>
            <w:tcW w:w="835" w:type="pct"/>
            <w:tcBorders>
              <w:tl2br w:val="nil"/>
              <w:tr2bl w:val="nil"/>
            </w:tcBorders>
            <w:noWrap w:val="0"/>
            <w:vAlign w:val="center"/>
          </w:tcPr>
          <w:p w14:paraId="3C9ED5E1">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pPr>
            <w:r>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t>12</w:t>
            </w:r>
          </w:p>
        </w:tc>
        <w:tc>
          <w:tcPr>
            <w:tcW w:w="796" w:type="pct"/>
            <w:tcBorders>
              <w:tl2br w:val="nil"/>
              <w:tr2bl w:val="nil"/>
            </w:tcBorders>
            <w:noWrap w:val="0"/>
            <w:vAlign w:val="center"/>
          </w:tcPr>
          <w:p w14:paraId="5848D0EE">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40</w:t>
            </w:r>
          </w:p>
        </w:tc>
        <w:tc>
          <w:tcPr>
            <w:tcW w:w="560" w:type="pct"/>
            <w:tcBorders>
              <w:tl2br w:val="nil"/>
              <w:tr2bl w:val="nil"/>
            </w:tcBorders>
            <w:noWrap w:val="0"/>
            <w:vAlign w:val="center"/>
          </w:tcPr>
          <w:p w14:paraId="77F62AB4">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pPr>
            <w:r>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t>30</w:t>
            </w:r>
          </w:p>
        </w:tc>
        <w:tc>
          <w:tcPr>
            <w:tcW w:w="560" w:type="pct"/>
            <w:tcBorders>
              <w:tl2br w:val="nil"/>
              <w:tr2bl w:val="nil"/>
            </w:tcBorders>
            <w:noWrap w:val="0"/>
            <w:vAlign w:val="center"/>
          </w:tcPr>
          <w:p w14:paraId="6E5787D4">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达标</w:t>
            </w:r>
          </w:p>
        </w:tc>
      </w:tr>
      <w:tr w14:paraId="45BA41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9" w:type="pct"/>
            <w:tcBorders>
              <w:tl2br w:val="nil"/>
              <w:tr2bl w:val="nil"/>
            </w:tcBorders>
            <w:noWrap w:val="0"/>
            <w:vAlign w:val="center"/>
          </w:tcPr>
          <w:p w14:paraId="011E07B1">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PM</w:t>
            </w:r>
            <w:r>
              <w:rPr>
                <w:rFonts w:hint="default" w:ascii="Times New Roman" w:hAnsi="Times New Roman" w:eastAsia="宋体" w:cs="Times New Roman"/>
                <w:caps w:val="0"/>
                <w:smallCaps w:val="0"/>
                <w:color w:val="auto"/>
                <w:spacing w:val="0"/>
                <w:w w:val="100"/>
                <w:kern w:val="0"/>
                <w:position w:val="0"/>
                <w:szCs w:val="21"/>
                <w:u w:val="none" w:color="auto"/>
                <w:vertAlign w:val="subscript"/>
                <w:lang w:bidi="ar"/>
              </w:rPr>
              <w:t>10</w:t>
            </w:r>
          </w:p>
        </w:tc>
        <w:tc>
          <w:tcPr>
            <w:tcW w:w="1675" w:type="pct"/>
            <w:tcBorders>
              <w:tl2br w:val="nil"/>
              <w:tr2bl w:val="nil"/>
            </w:tcBorders>
            <w:noWrap w:val="0"/>
            <w:vAlign w:val="center"/>
          </w:tcPr>
          <w:p w14:paraId="65745570">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年平均质量浓度</w:t>
            </w:r>
          </w:p>
        </w:tc>
        <w:tc>
          <w:tcPr>
            <w:tcW w:w="835" w:type="pct"/>
            <w:tcBorders>
              <w:tl2br w:val="nil"/>
              <w:tr2bl w:val="nil"/>
            </w:tcBorders>
            <w:noWrap w:val="0"/>
            <w:vAlign w:val="center"/>
          </w:tcPr>
          <w:p w14:paraId="732A34C6">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pPr>
            <w:r>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t>54</w:t>
            </w:r>
          </w:p>
        </w:tc>
        <w:tc>
          <w:tcPr>
            <w:tcW w:w="796" w:type="pct"/>
            <w:tcBorders>
              <w:tl2br w:val="nil"/>
              <w:tr2bl w:val="nil"/>
            </w:tcBorders>
            <w:noWrap w:val="0"/>
            <w:vAlign w:val="center"/>
          </w:tcPr>
          <w:p w14:paraId="44D13C35">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70</w:t>
            </w:r>
          </w:p>
        </w:tc>
        <w:tc>
          <w:tcPr>
            <w:tcW w:w="560" w:type="pct"/>
            <w:tcBorders>
              <w:tl2br w:val="nil"/>
              <w:tr2bl w:val="nil"/>
            </w:tcBorders>
            <w:noWrap w:val="0"/>
            <w:vAlign w:val="center"/>
          </w:tcPr>
          <w:p w14:paraId="6C0D8497">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pPr>
            <w:r>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t>77.14</w:t>
            </w:r>
          </w:p>
        </w:tc>
        <w:tc>
          <w:tcPr>
            <w:tcW w:w="560" w:type="pct"/>
            <w:tcBorders>
              <w:tl2br w:val="nil"/>
              <w:tr2bl w:val="nil"/>
            </w:tcBorders>
            <w:noWrap w:val="0"/>
            <w:vAlign w:val="center"/>
          </w:tcPr>
          <w:p w14:paraId="35466C0C">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达标</w:t>
            </w:r>
          </w:p>
        </w:tc>
      </w:tr>
      <w:tr w14:paraId="3086A3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9" w:type="pct"/>
            <w:tcBorders>
              <w:tl2br w:val="nil"/>
              <w:tr2bl w:val="nil"/>
            </w:tcBorders>
            <w:noWrap w:val="0"/>
            <w:vAlign w:val="center"/>
          </w:tcPr>
          <w:p w14:paraId="3270E15D">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PM</w:t>
            </w:r>
            <w:r>
              <w:rPr>
                <w:rFonts w:hint="default" w:ascii="Times New Roman" w:hAnsi="Times New Roman" w:eastAsia="宋体" w:cs="Times New Roman"/>
                <w:caps w:val="0"/>
                <w:smallCaps w:val="0"/>
                <w:color w:val="auto"/>
                <w:spacing w:val="0"/>
                <w:w w:val="100"/>
                <w:kern w:val="0"/>
                <w:position w:val="0"/>
                <w:szCs w:val="21"/>
                <w:u w:val="none" w:color="auto"/>
                <w:vertAlign w:val="subscript"/>
                <w:lang w:bidi="ar"/>
              </w:rPr>
              <w:t>2.5</w:t>
            </w:r>
          </w:p>
        </w:tc>
        <w:tc>
          <w:tcPr>
            <w:tcW w:w="1675" w:type="pct"/>
            <w:tcBorders>
              <w:tl2br w:val="nil"/>
              <w:tr2bl w:val="nil"/>
            </w:tcBorders>
            <w:noWrap w:val="0"/>
            <w:vAlign w:val="center"/>
          </w:tcPr>
          <w:p w14:paraId="296A9C8F">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年平均质量浓度</w:t>
            </w:r>
          </w:p>
        </w:tc>
        <w:tc>
          <w:tcPr>
            <w:tcW w:w="835" w:type="pct"/>
            <w:tcBorders>
              <w:tl2br w:val="nil"/>
              <w:tr2bl w:val="nil"/>
            </w:tcBorders>
            <w:noWrap w:val="0"/>
            <w:vAlign w:val="center"/>
          </w:tcPr>
          <w:p w14:paraId="070D6E1A">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pPr>
            <w:r>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t>34</w:t>
            </w:r>
          </w:p>
        </w:tc>
        <w:tc>
          <w:tcPr>
            <w:tcW w:w="796" w:type="pct"/>
            <w:tcBorders>
              <w:tl2br w:val="nil"/>
              <w:tr2bl w:val="nil"/>
            </w:tcBorders>
            <w:noWrap w:val="0"/>
            <w:vAlign w:val="center"/>
          </w:tcPr>
          <w:p w14:paraId="1164204A">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35</w:t>
            </w:r>
          </w:p>
        </w:tc>
        <w:tc>
          <w:tcPr>
            <w:tcW w:w="560" w:type="pct"/>
            <w:tcBorders>
              <w:tl2br w:val="nil"/>
              <w:tr2bl w:val="nil"/>
            </w:tcBorders>
            <w:noWrap w:val="0"/>
            <w:vAlign w:val="center"/>
          </w:tcPr>
          <w:p w14:paraId="0566DEC9">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pPr>
            <w:r>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t>97.14</w:t>
            </w:r>
          </w:p>
        </w:tc>
        <w:tc>
          <w:tcPr>
            <w:tcW w:w="560" w:type="pct"/>
            <w:tcBorders>
              <w:tl2br w:val="nil"/>
              <w:tr2bl w:val="nil"/>
            </w:tcBorders>
            <w:noWrap w:val="0"/>
            <w:vAlign w:val="center"/>
          </w:tcPr>
          <w:p w14:paraId="5D890B3A">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达标</w:t>
            </w:r>
          </w:p>
        </w:tc>
      </w:tr>
      <w:tr w14:paraId="58291E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9" w:type="pct"/>
            <w:tcBorders>
              <w:tl2br w:val="nil"/>
              <w:tr2bl w:val="nil"/>
            </w:tcBorders>
            <w:noWrap w:val="0"/>
            <w:vAlign w:val="center"/>
          </w:tcPr>
          <w:p w14:paraId="6EF06A9A">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O</w:t>
            </w:r>
            <w:r>
              <w:rPr>
                <w:rFonts w:hint="default" w:ascii="Times New Roman" w:hAnsi="Times New Roman" w:eastAsia="宋体" w:cs="Times New Roman"/>
                <w:caps w:val="0"/>
                <w:smallCaps w:val="0"/>
                <w:color w:val="auto"/>
                <w:spacing w:val="0"/>
                <w:w w:val="100"/>
                <w:kern w:val="0"/>
                <w:position w:val="0"/>
                <w:szCs w:val="21"/>
                <w:u w:val="none" w:color="auto"/>
                <w:vertAlign w:val="subscript"/>
                <w:lang w:bidi="ar"/>
              </w:rPr>
              <w:t>3</w:t>
            </w:r>
          </w:p>
        </w:tc>
        <w:tc>
          <w:tcPr>
            <w:tcW w:w="1675" w:type="pct"/>
            <w:tcBorders>
              <w:tl2br w:val="nil"/>
              <w:tr2bl w:val="nil"/>
            </w:tcBorders>
            <w:noWrap w:val="0"/>
            <w:vAlign w:val="center"/>
          </w:tcPr>
          <w:p w14:paraId="2A75C8B2">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第90百分位数最大</w:t>
            </w:r>
            <w:r>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t>8</w:t>
            </w:r>
            <w:r>
              <w:rPr>
                <w:rFonts w:hint="default" w:ascii="Times New Roman" w:hAnsi="Times New Roman" w:eastAsia="宋体" w:cs="Times New Roman"/>
                <w:caps w:val="0"/>
                <w:smallCaps w:val="0"/>
                <w:color w:val="auto"/>
                <w:spacing w:val="0"/>
                <w:w w:val="100"/>
                <w:kern w:val="0"/>
                <w:position w:val="0"/>
                <w:szCs w:val="21"/>
                <w:u w:val="none" w:color="auto"/>
                <w:lang w:bidi="ar"/>
              </w:rPr>
              <w:cr/>
            </w:r>
            <w:r>
              <w:rPr>
                <w:rFonts w:hint="default" w:ascii="Times New Roman" w:hAnsi="Times New Roman" w:eastAsia="宋体" w:cs="Times New Roman"/>
                <w:caps w:val="0"/>
                <w:smallCaps w:val="0"/>
                <w:color w:val="auto"/>
                <w:spacing w:val="0"/>
                <w:w w:val="100"/>
                <w:kern w:val="0"/>
                <w:position w:val="0"/>
                <w:szCs w:val="21"/>
                <w:u w:val="none" w:color="auto"/>
                <w:lang w:bidi="ar"/>
              </w:rPr>
              <w:t>h滑动平均值</w:t>
            </w:r>
          </w:p>
        </w:tc>
        <w:tc>
          <w:tcPr>
            <w:tcW w:w="835" w:type="pct"/>
            <w:tcBorders>
              <w:tl2br w:val="nil"/>
              <w:tr2bl w:val="nil"/>
            </w:tcBorders>
            <w:noWrap w:val="0"/>
            <w:vAlign w:val="center"/>
          </w:tcPr>
          <w:p w14:paraId="401EF023">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1</w:t>
            </w:r>
            <w:r>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t>35</w:t>
            </w:r>
          </w:p>
        </w:tc>
        <w:tc>
          <w:tcPr>
            <w:tcW w:w="796" w:type="pct"/>
            <w:tcBorders>
              <w:tl2br w:val="nil"/>
              <w:tr2bl w:val="nil"/>
            </w:tcBorders>
            <w:noWrap w:val="0"/>
            <w:vAlign w:val="center"/>
          </w:tcPr>
          <w:p w14:paraId="31BFA016">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160</w:t>
            </w:r>
          </w:p>
        </w:tc>
        <w:tc>
          <w:tcPr>
            <w:tcW w:w="560" w:type="pct"/>
            <w:tcBorders>
              <w:tl2br w:val="nil"/>
              <w:tr2bl w:val="nil"/>
            </w:tcBorders>
            <w:noWrap w:val="0"/>
            <w:vAlign w:val="center"/>
          </w:tcPr>
          <w:p w14:paraId="79C172AA">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pPr>
            <w:r>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t>84.37</w:t>
            </w:r>
          </w:p>
        </w:tc>
        <w:tc>
          <w:tcPr>
            <w:tcW w:w="560" w:type="pct"/>
            <w:tcBorders>
              <w:tl2br w:val="nil"/>
              <w:tr2bl w:val="nil"/>
            </w:tcBorders>
            <w:noWrap w:val="0"/>
            <w:vAlign w:val="center"/>
          </w:tcPr>
          <w:p w14:paraId="44FF7D32">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达标</w:t>
            </w:r>
          </w:p>
        </w:tc>
      </w:tr>
      <w:tr w14:paraId="69268E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9" w:type="pct"/>
            <w:tcBorders>
              <w:tl2br w:val="nil"/>
              <w:tr2bl w:val="nil"/>
            </w:tcBorders>
            <w:noWrap w:val="0"/>
            <w:vAlign w:val="center"/>
          </w:tcPr>
          <w:p w14:paraId="759F3E9B">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CO</w:t>
            </w:r>
          </w:p>
        </w:tc>
        <w:tc>
          <w:tcPr>
            <w:tcW w:w="1675" w:type="pct"/>
            <w:tcBorders>
              <w:tl2br w:val="nil"/>
              <w:tr2bl w:val="nil"/>
            </w:tcBorders>
            <w:noWrap w:val="0"/>
            <w:vAlign w:val="center"/>
          </w:tcPr>
          <w:p w14:paraId="52455A44">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第95百分位数日均值</w:t>
            </w:r>
          </w:p>
        </w:tc>
        <w:tc>
          <w:tcPr>
            <w:tcW w:w="835" w:type="pct"/>
            <w:tcBorders>
              <w:tl2br w:val="nil"/>
              <w:tr2bl w:val="nil"/>
            </w:tcBorders>
            <w:noWrap w:val="0"/>
            <w:vAlign w:val="center"/>
          </w:tcPr>
          <w:p w14:paraId="4C16A713">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1</w:t>
            </w:r>
            <w:r>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t>000</w:t>
            </w:r>
          </w:p>
        </w:tc>
        <w:tc>
          <w:tcPr>
            <w:tcW w:w="796" w:type="pct"/>
            <w:tcBorders>
              <w:tl2br w:val="nil"/>
              <w:tr2bl w:val="nil"/>
            </w:tcBorders>
            <w:noWrap w:val="0"/>
            <w:vAlign w:val="center"/>
          </w:tcPr>
          <w:p w14:paraId="4698AA19">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4</w:t>
            </w:r>
            <w:r>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t>000</w:t>
            </w:r>
          </w:p>
        </w:tc>
        <w:tc>
          <w:tcPr>
            <w:tcW w:w="560" w:type="pct"/>
            <w:tcBorders>
              <w:tl2br w:val="nil"/>
              <w:tr2bl w:val="nil"/>
            </w:tcBorders>
            <w:noWrap w:val="0"/>
            <w:vAlign w:val="center"/>
          </w:tcPr>
          <w:p w14:paraId="396CCED2">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pPr>
            <w:r>
              <w:rPr>
                <w:rFonts w:hint="default" w:ascii="Times New Roman" w:hAnsi="Times New Roman" w:eastAsia="宋体" w:cs="Times New Roman"/>
                <w:caps w:val="0"/>
                <w:smallCaps w:val="0"/>
                <w:color w:val="auto"/>
                <w:spacing w:val="0"/>
                <w:w w:val="100"/>
                <w:kern w:val="0"/>
                <w:position w:val="0"/>
                <w:szCs w:val="21"/>
                <w:u w:val="none" w:color="auto"/>
                <w:lang w:val="en-US" w:eastAsia="zh-CN" w:bidi="ar"/>
              </w:rPr>
              <w:t>25</w:t>
            </w:r>
          </w:p>
        </w:tc>
        <w:tc>
          <w:tcPr>
            <w:tcW w:w="560" w:type="pct"/>
            <w:tcBorders>
              <w:tl2br w:val="nil"/>
              <w:tr2bl w:val="nil"/>
            </w:tcBorders>
            <w:noWrap w:val="0"/>
            <w:vAlign w:val="center"/>
          </w:tcPr>
          <w:p w14:paraId="1453E225">
            <w:pPr>
              <w:keepNext w:val="0"/>
              <w:keepLines w:val="0"/>
              <w:pageBreakBefore w:val="0"/>
              <w:widowControl/>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kern w:val="0"/>
                <w:position w:val="0"/>
                <w:szCs w:val="21"/>
                <w:u w:val="none" w:color="auto"/>
                <w:lang w:bidi="ar"/>
              </w:rPr>
            </w:pPr>
            <w:r>
              <w:rPr>
                <w:rFonts w:hint="default" w:ascii="Times New Roman" w:hAnsi="Times New Roman" w:eastAsia="宋体" w:cs="Times New Roman"/>
                <w:caps w:val="0"/>
                <w:smallCaps w:val="0"/>
                <w:color w:val="auto"/>
                <w:spacing w:val="0"/>
                <w:w w:val="100"/>
                <w:kern w:val="0"/>
                <w:position w:val="0"/>
                <w:szCs w:val="21"/>
                <w:u w:val="none" w:color="auto"/>
                <w:lang w:bidi="ar"/>
              </w:rPr>
              <w:t>达标</w:t>
            </w:r>
          </w:p>
        </w:tc>
      </w:tr>
    </w:tbl>
    <w:p w14:paraId="7C15091B">
      <w:pPr>
        <w:keepNext w:val="0"/>
        <w:keepLines w:val="0"/>
        <w:pageBreakBefore w:val="0"/>
        <w:widowControl w:val="0"/>
        <w:tabs>
          <w:tab w:val="left" w:pos="231"/>
        </w:tabs>
        <w:overflowPunct/>
        <w:autoSpaceDE/>
        <w:autoSpaceDN/>
        <w:bidi w:val="0"/>
        <w:snapToGrid/>
        <w:spacing w:line="360" w:lineRule="auto"/>
        <w:ind w:left="0" w:leftChars="0" w:firstLine="518"/>
        <w:textAlignment w:val="auto"/>
        <w:rPr>
          <w:rFonts w:hint="default" w:ascii="Times New Roman" w:hAnsi="Times New Roman" w:eastAsia="宋体" w:cs="Times New Roman"/>
          <w:color w:val="auto"/>
          <w:spacing w:val="0"/>
          <w:w w:val="100"/>
          <w:kern w:val="0"/>
          <w:position w:val="0"/>
          <w:sz w:val="24"/>
          <w:u w:val="none" w:color="auto"/>
          <w:lang w:eastAsia="zh-CN"/>
        </w:rPr>
      </w:pPr>
      <w:r>
        <w:rPr>
          <w:rFonts w:hint="default" w:ascii="Times New Roman" w:hAnsi="Times New Roman" w:eastAsia="宋体" w:cs="Times New Roman"/>
          <w:color w:val="auto"/>
          <w:spacing w:val="0"/>
          <w:w w:val="100"/>
          <w:position w:val="0"/>
          <w:sz w:val="24"/>
          <w:szCs w:val="24"/>
          <w:u w:val="none" w:color="auto"/>
        </w:rPr>
        <w:t>由</w:t>
      </w:r>
      <w:r>
        <w:rPr>
          <w:rFonts w:hint="default" w:ascii="Times New Roman" w:hAnsi="Times New Roman" w:eastAsia="宋体" w:cs="Times New Roman"/>
          <w:color w:val="auto"/>
          <w:spacing w:val="0"/>
          <w:w w:val="100"/>
          <w:position w:val="0"/>
          <w:sz w:val="24"/>
          <w:szCs w:val="24"/>
          <w:u w:val="none" w:color="auto"/>
          <w:lang w:eastAsia="zh-CN"/>
        </w:rPr>
        <w:t>上表</w:t>
      </w:r>
      <w:r>
        <w:rPr>
          <w:rFonts w:hint="default" w:ascii="Times New Roman" w:hAnsi="Times New Roman" w:eastAsia="宋体" w:cs="Times New Roman"/>
          <w:color w:val="auto"/>
          <w:spacing w:val="0"/>
          <w:w w:val="100"/>
          <w:position w:val="0"/>
          <w:sz w:val="24"/>
          <w:szCs w:val="24"/>
          <w:u w:val="none" w:color="auto"/>
        </w:rPr>
        <w:t>可知</w:t>
      </w:r>
      <w:r>
        <w:rPr>
          <w:rFonts w:hint="default" w:ascii="Times New Roman" w:hAnsi="Times New Roman" w:eastAsia="宋体" w:cs="Times New Roman"/>
          <w:color w:val="auto"/>
          <w:spacing w:val="0"/>
          <w:w w:val="100"/>
          <w:kern w:val="0"/>
          <w:position w:val="0"/>
          <w:sz w:val="24"/>
          <w:u w:val="none" w:color="auto"/>
          <w:lang w:eastAsia="zh-CN"/>
        </w:rPr>
        <w:t>，</w:t>
      </w:r>
      <w:r>
        <w:rPr>
          <w:rFonts w:hint="default" w:ascii="Times New Roman" w:hAnsi="Times New Roman" w:eastAsia="宋体" w:cs="Times New Roman"/>
          <w:color w:val="auto"/>
          <w:spacing w:val="0"/>
          <w:w w:val="100"/>
          <w:kern w:val="0"/>
          <w:position w:val="0"/>
          <w:sz w:val="24"/>
          <w:u w:val="none" w:color="auto"/>
          <w:lang w:val="en-US" w:eastAsia="zh-CN"/>
        </w:rPr>
        <w:t>2023年度华容县SO</w:t>
      </w:r>
      <w:r>
        <w:rPr>
          <w:rFonts w:hint="default" w:ascii="Times New Roman" w:hAnsi="Times New Roman" w:eastAsia="宋体" w:cs="Times New Roman"/>
          <w:color w:val="auto"/>
          <w:spacing w:val="0"/>
          <w:w w:val="100"/>
          <w:kern w:val="0"/>
          <w:position w:val="0"/>
          <w:sz w:val="24"/>
          <w:u w:val="none" w:color="auto"/>
          <w:vertAlign w:val="subscript"/>
          <w:lang w:val="en-US" w:eastAsia="zh-CN"/>
        </w:rPr>
        <w:t>2</w:t>
      </w:r>
      <w:r>
        <w:rPr>
          <w:rFonts w:hint="default" w:ascii="Times New Roman" w:hAnsi="Times New Roman" w:eastAsia="宋体" w:cs="Times New Roman"/>
          <w:color w:val="auto"/>
          <w:spacing w:val="0"/>
          <w:w w:val="100"/>
          <w:kern w:val="0"/>
          <w:position w:val="0"/>
          <w:sz w:val="24"/>
          <w:u w:val="none" w:color="auto"/>
          <w:lang w:val="en-US" w:eastAsia="zh-CN"/>
        </w:rPr>
        <w:t>、NO</w:t>
      </w:r>
      <w:r>
        <w:rPr>
          <w:rFonts w:hint="default" w:ascii="Times New Roman" w:hAnsi="Times New Roman" w:eastAsia="宋体" w:cs="Times New Roman"/>
          <w:color w:val="auto"/>
          <w:spacing w:val="0"/>
          <w:w w:val="100"/>
          <w:kern w:val="0"/>
          <w:position w:val="0"/>
          <w:sz w:val="24"/>
          <w:u w:val="none" w:color="auto"/>
          <w:vertAlign w:val="subscript"/>
          <w:lang w:val="en-US" w:eastAsia="zh-CN"/>
        </w:rPr>
        <w:t>2</w:t>
      </w:r>
      <w:r>
        <w:rPr>
          <w:rFonts w:hint="default" w:ascii="Times New Roman" w:hAnsi="Times New Roman" w:eastAsia="宋体" w:cs="Times New Roman"/>
          <w:color w:val="auto"/>
          <w:spacing w:val="0"/>
          <w:w w:val="100"/>
          <w:kern w:val="0"/>
          <w:position w:val="0"/>
          <w:sz w:val="24"/>
          <w:u w:val="none" w:color="auto"/>
          <w:lang w:val="en-US" w:eastAsia="zh-CN"/>
        </w:rPr>
        <w:t>、PM</w:t>
      </w:r>
      <w:r>
        <w:rPr>
          <w:rFonts w:hint="default" w:ascii="Times New Roman" w:hAnsi="Times New Roman" w:eastAsia="宋体" w:cs="Times New Roman"/>
          <w:color w:val="auto"/>
          <w:spacing w:val="0"/>
          <w:w w:val="100"/>
          <w:kern w:val="0"/>
          <w:position w:val="0"/>
          <w:sz w:val="24"/>
          <w:u w:val="none" w:color="auto"/>
          <w:vertAlign w:val="subscript"/>
          <w:lang w:val="en-US" w:eastAsia="zh-CN"/>
        </w:rPr>
        <w:t>10</w:t>
      </w:r>
      <w:r>
        <w:rPr>
          <w:rFonts w:hint="default" w:ascii="Times New Roman" w:hAnsi="Times New Roman" w:eastAsia="宋体" w:cs="Times New Roman"/>
          <w:color w:val="auto"/>
          <w:spacing w:val="0"/>
          <w:w w:val="100"/>
          <w:kern w:val="0"/>
          <w:position w:val="0"/>
          <w:sz w:val="24"/>
          <w:u w:val="none" w:color="auto"/>
          <w:lang w:val="en-US" w:eastAsia="zh-CN"/>
        </w:rPr>
        <w:t>、PM</w:t>
      </w:r>
      <w:r>
        <w:rPr>
          <w:rFonts w:hint="default" w:ascii="Times New Roman" w:hAnsi="Times New Roman" w:eastAsia="宋体" w:cs="Times New Roman"/>
          <w:color w:val="auto"/>
          <w:spacing w:val="0"/>
          <w:w w:val="100"/>
          <w:kern w:val="0"/>
          <w:position w:val="0"/>
          <w:sz w:val="24"/>
          <w:u w:val="none" w:color="auto"/>
          <w:vertAlign w:val="subscript"/>
          <w:lang w:val="en-US" w:eastAsia="zh-CN"/>
        </w:rPr>
        <w:t>2.5</w:t>
      </w:r>
      <w:r>
        <w:rPr>
          <w:rFonts w:hint="default" w:ascii="Times New Roman" w:hAnsi="Times New Roman" w:eastAsia="宋体" w:cs="Times New Roman"/>
          <w:color w:val="auto"/>
          <w:spacing w:val="0"/>
          <w:w w:val="100"/>
          <w:kern w:val="0"/>
          <w:position w:val="0"/>
          <w:sz w:val="24"/>
          <w:u w:val="none" w:color="auto"/>
          <w:lang w:val="en-US" w:eastAsia="zh-CN"/>
        </w:rPr>
        <w:t>的年均浓度，以及CO第95百分位数24小时平均浓度、O</w:t>
      </w:r>
      <w:r>
        <w:rPr>
          <w:rFonts w:hint="default" w:ascii="Times New Roman" w:hAnsi="Times New Roman" w:eastAsia="宋体" w:cs="Times New Roman"/>
          <w:color w:val="auto"/>
          <w:spacing w:val="0"/>
          <w:w w:val="100"/>
          <w:kern w:val="0"/>
          <w:position w:val="0"/>
          <w:sz w:val="24"/>
          <w:u w:val="none" w:color="auto"/>
          <w:vertAlign w:val="subscript"/>
          <w:lang w:val="en-US" w:eastAsia="zh-CN"/>
        </w:rPr>
        <w:t>3</w:t>
      </w:r>
      <w:r>
        <w:rPr>
          <w:rFonts w:hint="default" w:ascii="Times New Roman" w:hAnsi="Times New Roman" w:eastAsia="宋体" w:cs="Times New Roman"/>
          <w:color w:val="auto"/>
          <w:spacing w:val="0"/>
          <w:w w:val="100"/>
          <w:kern w:val="0"/>
          <w:position w:val="0"/>
          <w:sz w:val="24"/>
          <w:u w:val="none" w:color="auto"/>
          <w:lang w:val="en-US" w:eastAsia="zh-CN"/>
        </w:rPr>
        <w:t xml:space="preserve">第90百分位数最大8小时平均浓度均能满足《环境空气质量标准》（GB3095-2012）及修改单中的二级标准要求，属于环境空气质量达标区。 </w:t>
      </w:r>
    </w:p>
    <w:p w14:paraId="64ED43B0">
      <w:pPr>
        <w:pStyle w:val="100"/>
        <w:ind w:firstLine="480"/>
        <w:rPr>
          <w:rFonts w:hint="default" w:ascii="Times New Roman" w:hAnsi="Times New Roman" w:eastAsia="宋体" w:cs="Times New Roman"/>
          <w:b/>
          <w:bCs/>
          <w:color w:val="auto"/>
          <w:spacing w:val="0"/>
          <w:w w:val="100"/>
          <w:position w:val="0"/>
          <w:u w:val="none" w:color="auto"/>
          <w:lang w:eastAsia="zh-CN"/>
        </w:rPr>
      </w:pPr>
      <w:r>
        <w:rPr>
          <w:rFonts w:hint="default" w:ascii="Times New Roman" w:hAnsi="Times New Roman" w:eastAsia="宋体" w:cs="Times New Roman"/>
          <w:b/>
          <w:bCs/>
          <w:color w:val="auto"/>
          <w:spacing w:val="0"/>
          <w:w w:val="100"/>
          <w:position w:val="0"/>
          <w:u w:val="none" w:color="auto"/>
          <w:lang w:val="en-US" w:eastAsia="zh-CN"/>
        </w:rPr>
        <w:t>2</w:t>
      </w:r>
      <w:r>
        <w:rPr>
          <w:rFonts w:hint="default" w:ascii="Times New Roman" w:hAnsi="Times New Roman" w:eastAsia="宋体" w:cs="Times New Roman"/>
          <w:b/>
          <w:bCs/>
          <w:color w:val="auto"/>
          <w:spacing w:val="0"/>
          <w:w w:val="100"/>
          <w:position w:val="0"/>
          <w:u w:val="none" w:color="auto"/>
          <w:lang w:eastAsia="zh-CN"/>
        </w:rPr>
        <w:t>、其他污染物环境质量现状</w:t>
      </w:r>
    </w:p>
    <w:p w14:paraId="74247E90">
      <w:pPr>
        <w:pStyle w:val="100"/>
        <w:ind w:firstLine="480"/>
        <w:rPr>
          <w:rFonts w:hint="default" w:ascii="Times New Roman" w:hAnsi="Times New Roman" w:eastAsia="宋体" w:cs="Times New Roman"/>
          <w:color w:val="auto"/>
          <w:spacing w:val="0"/>
          <w:w w:val="100"/>
          <w:position w:val="0"/>
          <w:u w:val="none" w:color="auto"/>
        </w:rPr>
      </w:pPr>
      <w:r>
        <w:rPr>
          <w:rFonts w:hint="default" w:ascii="Times New Roman" w:hAnsi="Times New Roman" w:eastAsia="宋体" w:cs="Times New Roman"/>
          <w:color w:val="auto"/>
          <w:spacing w:val="0"/>
          <w:w w:val="100"/>
          <w:position w:val="0"/>
          <w:u w:val="none" w:color="auto"/>
        </w:rPr>
        <w:t>为了解本项目所在区域特征污染物环境质量现状，建设单位委托</w:t>
      </w:r>
      <w:r>
        <w:rPr>
          <w:rFonts w:hint="default" w:ascii="Times New Roman" w:hAnsi="Times New Roman" w:eastAsia="宋体" w:cs="Times New Roman"/>
          <w:color w:val="auto"/>
          <w:spacing w:val="0"/>
          <w:w w:val="100"/>
          <w:position w:val="0"/>
          <w:u w:val="none" w:color="auto"/>
          <w:lang w:eastAsia="zh-CN"/>
        </w:rPr>
        <w:t>湖南乾诚检测有限公司</w:t>
      </w:r>
      <w:r>
        <w:rPr>
          <w:rFonts w:hint="default" w:ascii="Times New Roman" w:hAnsi="Times New Roman" w:eastAsia="宋体" w:cs="Times New Roman"/>
          <w:color w:val="auto"/>
          <w:spacing w:val="0"/>
          <w:w w:val="100"/>
          <w:position w:val="0"/>
          <w:u w:val="none" w:color="auto"/>
        </w:rPr>
        <w:t>对项目所在地环境空气质量进行了</w:t>
      </w:r>
      <w:r>
        <w:rPr>
          <w:rFonts w:hint="default" w:ascii="Times New Roman" w:hAnsi="Times New Roman" w:eastAsia="宋体" w:cs="Times New Roman"/>
          <w:color w:val="auto"/>
          <w:spacing w:val="0"/>
          <w:w w:val="100"/>
          <w:position w:val="0"/>
          <w:u w:val="none" w:color="auto"/>
          <w:lang w:val="en-US" w:eastAsia="zh-CN"/>
        </w:rPr>
        <w:t>一期</w:t>
      </w:r>
      <w:r>
        <w:rPr>
          <w:rFonts w:hint="default" w:ascii="Times New Roman" w:hAnsi="Times New Roman" w:eastAsia="宋体" w:cs="Times New Roman"/>
          <w:color w:val="auto"/>
          <w:spacing w:val="0"/>
          <w:w w:val="100"/>
          <w:position w:val="0"/>
          <w:u w:val="none" w:color="auto"/>
        </w:rPr>
        <w:t>现状监测。</w:t>
      </w:r>
    </w:p>
    <w:p w14:paraId="1C101822">
      <w:pPr>
        <w:pStyle w:val="100"/>
        <w:ind w:firstLine="480"/>
        <w:rPr>
          <w:rFonts w:hint="default" w:ascii="Times New Roman" w:hAnsi="Times New Roman" w:eastAsia="宋体" w:cs="Times New Roman"/>
          <w:color w:val="auto"/>
          <w:spacing w:val="0"/>
          <w:w w:val="100"/>
          <w:position w:val="0"/>
          <w:u w:val="none" w:color="auto"/>
        </w:rPr>
      </w:pPr>
      <w:r>
        <w:rPr>
          <w:rFonts w:hint="default" w:ascii="Times New Roman" w:hAnsi="Times New Roman" w:eastAsia="宋体" w:cs="Times New Roman"/>
          <w:color w:val="auto"/>
          <w:spacing w:val="0"/>
          <w:w w:val="100"/>
          <w:position w:val="0"/>
          <w:u w:val="none" w:color="auto"/>
          <w:lang w:eastAsia="zh-CN"/>
        </w:rPr>
        <w:t>（</w:t>
      </w:r>
      <w:r>
        <w:rPr>
          <w:rFonts w:hint="default" w:ascii="Times New Roman" w:hAnsi="Times New Roman" w:eastAsia="宋体" w:cs="Times New Roman"/>
          <w:color w:val="auto"/>
          <w:spacing w:val="0"/>
          <w:w w:val="100"/>
          <w:position w:val="0"/>
          <w:u w:val="none" w:color="auto"/>
          <w:lang w:val="en-US" w:eastAsia="zh-CN"/>
        </w:rPr>
        <w:t>1</w:t>
      </w:r>
      <w:r>
        <w:rPr>
          <w:rFonts w:hint="default" w:ascii="Times New Roman" w:hAnsi="Times New Roman" w:eastAsia="宋体" w:cs="Times New Roman"/>
          <w:color w:val="auto"/>
          <w:spacing w:val="0"/>
          <w:w w:val="100"/>
          <w:position w:val="0"/>
          <w:u w:val="none" w:color="auto"/>
          <w:lang w:eastAsia="zh-CN"/>
        </w:rPr>
        <w:t>）</w:t>
      </w:r>
      <w:r>
        <w:rPr>
          <w:rFonts w:hint="default" w:ascii="Times New Roman" w:hAnsi="Times New Roman" w:eastAsia="宋体" w:cs="Times New Roman"/>
          <w:color w:val="auto"/>
          <w:spacing w:val="0"/>
          <w:w w:val="100"/>
          <w:position w:val="0"/>
          <w:u w:val="none" w:color="auto"/>
        </w:rPr>
        <w:t>监测因子：</w:t>
      </w:r>
      <w:r>
        <w:rPr>
          <w:rFonts w:hint="default" w:ascii="Times New Roman" w:hAnsi="Times New Roman" w:eastAsia="宋体" w:cs="Times New Roman"/>
          <w:color w:val="auto"/>
          <w:spacing w:val="0"/>
          <w:w w:val="100"/>
          <w:position w:val="0"/>
          <w:u w:val="none" w:color="auto"/>
          <w:lang w:val="en-US" w:eastAsia="zh-CN"/>
        </w:rPr>
        <w:t>TSP</w:t>
      </w:r>
      <w:r>
        <w:rPr>
          <w:rFonts w:hint="default" w:ascii="Times New Roman" w:hAnsi="Times New Roman" w:eastAsia="宋体" w:cs="Times New Roman"/>
          <w:color w:val="auto"/>
          <w:spacing w:val="0"/>
          <w:w w:val="100"/>
          <w:position w:val="0"/>
          <w:u w:val="none" w:color="auto"/>
        </w:rPr>
        <w:t>。</w:t>
      </w:r>
    </w:p>
    <w:p w14:paraId="0C73A7E6">
      <w:pPr>
        <w:spacing w:line="360" w:lineRule="auto"/>
        <w:ind w:firstLine="480" w:firstLineChars="200"/>
        <w:rPr>
          <w:rFonts w:hint="default" w:ascii="Times New Roman" w:hAnsi="Times New Roman" w:eastAsia="宋体" w:cs="Times New Roman"/>
          <w:color w:val="auto"/>
          <w:spacing w:val="0"/>
          <w:w w:val="100"/>
          <w:position w:val="0"/>
          <w:u w:val="none" w:color="auto"/>
        </w:rPr>
      </w:pP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val="en-US" w:eastAsia="zh-CN"/>
        </w:rPr>
        <w:t>2</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监测点位：</w:t>
      </w:r>
      <w:r>
        <w:rPr>
          <w:rFonts w:hint="default" w:ascii="Times New Roman" w:hAnsi="Times New Roman" w:eastAsia="宋体" w:cs="Times New Roman"/>
          <w:color w:val="auto"/>
          <w:spacing w:val="0"/>
          <w:w w:val="100"/>
          <w:kern w:val="0"/>
          <w:position w:val="0"/>
          <w:sz w:val="24"/>
          <w:szCs w:val="24"/>
          <w:u w:val="none" w:color="auto"/>
        </w:rPr>
        <w:t>项目</w:t>
      </w:r>
      <w:r>
        <w:rPr>
          <w:rFonts w:hint="default" w:ascii="Times New Roman" w:hAnsi="Times New Roman" w:eastAsia="宋体" w:cs="Times New Roman"/>
          <w:color w:val="auto"/>
          <w:spacing w:val="0"/>
          <w:w w:val="100"/>
          <w:kern w:val="0"/>
          <w:position w:val="0"/>
          <w:sz w:val="24"/>
          <w:szCs w:val="24"/>
          <w:u w:val="none" w:color="auto"/>
          <w:lang w:eastAsia="zh-CN"/>
        </w:rPr>
        <w:t>大坝</w:t>
      </w:r>
      <w:r>
        <w:rPr>
          <w:rFonts w:hint="default" w:ascii="Times New Roman" w:hAnsi="Times New Roman" w:eastAsia="宋体" w:cs="Times New Roman"/>
          <w:color w:val="auto"/>
          <w:spacing w:val="0"/>
          <w:w w:val="100"/>
          <w:kern w:val="0"/>
          <w:position w:val="0"/>
          <w:sz w:val="24"/>
          <w:szCs w:val="24"/>
          <w:u w:val="none" w:color="auto"/>
          <w:lang w:val="en-US" w:eastAsia="zh-CN"/>
        </w:rPr>
        <w:t>处</w:t>
      </w:r>
      <w:r>
        <w:rPr>
          <w:rFonts w:hint="default" w:ascii="Times New Roman" w:hAnsi="Times New Roman" w:eastAsia="宋体" w:cs="Times New Roman"/>
          <w:color w:val="auto"/>
          <w:spacing w:val="0"/>
          <w:w w:val="100"/>
          <w:kern w:val="0"/>
          <w:position w:val="0"/>
          <w:sz w:val="24"/>
          <w:szCs w:val="24"/>
          <w:u w:val="none" w:color="auto"/>
          <w:lang w:eastAsia="zh-CN"/>
        </w:rPr>
        <w:t>（</w:t>
      </w:r>
      <w:r>
        <w:rPr>
          <w:rFonts w:hint="default" w:ascii="Times New Roman" w:hAnsi="Times New Roman" w:eastAsia="宋体" w:cs="Times New Roman"/>
          <w:color w:val="auto"/>
          <w:spacing w:val="0"/>
          <w:w w:val="100"/>
          <w:kern w:val="0"/>
          <w:position w:val="0"/>
          <w:sz w:val="24"/>
          <w:szCs w:val="24"/>
          <w:u w:val="none" w:color="auto"/>
          <w:lang w:val="en-US" w:eastAsia="zh-CN"/>
        </w:rPr>
        <w:t>G1</w:t>
      </w:r>
      <w:r>
        <w:rPr>
          <w:rFonts w:hint="default" w:ascii="Times New Roman" w:hAnsi="Times New Roman" w:eastAsia="宋体" w:cs="Times New Roman"/>
          <w:color w:val="auto"/>
          <w:spacing w:val="0"/>
          <w:w w:val="100"/>
          <w:kern w:val="0"/>
          <w:position w:val="0"/>
          <w:sz w:val="24"/>
          <w:szCs w:val="24"/>
          <w:u w:val="none" w:color="auto"/>
          <w:lang w:eastAsia="zh-CN"/>
        </w:rPr>
        <w:t>）</w:t>
      </w:r>
      <w:r>
        <w:rPr>
          <w:rFonts w:hint="default" w:ascii="Times New Roman" w:hAnsi="Times New Roman" w:eastAsia="宋体" w:cs="Times New Roman"/>
          <w:color w:val="auto"/>
          <w:spacing w:val="0"/>
          <w:w w:val="100"/>
          <w:kern w:val="0"/>
          <w:position w:val="0"/>
          <w:sz w:val="24"/>
          <w:szCs w:val="24"/>
          <w:u w:val="none" w:color="auto"/>
          <w:lang w:val="en-US" w:eastAsia="zh-CN"/>
        </w:rPr>
        <w:t>、</w:t>
      </w:r>
      <w:r>
        <w:rPr>
          <w:rFonts w:hint="default" w:ascii="Times New Roman" w:hAnsi="Times New Roman" w:eastAsia="宋体" w:cs="Times New Roman"/>
          <w:color w:val="auto"/>
          <w:spacing w:val="0"/>
          <w:w w:val="100"/>
          <w:kern w:val="0"/>
          <w:position w:val="0"/>
          <w:sz w:val="24"/>
          <w:szCs w:val="24"/>
          <w:u w:val="none" w:color="auto"/>
          <w:lang w:eastAsia="zh-CN"/>
        </w:rPr>
        <w:t>大坝</w:t>
      </w:r>
      <w:r>
        <w:rPr>
          <w:rFonts w:hint="default" w:ascii="Times New Roman" w:hAnsi="Times New Roman" w:eastAsia="宋体" w:cs="Times New Roman"/>
          <w:color w:val="auto"/>
          <w:spacing w:val="0"/>
          <w:w w:val="100"/>
          <w:kern w:val="0"/>
          <w:position w:val="0"/>
          <w:sz w:val="24"/>
          <w:szCs w:val="24"/>
          <w:u w:val="none" w:color="auto"/>
          <w:lang w:val="en-US" w:eastAsia="zh-CN"/>
        </w:rPr>
        <w:t>南侧约20m</w:t>
      </w:r>
      <w:r>
        <w:rPr>
          <w:rFonts w:hint="default" w:ascii="Times New Roman" w:hAnsi="Times New Roman" w:eastAsia="宋体" w:cs="Times New Roman"/>
          <w:color w:val="auto"/>
          <w:spacing w:val="0"/>
          <w:w w:val="100"/>
          <w:kern w:val="0"/>
          <w:position w:val="0"/>
          <w:sz w:val="24"/>
          <w:szCs w:val="24"/>
          <w:u w:val="none" w:color="auto"/>
          <w:lang w:eastAsia="zh-CN"/>
        </w:rPr>
        <w:t>处（</w:t>
      </w:r>
      <w:r>
        <w:rPr>
          <w:rFonts w:hint="default" w:ascii="Times New Roman" w:hAnsi="Times New Roman" w:eastAsia="宋体" w:cs="Times New Roman"/>
          <w:color w:val="auto"/>
          <w:spacing w:val="0"/>
          <w:w w:val="100"/>
          <w:kern w:val="0"/>
          <w:position w:val="0"/>
          <w:sz w:val="24"/>
          <w:szCs w:val="24"/>
          <w:u w:val="none" w:color="auto"/>
          <w:lang w:val="en-US" w:eastAsia="zh-CN"/>
        </w:rPr>
        <w:t>G2</w:t>
      </w:r>
      <w:r>
        <w:rPr>
          <w:rFonts w:hint="default" w:ascii="Times New Roman" w:hAnsi="Times New Roman" w:eastAsia="宋体" w:cs="Times New Roman"/>
          <w:color w:val="auto"/>
          <w:spacing w:val="0"/>
          <w:w w:val="100"/>
          <w:kern w:val="0"/>
          <w:position w:val="0"/>
          <w:sz w:val="24"/>
          <w:szCs w:val="24"/>
          <w:u w:val="none" w:color="auto"/>
          <w:lang w:eastAsia="zh-CN"/>
        </w:rPr>
        <w:t>）共</w:t>
      </w:r>
      <w:r>
        <w:rPr>
          <w:rFonts w:hint="default" w:ascii="Times New Roman" w:hAnsi="Times New Roman" w:eastAsia="宋体" w:cs="Times New Roman"/>
          <w:color w:val="auto"/>
          <w:spacing w:val="0"/>
          <w:w w:val="100"/>
          <w:kern w:val="0"/>
          <w:position w:val="0"/>
          <w:sz w:val="24"/>
          <w:szCs w:val="24"/>
          <w:u w:val="none" w:color="auto"/>
          <w:lang w:val="en-US" w:eastAsia="zh-CN"/>
        </w:rPr>
        <w:t>2个点位。</w:t>
      </w:r>
    </w:p>
    <w:p w14:paraId="1B501246">
      <w:pPr>
        <w:pStyle w:val="100"/>
        <w:ind w:firstLine="480"/>
        <w:rPr>
          <w:rFonts w:hint="default" w:ascii="Times New Roman" w:hAnsi="Times New Roman" w:eastAsia="宋体" w:cs="Times New Roman"/>
          <w:color w:val="auto"/>
          <w:spacing w:val="0"/>
          <w:w w:val="100"/>
          <w:position w:val="0"/>
          <w:u w:val="none" w:color="auto"/>
        </w:rPr>
      </w:pPr>
      <w:r>
        <w:rPr>
          <w:rFonts w:hint="default" w:ascii="Times New Roman" w:hAnsi="Times New Roman" w:eastAsia="宋体" w:cs="Times New Roman"/>
          <w:color w:val="auto"/>
          <w:spacing w:val="0"/>
          <w:w w:val="100"/>
          <w:position w:val="0"/>
          <w:u w:val="none" w:color="auto"/>
          <w:lang w:eastAsia="zh-CN"/>
        </w:rPr>
        <w:t>（</w:t>
      </w:r>
      <w:r>
        <w:rPr>
          <w:rFonts w:hint="default" w:ascii="Times New Roman" w:hAnsi="Times New Roman" w:eastAsia="宋体" w:cs="Times New Roman"/>
          <w:color w:val="auto"/>
          <w:spacing w:val="0"/>
          <w:w w:val="100"/>
          <w:position w:val="0"/>
          <w:u w:val="none" w:color="auto"/>
          <w:lang w:val="en-US" w:eastAsia="zh-CN"/>
        </w:rPr>
        <w:t>3</w:t>
      </w:r>
      <w:r>
        <w:rPr>
          <w:rFonts w:hint="default" w:ascii="Times New Roman" w:hAnsi="Times New Roman" w:eastAsia="宋体" w:cs="Times New Roman"/>
          <w:color w:val="auto"/>
          <w:spacing w:val="0"/>
          <w:w w:val="100"/>
          <w:position w:val="0"/>
          <w:u w:val="none" w:color="auto"/>
          <w:lang w:eastAsia="zh-CN"/>
        </w:rPr>
        <w:t>）</w:t>
      </w:r>
      <w:r>
        <w:rPr>
          <w:rFonts w:hint="default" w:ascii="Times New Roman" w:hAnsi="Times New Roman" w:eastAsia="宋体" w:cs="Times New Roman"/>
          <w:color w:val="auto"/>
          <w:spacing w:val="0"/>
          <w:w w:val="100"/>
          <w:position w:val="0"/>
          <w:u w:val="none" w:color="auto"/>
        </w:rPr>
        <w:t>监测时间和频次：监测时间为202</w:t>
      </w:r>
      <w:r>
        <w:rPr>
          <w:rFonts w:hint="default" w:ascii="Times New Roman" w:hAnsi="Times New Roman" w:eastAsia="宋体" w:cs="Times New Roman"/>
          <w:color w:val="auto"/>
          <w:spacing w:val="0"/>
          <w:w w:val="100"/>
          <w:position w:val="0"/>
          <w:u w:val="none" w:color="auto"/>
          <w:lang w:val="en-US" w:eastAsia="zh-CN"/>
        </w:rPr>
        <w:t>4</w:t>
      </w:r>
      <w:r>
        <w:rPr>
          <w:rFonts w:hint="default" w:ascii="Times New Roman" w:hAnsi="Times New Roman" w:eastAsia="宋体" w:cs="Times New Roman"/>
          <w:color w:val="auto"/>
          <w:spacing w:val="0"/>
          <w:w w:val="100"/>
          <w:position w:val="0"/>
          <w:u w:val="none" w:color="auto"/>
        </w:rPr>
        <w:t>年5月</w:t>
      </w:r>
      <w:r>
        <w:rPr>
          <w:rFonts w:hint="default" w:ascii="Times New Roman" w:hAnsi="Times New Roman" w:eastAsia="宋体" w:cs="Times New Roman"/>
          <w:color w:val="auto"/>
          <w:spacing w:val="0"/>
          <w:w w:val="100"/>
          <w:position w:val="0"/>
          <w:u w:val="none" w:color="auto"/>
          <w:lang w:val="en-US" w:eastAsia="zh-CN"/>
        </w:rPr>
        <w:t>8</w:t>
      </w:r>
      <w:r>
        <w:rPr>
          <w:rFonts w:hint="default" w:ascii="Times New Roman" w:hAnsi="Times New Roman" w:eastAsia="宋体" w:cs="Times New Roman"/>
          <w:color w:val="auto"/>
          <w:spacing w:val="0"/>
          <w:w w:val="100"/>
          <w:position w:val="0"/>
          <w:u w:val="none" w:color="auto"/>
        </w:rPr>
        <w:t>日至</w:t>
      </w:r>
      <w:r>
        <w:rPr>
          <w:rFonts w:hint="default" w:ascii="Times New Roman" w:hAnsi="Times New Roman" w:eastAsia="宋体" w:cs="Times New Roman"/>
          <w:color w:val="auto"/>
          <w:spacing w:val="0"/>
          <w:w w:val="100"/>
          <w:position w:val="0"/>
          <w:u w:val="none" w:color="auto"/>
          <w:lang w:val="en-US" w:eastAsia="zh-CN"/>
        </w:rPr>
        <w:t>5月</w:t>
      </w:r>
      <w:r>
        <w:rPr>
          <w:rFonts w:hint="default" w:ascii="Times New Roman" w:hAnsi="Times New Roman" w:eastAsia="宋体" w:cs="Times New Roman"/>
          <w:color w:val="auto"/>
          <w:spacing w:val="0"/>
          <w:w w:val="100"/>
          <w:position w:val="0"/>
          <w:u w:val="none" w:color="auto"/>
        </w:rPr>
        <w:t>1</w:t>
      </w:r>
      <w:r>
        <w:rPr>
          <w:rFonts w:hint="default" w:ascii="Times New Roman" w:hAnsi="Times New Roman" w:eastAsia="宋体" w:cs="Times New Roman"/>
          <w:color w:val="auto"/>
          <w:spacing w:val="0"/>
          <w:w w:val="100"/>
          <w:position w:val="0"/>
          <w:u w:val="none" w:color="auto"/>
          <w:lang w:val="en-US" w:eastAsia="zh-CN"/>
        </w:rPr>
        <w:t>4</w:t>
      </w:r>
      <w:r>
        <w:rPr>
          <w:rFonts w:hint="default" w:ascii="Times New Roman" w:hAnsi="Times New Roman" w:eastAsia="宋体" w:cs="Times New Roman"/>
          <w:color w:val="auto"/>
          <w:spacing w:val="0"/>
          <w:w w:val="100"/>
          <w:position w:val="0"/>
          <w:u w:val="none" w:color="auto"/>
        </w:rPr>
        <w:t>日，连续监测</w:t>
      </w:r>
      <w:r>
        <w:rPr>
          <w:rFonts w:hint="default" w:ascii="Times New Roman" w:hAnsi="Times New Roman" w:eastAsia="宋体" w:cs="Times New Roman"/>
          <w:color w:val="auto"/>
          <w:spacing w:val="0"/>
          <w:w w:val="100"/>
          <w:position w:val="0"/>
          <w:u w:val="none" w:color="auto"/>
          <w:lang w:val="en-US" w:eastAsia="zh-CN"/>
        </w:rPr>
        <w:t>7</w:t>
      </w:r>
      <w:r>
        <w:rPr>
          <w:rFonts w:hint="default" w:ascii="Times New Roman" w:hAnsi="Times New Roman" w:eastAsia="宋体" w:cs="Times New Roman"/>
          <w:color w:val="auto"/>
          <w:spacing w:val="0"/>
          <w:w w:val="100"/>
          <w:position w:val="0"/>
          <w:u w:val="none" w:color="auto"/>
        </w:rPr>
        <w:t>天。</w:t>
      </w:r>
    </w:p>
    <w:p w14:paraId="578417AB">
      <w:pPr>
        <w:pStyle w:val="100"/>
        <w:ind w:firstLine="480"/>
        <w:rPr>
          <w:rFonts w:hint="default" w:ascii="Times New Roman" w:hAnsi="Times New Roman" w:cs="Times New Roman" w:eastAsiaTheme="minorEastAsia"/>
          <w:color w:val="auto"/>
          <w:spacing w:val="0"/>
          <w:w w:val="100"/>
          <w:position w:val="0"/>
          <w:u w:val="none" w:color="auto"/>
          <w:lang w:val="en-US" w:eastAsia="zh-CN"/>
        </w:rPr>
      </w:pPr>
      <w:r>
        <w:rPr>
          <w:rFonts w:hint="default" w:ascii="Times New Roman" w:hAnsi="Times New Roman" w:eastAsia="宋体" w:cs="Times New Roman"/>
          <w:color w:val="auto"/>
          <w:spacing w:val="0"/>
          <w:w w:val="100"/>
          <w:position w:val="0"/>
          <w:u w:val="none" w:color="auto"/>
          <w:lang w:eastAsia="zh-CN"/>
        </w:rPr>
        <w:t>（</w:t>
      </w:r>
      <w:r>
        <w:rPr>
          <w:rFonts w:hint="default" w:ascii="Times New Roman" w:hAnsi="Times New Roman" w:eastAsia="宋体" w:cs="Times New Roman"/>
          <w:color w:val="auto"/>
          <w:spacing w:val="0"/>
          <w:w w:val="100"/>
          <w:position w:val="0"/>
          <w:u w:val="none" w:color="auto"/>
          <w:lang w:val="en-US" w:eastAsia="zh-CN"/>
        </w:rPr>
        <w:t>4</w:t>
      </w:r>
      <w:r>
        <w:rPr>
          <w:rFonts w:hint="default" w:ascii="Times New Roman" w:hAnsi="Times New Roman" w:eastAsia="宋体" w:cs="Times New Roman"/>
          <w:color w:val="auto"/>
          <w:spacing w:val="0"/>
          <w:w w:val="100"/>
          <w:position w:val="0"/>
          <w:u w:val="none" w:color="auto"/>
          <w:lang w:eastAsia="zh-CN"/>
        </w:rPr>
        <w:t>）</w:t>
      </w:r>
      <w:r>
        <w:rPr>
          <w:rFonts w:hint="default" w:ascii="Times New Roman" w:hAnsi="Times New Roman" w:eastAsia="宋体" w:cs="Times New Roman"/>
          <w:color w:val="auto"/>
          <w:spacing w:val="0"/>
          <w:w w:val="100"/>
          <w:kern w:val="0"/>
          <w:position w:val="0"/>
          <w:sz w:val="24"/>
          <w:szCs w:val="24"/>
          <w:u w:val="none" w:color="auto"/>
          <w:lang w:val="en-US" w:eastAsia="zh-CN" w:bidi="ar-SA"/>
        </w:rPr>
        <w:t>检测方法：《环境空气总悬浮物颗粒物的测定 重量法》HJ 1263-2022。</w:t>
      </w:r>
    </w:p>
    <w:p w14:paraId="4A1C25D7">
      <w:pPr>
        <w:pStyle w:val="100"/>
        <w:ind w:firstLine="480"/>
        <w:rPr>
          <w:rFonts w:hint="default" w:ascii="Times New Roman" w:hAnsi="Times New Roman" w:eastAsia="宋体" w:cs="Times New Roman"/>
          <w:color w:val="auto"/>
          <w:spacing w:val="0"/>
          <w:w w:val="100"/>
          <w:position w:val="0"/>
          <w:u w:val="none" w:color="auto"/>
        </w:rPr>
      </w:pPr>
      <w:r>
        <w:rPr>
          <w:rFonts w:hint="default" w:ascii="Times New Roman" w:hAnsi="Times New Roman" w:eastAsia="宋体" w:cs="Times New Roman"/>
          <w:color w:val="auto"/>
          <w:spacing w:val="0"/>
          <w:w w:val="100"/>
          <w:position w:val="0"/>
          <w:u w:val="none" w:color="auto"/>
          <w:lang w:eastAsia="zh-CN"/>
        </w:rPr>
        <w:t>（</w:t>
      </w:r>
      <w:r>
        <w:rPr>
          <w:rFonts w:hint="default" w:ascii="Times New Roman" w:hAnsi="Times New Roman" w:eastAsia="宋体" w:cs="Times New Roman"/>
          <w:color w:val="auto"/>
          <w:spacing w:val="0"/>
          <w:w w:val="100"/>
          <w:position w:val="0"/>
          <w:u w:val="none" w:color="auto"/>
          <w:lang w:val="en-US" w:eastAsia="zh-CN"/>
        </w:rPr>
        <w:t>5</w:t>
      </w:r>
      <w:r>
        <w:rPr>
          <w:rFonts w:hint="default" w:ascii="Times New Roman" w:hAnsi="Times New Roman" w:eastAsia="宋体" w:cs="Times New Roman"/>
          <w:color w:val="auto"/>
          <w:spacing w:val="0"/>
          <w:w w:val="100"/>
          <w:position w:val="0"/>
          <w:u w:val="none" w:color="auto"/>
          <w:lang w:eastAsia="zh-CN"/>
        </w:rPr>
        <w:t>）</w:t>
      </w:r>
      <w:r>
        <w:rPr>
          <w:rFonts w:hint="default" w:ascii="Times New Roman" w:hAnsi="Times New Roman" w:eastAsia="宋体" w:cs="Times New Roman"/>
          <w:color w:val="auto"/>
          <w:spacing w:val="0"/>
          <w:w w:val="100"/>
          <w:position w:val="0"/>
          <w:u w:val="none" w:color="auto"/>
        </w:rPr>
        <w:t>评价标准：</w:t>
      </w:r>
      <w:r>
        <w:rPr>
          <w:rFonts w:hint="default" w:ascii="Times New Roman" w:hAnsi="Times New Roman" w:eastAsia="宋体" w:cs="Times New Roman"/>
          <w:color w:val="auto"/>
          <w:spacing w:val="0"/>
          <w:w w:val="100"/>
          <w:position w:val="0"/>
          <w:u w:val="none" w:color="auto"/>
          <w:lang w:eastAsia="zh-CN"/>
        </w:rPr>
        <w:t>执行</w:t>
      </w:r>
      <w:r>
        <w:rPr>
          <w:rFonts w:hint="default" w:ascii="Times New Roman" w:hAnsi="Times New Roman" w:eastAsia="宋体" w:cs="Times New Roman"/>
          <w:color w:val="auto"/>
          <w:spacing w:val="0"/>
          <w:w w:val="100"/>
          <w:position w:val="0"/>
          <w:sz w:val="24"/>
          <w:szCs w:val="24"/>
          <w:u w:val="none" w:color="auto"/>
          <w:lang w:val="en-US" w:eastAsia="zh-CN" w:bidi="ar-SA"/>
        </w:rPr>
        <w:t>《环境空气质量标准》(GB3095-1996）二级</w:t>
      </w:r>
      <w:r>
        <w:rPr>
          <w:rFonts w:hint="default" w:ascii="Times New Roman" w:hAnsi="Times New Roman" w:eastAsia="宋体" w:cs="Times New Roman"/>
          <w:color w:val="auto"/>
          <w:spacing w:val="0"/>
          <w:w w:val="100"/>
          <w:position w:val="0"/>
          <w:u w:val="none" w:color="auto"/>
          <w:lang w:eastAsia="zh-CN"/>
        </w:rPr>
        <w:t>标准</w:t>
      </w:r>
      <w:r>
        <w:rPr>
          <w:rFonts w:hint="default" w:ascii="Times New Roman" w:hAnsi="Times New Roman" w:eastAsia="宋体" w:cs="Times New Roman"/>
          <w:color w:val="auto"/>
          <w:spacing w:val="0"/>
          <w:w w:val="100"/>
          <w:position w:val="0"/>
          <w:u w:val="none" w:color="auto"/>
        </w:rPr>
        <w:t>。</w:t>
      </w:r>
    </w:p>
    <w:p w14:paraId="039F2B73">
      <w:pPr>
        <w:pStyle w:val="101"/>
        <w:spacing w:line="360" w:lineRule="auto"/>
        <w:ind w:left="0" w:leftChars="0" w:firstLine="480"/>
        <w:jc w:val="both"/>
        <w:rPr>
          <w:rFonts w:hint="default" w:ascii="Times New Roman" w:hAnsi="Times New Roman" w:eastAsia="宋体"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lang w:eastAsia="zh-CN"/>
        </w:rPr>
        <w:t>（</w:t>
      </w:r>
      <w:r>
        <w:rPr>
          <w:rFonts w:hint="default" w:ascii="Times New Roman" w:hAnsi="Times New Roman" w:cs="Times New Roman"/>
          <w:color w:val="auto"/>
          <w:spacing w:val="0"/>
          <w:w w:val="100"/>
          <w:position w:val="0"/>
          <w:u w:val="none" w:color="auto"/>
          <w:lang w:val="en-US" w:eastAsia="zh-CN"/>
        </w:rPr>
        <w:t>6</w:t>
      </w:r>
      <w:r>
        <w:rPr>
          <w:rFonts w:hint="default" w:ascii="Times New Roman" w:hAnsi="Times New Roman" w:cs="Times New Roman"/>
          <w:color w:val="auto"/>
          <w:spacing w:val="0"/>
          <w:w w:val="100"/>
          <w:position w:val="0"/>
          <w:u w:val="none" w:color="auto"/>
          <w:lang w:eastAsia="zh-CN"/>
        </w:rPr>
        <w:t>）</w:t>
      </w:r>
      <w:r>
        <w:rPr>
          <w:rFonts w:hint="default" w:ascii="Times New Roman" w:hAnsi="Times New Roman" w:eastAsia="宋体" w:cs="Times New Roman"/>
          <w:color w:val="auto"/>
          <w:spacing w:val="0"/>
          <w:w w:val="100"/>
          <w:position w:val="0"/>
          <w:u w:val="none" w:color="auto"/>
        </w:rPr>
        <w:t>监测结果与评价：环境空气质量监测气象参数记录见表</w:t>
      </w:r>
      <w:r>
        <w:rPr>
          <w:rFonts w:hint="default" w:ascii="Times New Roman" w:hAnsi="Times New Roman" w:eastAsia="宋体" w:cs="Times New Roman"/>
          <w:color w:val="auto"/>
          <w:spacing w:val="0"/>
          <w:w w:val="100"/>
          <w:position w:val="0"/>
          <w:u w:val="none" w:color="auto"/>
          <w:lang w:val="en-US" w:eastAsia="zh-CN"/>
        </w:rPr>
        <w:t>3.</w:t>
      </w:r>
      <w:r>
        <w:rPr>
          <w:rFonts w:hint="default" w:ascii="Times New Roman" w:hAnsi="Times New Roman" w:cs="Times New Roman"/>
          <w:color w:val="auto"/>
          <w:spacing w:val="0"/>
          <w:w w:val="100"/>
          <w:position w:val="0"/>
          <w:u w:val="none" w:color="auto"/>
          <w:lang w:val="en-US" w:eastAsia="zh-CN"/>
        </w:rPr>
        <w:t>2</w:t>
      </w:r>
      <w:r>
        <w:rPr>
          <w:rFonts w:hint="default" w:ascii="Times New Roman" w:hAnsi="Times New Roman" w:eastAsia="宋体" w:cs="Times New Roman"/>
          <w:color w:val="auto"/>
          <w:spacing w:val="0"/>
          <w:w w:val="100"/>
          <w:position w:val="0"/>
          <w:u w:val="none" w:color="auto"/>
        </w:rPr>
        <w:t>-2，</w:t>
      </w:r>
      <w:r>
        <w:rPr>
          <w:rFonts w:hint="default" w:ascii="Times New Roman" w:hAnsi="Times New Roman" w:cs="Times New Roman"/>
          <w:color w:val="auto"/>
          <w:spacing w:val="0"/>
          <w:w w:val="100"/>
          <w:position w:val="0"/>
          <w:u w:val="none" w:color="auto"/>
          <w:lang w:val="en-US" w:eastAsia="zh-CN"/>
        </w:rPr>
        <w:t>特征污染物</w:t>
      </w:r>
      <w:r>
        <w:rPr>
          <w:rFonts w:hint="default" w:ascii="Times New Roman" w:hAnsi="Times New Roman" w:eastAsia="宋体" w:cs="Times New Roman"/>
          <w:color w:val="auto"/>
          <w:spacing w:val="0"/>
          <w:w w:val="100"/>
          <w:position w:val="0"/>
          <w:u w:val="none" w:color="auto"/>
        </w:rPr>
        <w:t>环境</w:t>
      </w:r>
      <w:r>
        <w:rPr>
          <w:rFonts w:hint="default" w:ascii="Times New Roman" w:hAnsi="Times New Roman" w:cs="Times New Roman"/>
          <w:color w:val="auto"/>
          <w:spacing w:val="0"/>
          <w:w w:val="100"/>
          <w:position w:val="0"/>
          <w:u w:val="none" w:color="auto"/>
          <w:lang w:val="en-US" w:eastAsia="zh-CN"/>
        </w:rPr>
        <w:t>质量</w:t>
      </w:r>
      <w:r>
        <w:rPr>
          <w:rFonts w:hint="default" w:ascii="Times New Roman" w:hAnsi="Times New Roman" w:eastAsia="宋体" w:cs="Times New Roman"/>
          <w:color w:val="auto"/>
          <w:spacing w:val="0"/>
          <w:w w:val="100"/>
          <w:position w:val="0"/>
          <w:u w:val="none" w:color="auto"/>
        </w:rPr>
        <w:t>现状监测及评价结果见表</w:t>
      </w:r>
      <w:r>
        <w:rPr>
          <w:rFonts w:hint="default" w:ascii="Times New Roman" w:hAnsi="Times New Roman" w:eastAsia="宋体" w:cs="Times New Roman"/>
          <w:color w:val="auto"/>
          <w:spacing w:val="0"/>
          <w:w w:val="100"/>
          <w:position w:val="0"/>
          <w:u w:val="none" w:color="auto"/>
          <w:lang w:val="en-US" w:eastAsia="zh-CN"/>
        </w:rPr>
        <w:t>3.</w:t>
      </w:r>
      <w:r>
        <w:rPr>
          <w:rFonts w:hint="default" w:ascii="Times New Roman" w:hAnsi="Times New Roman" w:cs="Times New Roman"/>
          <w:color w:val="auto"/>
          <w:spacing w:val="0"/>
          <w:w w:val="100"/>
          <w:position w:val="0"/>
          <w:u w:val="none" w:color="auto"/>
          <w:lang w:val="en-US" w:eastAsia="zh-CN"/>
        </w:rPr>
        <w:t>2</w:t>
      </w:r>
      <w:r>
        <w:rPr>
          <w:rFonts w:hint="default" w:ascii="Times New Roman" w:hAnsi="Times New Roman" w:eastAsia="宋体" w:cs="Times New Roman"/>
          <w:color w:val="auto"/>
          <w:spacing w:val="0"/>
          <w:w w:val="100"/>
          <w:position w:val="0"/>
          <w:u w:val="none" w:color="auto"/>
          <w:lang w:val="en-US" w:eastAsia="zh-CN"/>
        </w:rPr>
        <w:t>-3</w:t>
      </w:r>
      <w:r>
        <w:rPr>
          <w:rFonts w:hint="default" w:ascii="Times New Roman" w:hAnsi="Times New Roman" w:eastAsia="宋体" w:cs="Times New Roman"/>
          <w:color w:val="auto"/>
          <w:spacing w:val="0"/>
          <w:w w:val="100"/>
          <w:position w:val="0"/>
          <w:u w:val="none" w:color="auto"/>
        </w:rPr>
        <w:t>。</w:t>
      </w:r>
    </w:p>
    <w:p w14:paraId="76E9C5B4">
      <w:pPr>
        <w:pageBreakBefore w:val="0"/>
        <w:widowControl/>
        <w:kinsoku w:val="0"/>
        <w:wordWrap w:val="0"/>
        <w:overflowPunct/>
        <w:topLinePunct/>
        <w:autoSpaceDE/>
        <w:autoSpaceDN/>
        <w:bidi w:val="0"/>
        <w:spacing w:line="240" w:lineRule="auto"/>
        <w:jc w:val="center"/>
        <w:rPr>
          <w:rFonts w:hint="default" w:ascii="Times New Roman" w:hAnsi="Times New Roman" w:eastAsia="宋体" w:cs="Times New Roman"/>
          <w:b/>
          <w:caps w:val="0"/>
          <w:smallCaps w:val="0"/>
          <w:color w:val="auto"/>
          <w:spacing w:val="0"/>
          <w:w w:val="100"/>
          <w:position w:val="0"/>
          <w:sz w:val="24"/>
          <w:szCs w:val="24"/>
          <w:u w:val="none" w:color="auto"/>
        </w:rPr>
      </w:pPr>
      <w:r>
        <w:rPr>
          <w:rFonts w:hint="default" w:ascii="Times New Roman" w:hAnsi="Times New Roman" w:eastAsia="宋体" w:cs="Times New Roman"/>
          <w:b/>
          <w:caps w:val="0"/>
          <w:smallCaps w:val="0"/>
          <w:color w:val="auto"/>
          <w:spacing w:val="0"/>
          <w:w w:val="100"/>
          <w:position w:val="0"/>
          <w:sz w:val="24"/>
          <w:szCs w:val="24"/>
          <w:u w:val="none" w:color="auto"/>
        </w:rPr>
        <w:t>表</w:t>
      </w:r>
      <w:r>
        <w:rPr>
          <w:rFonts w:hint="default" w:ascii="Times New Roman" w:hAnsi="Times New Roman" w:eastAsia="宋体" w:cs="Times New Roman"/>
          <w:b/>
          <w:caps w:val="0"/>
          <w:smallCaps w:val="0"/>
          <w:color w:val="auto"/>
          <w:spacing w:val="0"/>
          <w:w w:val="100"/>
          <w:position w:val="0"/>
          <w:sz w:val="24"/>
          <w:szCs w:val="24"/>
          <w:u w:val="none" w:color="auto"/>
          <w:lang w:val="en-US" w:eastAsia="zh-CN"/>
        </w:rPr>
        <w:t>3.2</w:t>
      </w:r>
      <w:r>
        <w:rPr>
          <w:rFonts w:hint="default" w:ascii="Times New Roman" w:hAnsi="Times New Roman" w:eastAsia="宋体" w:cs="Times New Roman"/>
          <w:b/>
          <w:caps w:val="0"/>
          <w:smallCaps w:val="0"/>
          <w:color w:val="auto"/>
          <w:spacing w:val="0"/>
          <w:w w:val="100"/>
          <w:position w:val="0"/>
          <w:sz w:val="24"/>
          <w:szCs w:val="24"/>
          <w:u w:val="none" w:color="auto"/>
        </w:rPr>
        <w:t>-2  环境空气质量监测气象参数记录表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09"/>
        <w:gridCol w:w="1758"/>
        <w:gridCol w:w="893"/>
        <w:gridCol w:w="893"/>
        <w:gridCol w:w="893"/>
        <w:gridCol w:w="893"/>
        <w:gridCol w:w="893"/>
        <w:gridCol w:w="896"/>
      </w:tblGrid>
      <w:tr w14:paraId="4DD0C3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1446" w:type="dxa"/>
            <w:tcBorders>
              <w:tl2br w:val="nil"/>
              <w:tr2bl w:val="nil"/>
            </w:tcBorders>
            <w:noWrap w:val="0"/>
            <w:vAlign w:val="center"/>
          </w:tcPr>
          <w:p w14:paraId="1CED9812">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采样点位</w:t>
            </w:r>
          </w:p>
        </w:tc>
        <w:tc>
          <w:tcPr>
            <w:tcW w:w="1807" w:type="dxa"/>
            <w:tcBorders>
              <w:tl2br w:val="nil"/>
              <w:tr2bl w:val="nil"/>
            </w:tcBorders>
            <w:noWrap w:val="0"/>
            <w:vAlign w:val="center"/>
          </w:tcPr>
          <w:p w14:paraId="3531E977">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采样时间</w:t>
            </w:r>
          </w:p>
        </w:tc>
        <w:tc>
          <w:tcPr>
            <w:tcW w:w="914" w:type="dxa"/>
            <w:tcBorders>
              <w:tl2br w:val="nil"/>
              <w:tr2bl w:val="nil"/>
            </w:tcBorders>
            <w:noWrap w:val="0"/>
            <w:vAlign w:val="center"/>
          </w:tcPr>
          <w:p w14:paraId="4FAB7F91">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天气</w:t>
            </w:r>
          </w:p>
        </w:tc>
        <w:tc>
          <w:tcPr>
            <w:tcW w:w="914" w:type="dxa"/>
            <w:tcBorders>
              <w:tl2br w:val="nil"/>
              <w:tr2bl w:val="nil"/>
            </w:tcBorders>
            <w:noWrap w:val="0"/>
            <w:vAlign w:val="center"/>
          </w:tcPr>
          <w:p w14:paraId="438E89FD">
            <w:pPr>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风向</w:t>
            </w:r>
          </w:p>
        </w:tc>
        <w:tc>
          <w:tcPr>
            <w:tcW w:w="914" w:type="dxa"/>
            <w:tcBorders>
              <w:tl2br w:val="nil"/>
              <w:tr2bl w:val="nil"/>
            </w:tcBorders>
            <w:noWrap w:val="0"/>
            <w:vAlign w:val="center"/>
          </w:tcPr>
          <w:p w14:paraId="30828FE9">
            <w:pPr>
              <w:pStyle w:val="115"/>
              <w:keepNext w:val="0"/>
              <w:keepLines w:val="0"/>
              <w:pageBreakBefore w:val="0"/>
              <w:widowControl w:val="0"/>
              <w:kinsoku/>
              <w:wordWrap/>
              <w:overflowPunct/>
              <w:topLinePunct w:val="0"/>
              <w:autoSpaceDE/>
              <w:autoSpaceDN/>
              <w:bidi w:val="0"/>
              <w:spacing w:line="240" w:lineRule="exact"/>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风速</w:t>
            </w:r>
          </w:p>
          <w:p w14:paraId="4331F5BD">
            <w:pPr>
              <w:pStyle w:val="115"/>
              <w:keepNext w:val="0"/>
              <w:keepLines w:val="0"/>
              <w:pageBreakBefore w:val="0"/>
              <w:widowControl w:val="0"/>
              <w:kinsoku/>
              <w:wordWrap/>
              <w:overflowPunct/>
              <w:topLinePunct w:val="0"/>
              <w:autoSpaceDE/>
              <w:autoSpaceDN/>
              <w:bidi w:val="0"/>
              <w:spacing w:line="240" w:lineRule="exact"/>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（m/s）</w:t>
            </w:r>
          </w:p>
        </w:tc>
        <w:tc>
          <w:tcPr>
            <w:tcW w:w="914" w:type="dxa"/>
            <w:tcBorders>
              <w:tl2br w:val="nil"/>
              <w:tr2bl w:val="nil"/>
            </w:tcBorders>
            <w:noWrap w:val="0"/>
            <w:vAlign w:val="center"/>
          </w:tcPr>
          <w:p w14:paraId="34F22CC3">
            <w:pPr>
              <w:pStyle w:val="115"/>
              <w:keepNext w:val="0"/>
              <w:keepLines w:val="0"/>
              <w:pageBreakBefore w:val="0"/>
              <w:widowControl w:val="0"/>
              <w:kinsoku/>
              <w:wordWrap/>
              <w:overflowPunct/>
              <w:topLinePunct w:val="0"/>
              <w:autoSpaceDE/>
              <w:autoSpaceDN/>
              <w:bidi w:val="0"/>
              <w:spacing w:line="240" w:lineRule="exact"/>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温度</w:t>
            </w:r>
          </w:p>
          <w:p w14:paraId="7DA7EA39">
            <w:pPr>
              <w:pStyle w:val="115"/>
              <w:keepNext w:val="0"/>
              <w:keepLines w:val="0"/>
              <w:pageBreakBefore w:val="0"/>
              <w:widowControl w:val="0"/>
              <w:kinsoku/>
              <w:wordWrap/>
              <w:overflowPunct/>
              <w:topLinePunct w:val="0"/>
              <w:autoSpaceDE/>
              <w:autoSpaceDN/>
              <w:bidi w:val="0"/>
              <w:spacing w:line="240" w:lineRule="exact"/>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w:t>
            </w:r>
          </w:p>
        </w:tc>
        <w:tc>
          <w:tcPr>
            <w:tcW w:w="914" w:type="dxa"/>
            <w:tcBorders>
              <w:tl2br w:val="nil"/>
              <w:tr2bl w:val="nil"/>
            </w:tcBorders>
            <w:noWrap w:val="0"/>
            <w:vAlign w:val="center"/>
          </w:tcPr>
          <w:p w14:paraId="3328DBB2">
            <w:pPr>
              <w:pStyle w:val="115"/>
              <w:keepNext w:val="0"/>
              <w:keepLines w:val="0"/>
              <w:pageBreakBefore w:val="0"/>
              <w:widowControl w:val="0"/>
              <w:kinsoku/>
              <w:wordWrap/>
              <w:overflowPunct/>
              <w:topLinePunct w:val="0"/>
              <w:autoSpaceDE/>
              <w:autoSpaceDN/>
              <w:bidi w:val="0"/>
              <w:spacing w:line="240" w:lineRule="exact"/>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湿度</w:t>
            </w:r>
          </w:p>
          <w:p w14:paraId="4F27F958">
            <w:pPr>
              <w:pStyle w:val="115"/>
              <w:keepNext w:val="0"/>
              <w:keepLines w:val="0"/>
              <w:pageBreakBefore w:val="0"/>
              <w:widowControl w:val="0"/>
              <w:kinsoku/>
              <w:wordWrap/>
              <w:overflowPunct/>
              <w:topLinePunct w:val="0"/>
              <w:autoSpaceDE/>
              <w:autoSpaceDN/>
              <w:bidi w:val="0"/>
              <w:spacing w:line="240" w:lineRule="exact"/>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lang w:eastAsia="zh-CN"/>
              </w:rPr>
              <w:t>）</w:t>
            </w:r>
          </w:p>
        </w:tc>
        <w:tc>
          <w:tcPr>
            <w:tcW w:w="916" w:type="dxa"/>
            <w:tcBorders>
              <w:tl2br w:val="nil"/>
              <w:tr2bl w:val="nil"/>
            </w:tcBorders>
            <w:noWrap w:val="0"/>
            <w:vAlign w:val="center"/>
          </w:tcPr>
          <w:p w14:paraId="210DEC9B">
            <w:pPr>
              <w:pStyle w:val="115"/>
              <w:keepNext w:val="0"/>
              <w:keepLines w:val="0"/>
              <w:pageBreakBefore w:val="0"/>
              <w:widowControl w:val="0"/>
              <w:kinsoku/>
              <w:wordWrap/>
              <w:overflowPunct/>
              <w:topLinePunct w:val="0"/>
              <w:autoSpaceDE/>
              <w:autoSpaceDN/>
              <w:bidi w:val="0"/>
              <w:spacing w:line="240" w:lineRule="exact"/>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大</w:t>
            </w:r>
            <w:r>
              <w:rPr>
                <w:rFonts w:hint="default" w:ascii="Times New Roman" w:hAnsi="Times New Roman" w:eastAsia="宋体" w:cs="Times New Roman"/>
                <w:b/>
                <w:bCs/>
                <w:color w:val="auto"/>
                <w:sz w:val="21"/>
                <w:szCs w:val="21"/>
              </w:rPr>
              <w:t>气压</w:t>
            </w:r>
          </w:p>
          <w:p w14:paraId="43197073">
            <w:pPr>
              <w:pStyle w:val="115"/>
              <w:keepNext w:val="0"/>
              <w:keepLines w:val="0"/>
              <w:pageBreakBefore w:val="0"/>
              <w:widowControl w:val="0"/>
              <w:kinsoku/>
              <w:wordWrap/>
              <w:overflowPunct/>
              <w:topLinePunct w:val="0"/>
              <w:autoSpaceDE/>
              <w:autoSpaceDN/>
              <w:bidi w:val="0"/>
              <w:spacing w:line="240" w:lineRule="exact"/>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（k</w:t>
            </w:r>
            <w:r>
              <w:rPr>
                <w:rFonts w:hint="default" w:ascii="Times New Roman" w:hAnsi="Times New Roman" w:eastAsia="宋体" w:cs="Times New Roman"/>
                <w:b/>
                <w:bCs/>
                <w:color w:val="auto"/>
                <w:sz w:val="21"/>
                <w:szCs w:val="21"/>
                <w:lang w:val="en-US" w:eastAsia="zh-CN"/>
              </w:rPr>
              <w:t>P</w:t>
            </w:r>
            <w:r>
              <w:rPr>
                <w:rFonts w:hint="default" w:ascii="Times New Roman" w:hAnsi="Times New Roman" w:eastAsia="宋体" w:cs="Times New Roman"/>
                <w:b/>
                <w:bCs/>
                <w:color w:val="auto"/>
                <w:sz w:val="21"/>
                <w:szCs w:val="21"/>
              </w:rPr>
              <w:t>a）</w:t>
            </w:r>
          </w:p>
        </w:tc>
      </w:tr>
      <w:tr w14:paraId="2D7B64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46" w:type="dxa"/>
            <w:vMerge w:val="restart"/>
            <w:tcBorders>
              <w:tl2br w:val="nil"/>
              <w:tr2bl w:val="nil"/>
            </w:tcBorders>
            <w:noWrap w:val="0"/>
            <w:vAlign w:val="center"/>
          </w:tcPr>
          <w:p w14:paraId="4B0B2C9F">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G1项目地大坝处</w:t>
            </w:r>
          </w:p>
        </w:tc>
        <w:tc>
          <w:tcPr>
            <w:tcW w:w="1807" w:type="dxa"/>
            <w:tcBorders>
              <w:tl2br w:val="nil"/>
              <w:tr2bl w:val="nil"/>
            </w:tcBorders>
            <w:noWrap w:val="0"/>
            <w:vAlign w:val="center"/>
          </w:tcPr>
          <w:p w14:paraId="611480D4">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2024.05.08</w:t>
            </w:r>
          </w:p>
        </w:tc>
        <w:tc>
          <w:tcPr>
            <w:tcW w:w="914" w:type="dxa"/>
            <w:tcBorders>
              <w:tl2br w:val="nil"/>
              <w:tr2bl w:val="nil"/>
            </w:tcBorders>
            <w:noWrap w:val="0"/>
            <w:vAlign w:val="center"/>
          </w:tcPr>
          <w:p w14:paraId="5BFFD46E">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晴</w:t>
            </w:r>
          </w:p>
        </w:tc>
        <w:tc>
          <w:tcPr>
            <w:tcW w:w="914" w:type="dxa"/>
            <w:tcBorders>
              <w:tl2br w:val="nil"/>
              <w:tr2bl w:val="nil"/>
            </w:tcBorders>
            <w:noWrap w:val="0"/>
            <w:vAlign w:val="center"/>
          </w:tcPr>
          <w:p w14:paraId="6356AACF">
            <w:pPr>
              <w:adjustRightInd w:val="0"/>
              <w:snapToGrid w:val="0"/>
              <w:spacing w:before="31" w:beforeLines="10" w:after="31" w:afterLines="10"/>
              <w:ind w:left="0" w:leftChars="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东北</w:t>
            </w:r>
          </w:p>
        </w:tc>
        <w:tc>
          <w:tcPr>
            <w:tcW w:w="914" w:type="dxa"/>
            <w:tcBorders>
              <w:tl2br w:val="nil"/>
              <w:tr2bl w:val="nil"/>
            </w:tcBorders>
            <w:noWrap w:val="0"/>
            <w:vAlign w:val="center"/>
          </w:tcPr>
          <w:p w14:paraId="1F4127E0">
            <w:pPr>
              <w:adjustRightInd w:val="0"/>
              <w:snapToGrid w:val="0"/>
              <w:spacing w:before="31" w:beforeLines="10" w:after="31" w:afterLines="10"/>
              <w:ind w:left="0" w:lef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2.8</w:t>
            </w:r>
          </w:p>
        </w:tc>
        <w:tc>
          <w:tcPr>
            <w:tcW w:w="914" w:type="dxa"/>
            <w:tcBorders>
              <w:tl2br w:val="nil"/>
              <w:tr2bl w:val="nil"/>
            </w:tcBorders>
            <w:noWrap w:val="0"/>
            <w:vAlign w:val="center"/>
          </w:tcPr>
          <w:p w14:paraId="2CE5D311">
            <w:pPr>
              <w:adjustRightInd w:val="0"/>
              <w:snapToGrid w:val="0"/>
              <w:spacing w:before="31" w:beforeLines="10" w:after="31" w:afterLines="10"/>
              <w:ind w:left="0" w:lef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23.5</w:t>
            </w:r>
          </w:p>
        </w:tc>
        <w:tc>
          <w:tcPr>
            <w:tcW w:w="914" w:type="dxa"/>
            <w:tcBorders>
              <w:tl2br w:val="nil"/>
              <w:tr2bl w:val="nil"/>
            </w:tcBorders>
            <w:noWrap w:val="0"/>
            <w:vAlign w:val="center"/>
          </w:tcPr>
          <w:p w14:paraId="45BB2D11">
            <w:pPr>
              <w:adjustRightInd w:val="0"/>
              <w:snapToGrid w:val="0"/>
              <w:spacing w:before="31" w:beforeLines="10" w:after="31" w:afterLines="10"/>
              <w:ind w:left="0" w:leftChars="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kern w:val="2"/>
                <w:sz w:val="21"/>
                <w:szCs w:val="21"/>
                <w:lang w:val="en-US" w:eastAsia="zh-CN" w:bidi="ar-SA"/>
              </w:rPr>
              <w:t>54</w:t>
            </w:r>
          </w:p>
        </w:tc>
        <w:tc>
          <w:tcPr>
            <w:tcW w:w="916" w:type="dxa"/>
            <w:tcBorders>
              <w:tl2br w:val="nil"/>
              <w:tr2bl w:val="nil"/>
            </w:tcBorders>
            <w:noWrap w:val="0"/>
            <w:vAlign w:val="center"/>
          </w:tcPr>
          <w:p w14:paraId="128A7178">
            <w:pPr>
              <w:adjustRightInd w:val="0"/>
              <w:snapToGrid w:val="0"/>
              <w:spacing w:before="31" w:beforeLines="10" w:after="31" w:afterLines="10"/>
              <w:ind w:left="0" w:lef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100.2</w:t>
            </w:r>
          </w:p>
        </w:tc>
      </w:tr>
      <w:tr w14:paraId="4B5F7A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46" w:type="dxa"/>
            <w:vMerge w:val="continue"/>
            <w:tcBorders>
              <w:tl2br w:val="nil"/>
              <w:tr2bl w:val="nil"/>
            </w:tcBorders>
            <w:noWrap w:val="0"/>
            <w:vAlign w:val="center"/>
          </w:tcPr>
          <w:p w14:paraId="6407A3F5">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p>
        </w:tc>
        <w:tc>
          <w:tcPr>
            <w:tcW w:w="1807" w:type="dxa"/>
            <w:tcBorders>
              <w:tl2br w:val="nil"/>
              <w:tr2bl w:val="nil"/>
            </w:tcBorders>
            <w:noWrap w:val="0"/>
            <w:vAlign w:val="center"/>
          </w:tcPr>
          <w:p w14:paraId="7B5B7A80">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2024.05.09</w:t>
            </w:r>
          </w:p>
        </w:tc>
        <w:tc>
          <w:tcPr>
            <w:tcW w:w="914" w:type="dxa"/>
            <w:tcBorders>
              <w:tl2br w:val="nil"/>
              <w:tr2bl w:val="nil"/>
            </w:tcBorders>
            <w:noWrap w:val="0"/>
            <w:vAlign w:val="center"/>
          </w:tcPr>
          <w:p w14:paraId="5C4D4BA8">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阴</w:t>
            </w:r>
          </w:p>
        </w:tc>
        <w:tc>
          <w:tcPr>
            <w:tcW w:w="914" w:type="dxa"/>
            <w:tcBorders>
              <w:tl2br w:val="nil"/>
              <w:tr2bl w:val="nil"/>
            </w:tcBorders>
            <w:noWrap w:val="0"/>
            <w:vAlign w:val="center"/>
          </w:tcPr>
          <w:p w14:paraId="24EA15C2">
            <w:pPr>
              <w:adjustRightInd w:val="0"/>
              <w:snapToGrid w:val="0"/>
              <w:spacing w:before="31" w:beforeLines="10" w:after="31" w:afterLines="10"/>
              <w:ind w:left="0" w:leftChars="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kern w:val="2"/>
                <w:sz w:val="21"/>
                <w:szCs w:val="21"/>
                <w:lang w:val="en-US" w:eastAsia="zh-CN" w:bidi="ar-SA"/>
              </w:rPr>
              <w:t>西南</w:t>
            </w:r>
          </w:p>
        </w:tc>
        <w:tc>
          <w:tcPr>
            <w:tcW w:w="914" w:type="dxa"/>
            <w:tcBorders>
              <w:tl2br w:val="nil"/>
              <w:tr2bl w:val="nil"/>
            </w:tcBorders>
            <w:noWrap w:val="0"/>
            <w:vAlign w:val="center"/>
          </w:tcPr>
          <w:p w14:paraId="4528B6A7">
            <w:pPr>
              <w:adjustRightInd w:val="0"/>
              <w:snapToGrid w:val="0"/>
              <w:spacing w:before="31" w:beforeLines="10" w:after="31" w:afterLines="10"/>
              <w:ind w:left="0" w:lef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1.9</w:t>
            </w:r>
          </w:p>
        </w:tc>
        <w:tc>
          <w:tcPr>
            <w:tcW w:w="914" w:type="dxa"/>
            <w:tcBorders>
              <w:tl2br w:val="nil"/>
              <w:tr2bl w:val="nil"/>
            </w:tcBorders>
            <w:noWrap w:val="0"/>
            <w:vAlign w:val="center"/>
          </w:tcPr>
          <w:p w14:paraId="2A88C9B8">
            <w:pPr>
              <w:adjustRightInd w:val="0"/>
              <w:snapToGrid w:val="0"/>
              <w:spacing w:before="31" w:beforeLines="10" w:after="31" w:afterLines="10"/>
              <w:ind w:left="0" w:lef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23.6</w:t>
            </w:r>
          </w:p>
        </w:tc>
        <w:tc>
          <w:tcPr>
            <w:tcW w:w="914" w:type="dxa"/>
            <w:tcBorders>
              <w:tl2br w:val="nil"/>
              <w:tr2bl w:val="nil"/>
            </w:tcBorders>
            <w:noWrap w:val="0"/>
            <w:vAlign w:val="center"/>
          </w:tcPr>
          <w:p w14:paraId="3ADE84D4">
            <w:pPr>
              <w:adjustRightInd w:val="0"/>
              <w:snapToGrid w:val="0"/>
              <w:spacing w:before="31" w:beforeLines="10" w:after="31" w:afterLines="10"/>
              <w:ind w:left="0" w:leftChars="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kern w:val="2"/>
                <w:sz w:val="21"/>
                <w:szCs w:val="21"/>
                <w:lang w:val="en-US" w:eastAsia="zh-CN" w:bidi="ar-SA"/>
              </w:rPr>
              <w:t>54</w:t>
            </w:r>
          </w:p>
        </w:tc>
        <w:tc>
          <w:tcPr>
            <w:tcW w:w="916" w:type="dxa"/>
            <w:tcBorders>
              <w:tl2br w:val="nil"/>
              <w:tr2bl w:val="nil"/>
            </w:tcBorders>
            <w:noWrap w:val="0"/>
            <w:vAlign w:val="center"/>
          </w:tcPr>
          <w:p w14:paraId="1EE51F18">
            <w:pPr>
              <w:adjustRightInd w:val="0"/>
              <w:snapToGrid w:val="0"/>
              <w:spacing w:before="31" w:beforeLines="10" w:after="31" w:afterLines="10"/>
              <w:ind w:left="0" w:lef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100.2</w:t>
            </w:r>
          </w:p>
        </w:tc>
      </w:tr>
      <w:tr w14:paraId="52A0AD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46" w:type="dxa"/>
            <w:vMerge w:val="continue"/>
            <w:tcBorders>
              <w:tl2br w:val="nil"/>
              <w:tr2bl w:val="nil"/>
            </w:tcBorders>
            <w:noWrap w:val="0"/>
            <w:vAlign w:val="center"/>
          </w:tcPr>
          <w:p w14:paraId="3302A73B">
            <w:pPr>
              <w:keepNext w:val="0"/>
              <w:keepLines w:val="0"/>
              <w:widowControl/>
              <w:suppressLineNumbers w:val="0"/>
              <w:jc w:val="center"/>
              <w:textAlignment w:val="center"/>
              <w:rPr>
                <w:rFonts w:hint="default" w:ascii="Times New Roman" w:hAnsi="Times New Roman" w:cs="Times New Roman"/>
                <w:color w:val="auto"/>
                <w:sz w:val="21"/>
                <w:szCs w:val="21"/>
              </w:rPr>
            </w:pPr>
          </w:p>
        </w:tc>
        <w:tc>
          <w:tcPr>
            <w:tcW w:w="1807" w:type="dxa"/>
            <w:tcBorders>
              <w:tl2br w:val="nil"/>
              <w:tr2bl w:val="nil"/>
            </w:tcBorders>
            <w:noWrap w:val="0"/>
            <w:vAlign w:val="center"/>
          </w:tcPr>
          <w:p w14:paraId="7997247F">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2024.05.10</w:t>
            </w:r>
          </w:p>
        </w:tc>
        <w:tc>
          <w:tcPr>
            <w:tcW w:w="914" w:type="dxa"/>
            <w:tcBorders>
              <w:tl2br w:val="nil"/>
              <w:tr2bl w:val="nil"/>
            </w:tcBorders>
            <w:noWrap w:val="0"/>
            <w:vAlign w:val="center"/>
          </w:tcPr>
          <w:p w14:paraId="402A748A">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阴</w:t>
            </w:r>
          </w:p>
        </w:tc>
        <w:tc>
          <w:tcPr>
            <w:tcW w:w="914" w:type="dxa"/>
            <w:tcBorders>
              <w:tl2br w:val="nil"/>
              <w:tr2bl w:val="nil"/>
            </w:tcBorders>
            <w:noWrap w:val="0"/>
            <w:vAlign w:val="center"/>
          </w:tcPr>
          <w:p w14:paraId="346A4661">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南</w:t>
            </w:r>
          </w:p>
        </w:tc>
        <w:tc>
          <w:tcPr>
            <w:tcW w:w="914" w:type="dxa"/>
            <w:tcBorders>
              <w:tl2br w:val="nil"/>
              <w:tr2bl w:val="nil"/>
            </w:tcBorders>
            <w:noWrap w:val="0"/>
            <w:vAlign w:val="center"/>
          </w:tcPr>
          <w:p w14:paraId="2578076E">
            <w:pPr>
              <w:keepNext w:val="0"/>
              <w:keepLines w:val="0"/>
              <w:widowControl/>
              <w:suppressLineNumbers w:val="0"/>
              <w:jc w:val="center"/>
              <w:textAlignment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2.4</w:t>
            </w:r>
          </w:p>
        </w:tc>
        <w:tc>
          <w:tcPr>
            <w:tcW w:w="914" w:type="dxa"/>
            <w:tcBorders>
              <w:tl2br w:val="nil"/>
              <w:tr2bl w:val="nil"/>
            </w:tcBorders>
            <w:noWrap w:val="0"/>
            <w:vAlign w:val="center"/>
          </w:tcPr>
          <w:p w14:paraId="5A4D353B">
            <w:pPr>
              <w:keepNext w:val="0"/>
              <w:keepLines w:val="0"/>
              <w:widowControl/>
              <w:suppressLineNumbers w:val="0"/>
              <w:jc w:val="center"/>
              <w:textAlignment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21.7</w:t>
            </w:r>
          </w:p>
        </w:tc>
        <w:tc>
          <w:tcPr>
            <w:tcW w:w="914" w:type="dxa"/>
            <w:tcBorders>
              <w:tl2br w:val="nil"/>
              <w:tr2bl w:val="nil"/>
            </w:tcBorders>
            <w:noWrap w:val="0"/>
            <w:vAlign w:val="center"/>
          </w:tcPr>
          <w:p w14:paraId="45C2396D">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kern w:val="2"/>
                <w:sz w:val="21"/>
                <w:szCs w:val="21"/>
                <w:lang w:val="en-US" w:eastAsia="zh-CN" w:bidi="ar-SA"/>
              </w:rPr>
              <w:t>58</w:t>
            </w:r>
          </w:p>
        </w:tc>
        <w:tc>
          <w:tcPr>
            <w:tcW w:w="916" w:type="dxa"/>
            <w:tcBorders>
              <w:tl2br w:val="nil"/>
              <w:tr2bl w:val="nil"/>
            </w:tcBorders>
            <w:noWrap w:val="0"/>
            <w:vAlign w:val="center"/>
          </w:tcPr>
          <w:p w14:paraId="3F51F77A">
            <w:pPr>
              <w:keepNext w:val="0"/>
              <w:keepLines w:val="0"/>
              <w:widowControl/>
              <w:suppressLineNumbers w:val="0"/>
              <w:jc w:val="center"/>
              <w:textAlignment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100.4</w:t>
            </w:r>
          </w:p>
        </w:tc>
      </w:tr>
      <w:tr w14:paraId="2BA170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46" w:type="dxa"/>
            <w:vMerge w:val="continue"/>
            <w:tcBorders>
              <w:tl2br w:val="nil"/>
              <w:tr2bl w:val="nil"/>
            </w:tcBorders>
            <w:noWrap w:val="0"/>
            <w:vAlign w:val="center"/>
          </w:tcPr>
          <w:p w14:paraId="46106766">
            <w:pPr>
              <w:keepNext w:val="0"/>
              <w:keepLines w:val="0"/>
              <w:widowControl/>
              <w:suppressLineNumbers w:val="0"/>
              <w:jc w:val="center"/>
              <w:textAlignment w:val="center"/>
              <w:rPr>
                <w:rFonts w:hint="default" w:ascii="Times New Roman" w:hAnsi="Times New Roman" w:cs="Times New Roman"/>
                <w:b w:val="0"/>
                <w:bCs w:val="0"/>
                <w:color w:val="auto"/>
                <w:sz w:val="21"/>
                <w:szCs w:val="21"/>
                <w:lang w:val="en-US" w:eastAsia="zh-CN"/>
              </w:rPr>
            </w:pPr>
          </w:p>
        </w:tc>
        <w:tc>
          <w:tcPr>
            <w:tcW w:w="1807" w:type="dxa"/>
            <w:tcBorders>
              <w:tl2br w:val="nil"/>
              <w:tr2bl w:val="nil"/>
            </w:tcBorders>
            <w:noWrap w:val="0"/>
            <w:vAlign w:val="center"/>
          </w:tcPr>
          <w:p w14:paraId="23D2D694">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2024.05.11</w:t>
            </w:r>
          </w:p>
        </w:tc>
        <w:tc>
          <w:tcPr>
            <w:tcW w:w="914" w:type="dxa"/>
            <w:tcBorders>
              <w:tl2br w:val="nil"/>
              <w:tr2bl w:val="nil"/>
            </w:tcBorders>
            <w:noWrap w:val="0"/>
            <w:vAlign w:val="center"/>
          </w:tcPr>
          <w:p w14:paraId="6A6C5867">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阴</w:t>
            </w:r>
          </w:p>
        </w:tc>
        <w:tc>
          <w:tcPr>
            <w:tcW w:w="914" w:type="dxa"/>
            <w:tcBorders>
              <w:tl2br w:val="nil"/>
              <w:tr2bl w:val="nil"/>
            </w:tcBorders>
            <w:noWrap w:val="0"/>
            <w:vAlign w:val="center"/>
          </w:tcPr>
          <w:p w14:paraId="57CB14A2">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西北</w:t>
            </w:r>
          </w:p>
        </w:tc>
        <w:tc>
          <w:tcPr>
            <w:tcW w:w="914" w:type="dxa"/>
            <w:tcBorders>
              <w:tl2br w:val="nil"/>
              <w:tr2bl w:val="nil"/>
            </w:tcBorders>
            <w:noWrap w:val="0"/>
            <w:vAlign w:val="center"/>
          </w:tcPr>
          <w:p w14:paraId="083748FE">
            <w:pPr>
              <w:keepNext w:val="0"/>
              <w:keepLines w:val="0"/>
              <w:widowControl/>
              <w:suppressLineNumbers w:val="0"/>
              <w:jc w:val="center"/>
              <w:textAlignment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2.6</w:t>
            </w:r>
          </w:p>
        </w:tc>
        <w:tc>
          <w:tcPr>
            <w:tcW w:w="914" w:type="dxa"/>
            <w:tcBorders>
              <w:tl2br w:val="nil"/>
              <w:tr2bl w:val="nil"/>
            </w:tcBorders>
            <w:noWrap w:val="0"/>
            <w:vAlign w:val="center"/>
          </w:tcPr>
          <w:p w14:paraId="3D030E25">
            <w:pPr>
              <w:keepNext w:val="0"/>
              <w:keepLines w:val="0"/>
              <w:widowControl/>
              <w:suppressLineNumbers w:val="0"/>
              <w:jc w:val="center"/>
              <w:textAlignment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22.6</w:t>
            </w:r>
          </w:p>
        </w:tc>
        <w:tc>
          <w:tcPr>
            <w:tcW w:w="914" w:type="dxa"/>
            <w:tcBorders>
              <w:tl2br w:val="nil"/>
              <w:tr2bl w:val="nil"/>
            </w:tcBorders>
            <w:noWrap w:val="0"/>
            <w:vAlign w:val="center"/>
          </w:tcPr>
          <w:p w14:paraId="037E2E5C">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kern w:val="2"/>
                <w:sz w:val="21"/>
                <w:szCs w:val="21"/>
                <w:lang w:val="en-US" w:eastAsia="zh-CN" w:bidi="ar-SA"/>
              </w:rPr>
              <w:t>56</w:t>
            </w:r>
          </w:p>
        </w:tc>
        <w:tc>
          <w:tcPr>
            <w:tcW w:w="916" w:type="dxa"/>
            <w:tcBorders>
              <w:tl2br w:val="nil"/>
              <w:tr2bl w:val="nil"/>
            </w:tcBorders>
            <w:noWrap w:val="0"/>
            <w:vAlign w:val="center"/>
          </w:tcPr>
          <w:p w14:paraId="7573C7DB">
            <w:pPr>
              <w:keepNext w:val="0"/>
              <w:keepLines w:val="0"/>
              <w:widowControl/>
              <w:suppressLineNumbers w:val="0"/>
              <w:jc w:val="center"/>
              <w:textAlignment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100.3</w:t>
            </w:r>
          </w:p>
        </w:tc>
      </w:tr>
      <w:tr w14:paraId="3C9D05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46" w:type="dxa"/>
            <w:vMerge w:val="continue"/>
            <w:tcBorders>
              <w:tl2br w:val="nil"/>
              <w:tr2bl w:val="nil"/>
            </w:tcBorders>
            <w:noWrap w:val="0"/>
            <w:vAlign w:val="center"/>
          </w:tcPr>
          <w:p w14:paraId="6DFACF3A">
            <w:pPr>
              <w:keepNext w:val="0"/>
              <w:keepLines w:val="0"/>
              <w:widowControl/>
              <w:suppressLineNumbers w:val="0"/>
              <w:jc w:val="center"/>
              <w:textAlignment w:val="center"/>
              <w:rPr>
                <w:rFonts w:hint="default" w:ascii="Times New Roman" w:hAnsi="Times New Roman" w:cs="Times New Roman"/>
                <w:b w:val="0"/>
                <w:bCs w:val="0"/>
                <w:color w:val="auto"/>
                <w:sz w:val="21"/>
                <w:szCs w:val="21"/>
                <w:lang w:val="en-US" w:eastAsia="zh-CN"/>
              </w:rPr>
            </w:pPr>
          </w:p>
        </w:tc>
        <w:tc>
          <w:tcPr>
            <w:tcW w:w="1807" w:type="dxa"/>
            <w:tcBorders>
              <w:tl2br w:val="nil"/>
              <w:tr2bl w:val="nil"/>
            </w:tcBorders>
            <w:noWrap w:val="0"/>
            <w:vAlign w:val="center"/>
          </w:tcPr>
          <w:p w14:paraId="039D6407">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2024.05.12</w:t>
            </w:r>
          </w:p>
        </w:tc>
        <w:tc>
          <w:tcPr>
            <w:tcW w:w="914" w:type="dxa"/>
            <w:tcBorders>
              <w:tl2br w:val="nil"/>
              <w:tr2bl w:val="nil"/>
            </w:tcBorders>
            <w:noWrap w:val="0"/>
            <w:vAlign w:val="center"/>
          </w:tcPr>
          <w:p w14:paraId="7EEEB660">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阴</w:t>
            </w:r>
          </w:p>
        </w:tc>
        <w:tc>
          <w:tcPr>
            <w:tcW w:w="914" w:type="dxa"/>
            <w:tcBorders>
              <w:tl2br w:val="nil"/>
              <w:tr2bl w:val="nil"/>
            </w:tcBorders>
            <w:noWrap w:val="0"/>
            <w:vAlign w:val="center"/>
          </w:tcPr>
          <w:p w14:paraId="72B158B1">
            <w:pPr>
              <w:adjustRightInd w:val="0"/>
              <w:snapToGrid w:val="0"/>
              <w:spacing w:before="31" w:beforeLines="10" w:after="31" w:afterLines="10"/>
              <w:ind w:left="0" w:leftChars="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kern w:val="2"/>
                <w:sz w:val="21"/>
                <w:szCs w:val="21"/>
                <w:lang w:val="en-US" w:eastAsia="zh-CN" w:bidi="ar-SA"/>
              </w:rPr>
              <w:t>东北</w:t>
            </w:r>
          </w:p>
        </w:tc>
        <w:tc>
          <w:tcPr>
            <w:tcW w:w="914" w:type="dxa"/>
            <w:tcBorders>
              <w:tl2br w:val="nil"/>
              <w:tr2bl w:val="nil"/>
            </w:tcBorders>
            <w:noWrap w:val="0"/>
            <w:vAlign w:val="center"/>
          </w:tcPr>
          <w:p w14:paraId="1D607CC9">
            <w:pPr>
              <w:adjustRightInd w:val="0"/>
              <w:snapToGrid w:val="0"/>
              <w:spacing w:before="31" w:beforeLines="10" w:after="31" w:afterLines="10"/>
              <w:ind w:left="0" w:lef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1.4</w:t>
            </w:r>
          </w:p>
        </w:tc>
        <w:tc>
          <w:tcPr>
            <w:tcW w:w="914" w:type="dxa"/>
            <w:tcBorders>
              <w:tl2br w:val="nil"/>
              <w:tr2bl w:val="nil"/>
            </w:tcBorders>
            <w:noWrap w:val="0"/>
            <w:vAlign w:val="center"/>
          </w:tcPr>
          <w:p w14:paraId="0E0C641E">
            <w:pPr>
              <w:adjustRightInd w:val="0"/>
              <w:snapToGrid w:val="0"/>
              <w:spacing w:before="31" w:beforeLines="10" w:after="31" w:afterLines="10"/>
              <w:ind w:left="0" w:lef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21.3</w:t>
            </w:r>
          </w:p>
        </w:tc>
        <w:tc>
          <w:tcPr>
            <w:tcW w:w="914" w:type="dxa"/>
            <w:tcBorders>
              <w:tl2br w:val="nil"/>
              <w:tr2bl w:val="nil"/>
            </w:tcBorders>
            <w:noWrap w:val="0"/>
            <w:vAlign w:val="center"/>
          </w:tcPr>
          <w:p w14:paraId="1B518770">
            <w:pPr>
              <w:adjustRightInd w:val="0"/>
              <w:snapToGrid w:val="0"/>
              <w:spacing w:before="31" w:beforeLines="10" w:after="31" w:afterLines="10"/>
              <w:ind w:left="0" w:lef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55</w:t>
            </w:r>
          </w:p>
        </w:tc>
        <w:tc>
          <w:tcPr>
            <w:tcW w:w="916" w:type="dxa"/>
            <w:tcBorders>
              <w:tl2br w:val="nil"/>
              <w:tr2bl w:val="nil"/>
            </w:tcBorders>
            <w:noWrap w:val="0"/>
            <w:vAlign w:val="center"/>
          </w:tcPr>
          <w:p w14:paraId="56E4C298">
            <w:pPr>
              <w:adjustRightInd w:val="0"/>
              <w:snapToGrid w:val="0"/>
              <w:spacing w:before="31" w:beforeLines="10" w:after="31" w:afterLines="10"/>
              <w:ind w:left="0" w:lef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100.2</w:t>
            </w:r>
          </w:p>
        </w:tc>
      </w:tr>
      <w:tr w14:paraId="1F457E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46" w:type="dxa"/>
            <w:vMerge w:val="continue"/>
            <w:tcBorders>
              <w:tl2br w:val="nil"/>
              <w:tr2bl w:val="nil"/>
            </w:tcBorders>
            <w:noWrap w:val="0"/>
            <w:vAlign w:val="center"/>
          </w:tcPr>
          <w:p w14:paraId="08C6CCC5">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p>
        </w:tc>
        <w:tc>
          <w:tcPr>
            <w:tcW w:w="1807" w:type="dxa"/>
            <w:tcBorders>
              <w:tl2br w:val="nil"/>
              <w:tr2bl w:val="nil"/>
            </w:tcBorders>
            <w:noWrap w:val="0"/>
            <w:vAlign w:val="center"/>
          </w:tcPr>
          <w:p w14:paraId="7F93F4B5">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2024.05.13</w:t>
            </w:r>
          </w:p>
        </w:tc>
        <w:tc>
          <w:tcPr>
            <w:tcW w:w="914" w:type="dxa"/>
            <w:tcBorders>
              <w:tl2br w:val="nil"/>
              <w:tr2bl w:val="nil"/>
            </w:tcBorders>
            <w:noWrap w:val="0"/>
            <w:vAlign w:val="center"/>
          </w:tcPr>
          <w:p w14:paraId="7E7E1259">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晴</w:t>
            </w:r>
          </w:p>
        </w:tc>
        <w:tc>
          <w:tcPr>
            <w:tcW w:w="914" w:type="dxa"/>
            <w:tcBorders>
              <w:tl2br w:val="nil"/>
              <w:tr2bl w:val="nil"/>
            </w:tcBorders>
            <w:noWrap w:val="0"/>
            <w:vAlign w:val="center"/>
          </w:tcPr>
          <w:p w14:paraId="2BB02ED2">
            <w:pPr>
              <w:adjustRightInd w:val="0"/>
              <w:snapToGrid w:val="0"/>
              <w:spacing w:before="31" w:beforeLines="10" w:after="31" w:afterLines="10"/>
              <w:ind w:left="0" w:leftChars="0" w:firstLine="0" w:firstLineChars="0"/>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东南</w:t>
            </w:r>
          </w:p>
        </w:tc>
        <w:tc>
          <w:tcPr>
            <w:tcW w:w="914" w:type="dxa"/>
            <w:tcBorders>
              <w:tl2br w:val="nil"/>
              <w:tr2bl w:val="nil"/>
            </w:tcBorders>
            <w:noWrap w:val="0"/>
            <w:vAlign w:val="center"/>
          </w:tcPr>
          <w:p w14:paraId="453A8D0D">
            <w:pPr>
              <w:adjustRightInd w:val="0"/>
              <w:snapToGrid w:val="0"/>
              <w:spacing w:before="31" w:beforeLines="10" w:after="31" w:afterLines="10"/>
              <w:ind w:left="0" w:lef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1.6</w:t>
            </w:r>
          </w:p>
        </w:tc>
        <w:tc>
          <w:tcPr>
            <w:tcW w:w="914" w:type="dxa"/>
            <w:tcBorders>
              <w:tl2br w:val="nil"/>
              <w:tr2bl w:val="nil"/>
            </w:tcBorders>
            <w:noWrap w:val="0"/>
            <w:vAlign w:val="center"/>
          </w:tcPr>
          <w:p w14:paraId="557409B4">
            <w:pPr>
              <w:adjustRightInd w:val="0"/>
              <w:snapToGrid w:val="0"/>
              <w:spacing w:before="31" w:beforeLines="10" w:after="31" w:afterLines="10"/>
              <w:ind w:left="0" w:lef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22.8</w:t>
            </w:r>
          </w:p>
        </w:tc>
        <w:tc>
          <w:tcPr>
            <w:tcW w:w="914" w:type="dxa"/>
            <w:tcBorders>
              <w:tl2br w:val="nil"/>
              <w:tr2bl w:val="nil"/>
            </w:tcBorders>
            <w:noWrap w:val="0"/>
            <w:vAlign w:val="center"/>
          </w:tcPr>
          <w:p w14:paraId="0135F735">
            <w:pPr>
              <w:adjustRightInd w:val="0"/>
              <w:snapToGrid w:val="0"/>
              <w:spacing w:before="31" w:beforeLines="10" w:after="31" w:afterLines="10"/>
              <w:ind w:left="0" w:lef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53</w:t>
            </w:r>
          </w:p>
        </w:tc>
        <w:tc>
          <w:tcPr>
            <w:tcW w:w="916" w:type="dxa"/>
            <w:tcBorders>
              <w:tl2br w:val="nil"/>
              <w:tr2bl w:val="nil"/>
            </w:tcBorders>
            <w:noWrap w:val="0"/>
            <w:vAlign w:val="center"/>
          </w:tcPr>
          <w:p w14:paraId="05DE195A">
            <w:pPr>
              <w:adjustRightInd w:val="0"/>
              <w:snapToGrid w:val="0"/>
              <w:spacing w:before="31" w:beforeLines="10" w:after="31" w:afterLines="10"/>
              <w:ind w:left="0" w:leftChars="0" w:firstLine="0" w:firstLineChars="0"/>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100.3</w:t>
            </w:r>
          </w:p>
        </w:tc>
      </w:tr>
      <w:tr w14:paraId="139893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446" w:type="dxa"/>
            <w:vMerge w:val="continue"/>
            <w:tcBorders>
              <w:tl2br w:val="nil"/>
              <w:tr2bl w:val="nil"/>
            </w:tcBorders>
            <w:noWrap w:val="0"/>
            <w:vAlign w:val="center"/>
          </w:tcPr>
          <w:p w14:paraId="6CFD4176">
            <w:pPr>
              <w:keepNext w:val="0"/>
              <w:keepLines w:val="0"/>
              <w:widowControl/>
              <w:suppressLineNumbers w:val="0"/>
              <w:jc w:val="center"/>
              <w:textAlignment w:val="center"/>
              <w:rPr>
                <w:rFonts w:hint="default" w:ascii="Times New Roman" w:hAnsi="Times New Roman" w:cs="Times New Roman"/>
                <w:color w:val="auto"/>
                <w:sz w:val="21"/>
                <w:szCs w:val="21"/>
              </w:rPr>
            </w:pPr>
          </w:p>
        </w:tc>
        <w:tc>
          <w:tcPr>
            <w:tcW w:w="1807" w:type="dxa"/>
            <w:tcBorders>
              <w:tl2br w:val="nil"/>
              <w:tr2bl w:val="nil"/>
            </w:tcBorders>
            <w:noWrap w:val="0"/>
            <w:vAlign w:val="center"/>
          </w:tcPr>
          <w:p w14:paraId="620928A2">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2024.05.14</w:t>
            </w:r>
          </w:p>
        </w:tc>
        <w:tc>
          <w:tcPr>
            <w:tcW w:w="914" w:type="dxa"/>
            <w:tcBorders>
              <w:tl2br w:val="nil"/>
              <w:tr2bl w:val="nil"/>
            </w:tcBorders>
            <w:noWrap w:val="0"/>
            <w:vAlign w:val="center"/>
          </w:tcPr>
          <w:p w14:paraId="4A457C34">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阴</w:t>
            </w:r>
          </w:p>
        </w:tc>
        <w:tc>
          <w:tcPr>
            <w:tcW w:w="914" w:type="dxa"/>
            <w:tcBorders>
              <w:tl2br w:val="nil"/>
              <w:tr2bl w:val="nil"/>
            </w:tcBorders>
            <w:noWrap w:val="0"/>
            <w:vAlign w:val="center"/>
          </w:tcPr>
          <w:p w14:paraId="4BE80A6D">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南</w:t>
            </w:r>
          </w:p>
        </w:tc>
        <w:tc>
          <w:tcPr>
            <w:tcW w:w="914" w:type="dxa"/>
            <w:tcBorders>
              <w:tl2br w:val="nil"/>
              <w:tr2bl w:val="nil"/>
            </w:tcBorders>
            <w:noWrap w:val="0"/>
            <w:vAlign w:val="center"/>
          </w:tcPr>
          <w:p w14:paraId="16CB0766">
            <w:pPr>
              <w:keepNext w:val="0"/>
              <w:keepLines w:val="0"/>
              <w:widowControl/>
              <w:suppressLineNumbers w:val="0"/>
              <w:jc w:val="center"/>
              <w:textAlignment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2.5</w:t>
            </w:r>
          </w:p>
        </w:tc>
        <w:tc>
          <w:tcPr>
            <w:tcW w:w="914" w:type="dxa"/>
            <w:tcBorders>
              <w:tl2br w:val="nil"/>
              <w:tr2bl w:val="nil"/>
            </w:tcBorders>
            <w:noWrap w:val="0"/>
            <w:vAlign w:val="center"/>
          </w:tcPr>
          <w:p w14:paraId="6CAB9F0E">
            <w:pPr>
              <w:keepNext w:val="0"/>
              <w:keepLines w:val="0"/>
              <w:widowControl/>
              <w:suppressLineNumbers w:val="0"/>
              <w:jc w:val="center"/>
              <w:textAlignment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24.6</w:t>
            </w:r>
          </w:p>
        </w:tc>
        <w:tc>
          <w:tcPr>
            <w:tcW w:w="914" w:type="dxa"/>
            <w:tcBorders>
              <w:tl2br w:val="nil"/>
              <w:tr2bl w:val="nil"/>
            </w:tcBorders>
            <w:noWrap w:val="0"/>
            <w:vAlign w:val="center"/>
          </w:tcPr>
          <w:p w14:paraId="19BFD6A7">
            <w:pPr>
              <w:keepNext w:val="0"/>
              <w:keepLines w:val="0"/>
              <w:widowControl/>
              <w:suppressLineNumbers w:val="0"/>
              <w:jc w:val="center"/>
              <w:textAlignment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52</w:t>
            </w:r>
          </w:p>
        </w:tc>
        <w:tc>
          <w:tcPr>
            <w:tcW w:w="916" w:type="dxa"/>
            <w:tcBorders>
              <w:tl2br w:val="nil"/>
              <w:tr2bl w:val="nil"/>
            </w:tcBorders>
            <w:noWrap w:val="0"/>
            <w:vAlign w:val="center"/>
          </w:tcPr>
          <w:p w14:paraId="0A4DFE47">
            <w:pPr>
              <w:keepNext w:val="0"/>
              <w:keepLines w:val="0"/>
              <w:widowControl/>
              <w:suppressLineNumbers w:val="0"/>
              <w:jc w:val="center"/>
              <w:textAlignment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100.0</w:t>
            </w:r>
          </w:p>
        </w:tc>
      </w:tr>
    </w:tbl>
    <w:p w14:paraId="6D6283FE">
      <w:pPr>
        <w:keepNext w:val="0"/>
        <w:keepLines w:val="0"/>
        <w:pageBreakBefore w:val="0"/>
        <w:widowControl/>
        <w:kinsoku w:val="0"/>
        <w:wordWrap w:val="0"/>
        <w:overflowPunct/>
        <w:topLinePunct/>
        <w:autoSpaceDE/>
        <w:autoSpaceDN/>
        <w:bidi w:val="0"/>
        <w:adjustRightInd/>
        <w:snapToGrid/>
        <w:spacing w:before="0" w:beforeLines="50" w:line="360" w:lineRule="auto"/>
        <w:jc w:val="center"/>
        <w:textAlignment w:val="auto"/>
        <w:rPr>
          <w:rFonts w:hint="default" w:ascii="Times New Roman" w:hAnsi="Times New Roman" w:eastAsia="宋体" w:cs="Times New Roman"/>
          <w:b/>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caps w:val="0"/>
          <w:smallCaps w:val="0"/>
          <w:color w:val="auto"/>
          <w:spacing w:val="0"/>
          <w:w w:val="100"/>
          <w:position w:val="0"/>
          <w:sz w:val="24"/>
          <w:szCs w:val="24"/>
          <w:u w:val="none" w:color="auto"/>
        </w:rPr>
        <w:t>表</w:t>
      </w:r>
      <w:r>
        <w:rPr>
          <w:rFonts w:hint="default" w:ascii="Times New Roman" w:hAnsi="Times New Roman" w:eastAsia="宋体" w:cs="Times New Roman"/>
          <w:b/>
          <w:caps w:val="0"/>
          <w:smallCaps w:val="0"/>
          <w:color w:val="auto"/>
          <w:spacing w:val="0"/>
          <w:w w:val="100"/>
          <w:position w:val="0"/>
          <w:sz w:val="24"/>
          <w:szCs w:val="24"/>
          <w:u w:val="none" w:color="auto"/>
          <w:lang w:val="en-US" w:eastAsia="zh-CN"/>
        </w:rPr>
        <w:t>3.2</w:t>
      </w:r>
      <w:r>
        <w:rPr>
          <w:rFonts w:hint="default" w:ascii="Times New Roman" w:hAnsi="Times New Roman" w:eastAsia="宋体" w:cs="Times New Roman"/>
          <w:b/>
          <w:caps w:val="0"/>
          <w:smallCaps w:val="0"/>
          <w:color w:val="auto"/>
          <w:spacing w:val="0"/>
          <w:w w:val="100"/>
          <w:position w:val="0"/>
          <w:sz w:val="24"/>
          <w:szCs w:val="24"/>
          <w:u w:val="none" w:color="auto"/>
        </w:rPr>
        <w:t>-</w:t>
      </w:r>
      <w:r>
        <w:rPr>
          <w:rFonts w:hint="default" w:ascii="Times New Roman" w:hAnsi="Times New Roman" w:eastAsia="宋体" w:cs="Times New Roman"/>
          <w:b/>
          <w:caps w:val="0"/>
          <w:smallCaps w:val="0"/>
          <w:color w:val="auto"/>
          <w:spacing w:val="0"/>
          <w:w w:val="100"/>
          <w:position w:val="0"/>
          <w:sz w:val="24"/>
          <w:szCs w:val="24"/>
          <w:u w:val="none" w:color="auto"/>
          <w:lang w:val="en-US" w:eastAsia="zh-CN"/>
        </w:rPr>
        <w:t>3</w:t>
      </w:r>
      <w:r>
        <w:rPr>
          <w:rFonts w:hint="default" w:ascii="Times New Roman" w:hAnsi="Times New Roman" w:eastAsia="宋体" w:cs="Times New Roman"/>
          <w:b/>
          <w:caps w:val="0"/>
          <w:smallCaps w:val="0"/>
          <w:color w:val="auto"/>
          <w:spacing w:val="0"/>
          <w:w w:val="100"/>
          <w:position w:val="0"/>
          <w:sz w:val="24"/>
          <w:szCs w:val="24"/>
          <w:u w:val="none" w:color="auto"/>
        </w:rPr>
        <w:t xml:space="preserve">  </w:t>
      </w:r>
      <w:r>
        <w:rPr>
          <w:rFonts w:hint="default" w:ascii="Times New Roman" w:hAnsi="Times New Roman" w:eastAsia="宋体" w:cs="Times New Roman"/>
          <w:b/>
          <w:caps w:val="0"/>
          <w:smallCaps w:val="0"/>
          <w:color w:val="auto"/>
          <w:spacing w:val="0"/>
          <w:w w:val="100"/>
          <w:position w:val="0"/>
          <w:sz w:val="24"/>
          <w:szCs w:val="24"/>
          <w:u w:val="none" w:color="auto"/>
          <w:lang w:val="en-US" w:eastAsia="zh-CN"/>
        </w:rPr>
        <w:t>特征污染物环境质量</w:t>
      </w:r>
      <w:r>
        <w:rPr>
          <w:rFonts w:hint="default" w:ascii="Times New Roman" w:hAnsi="Times New Roman" w:eastAsia="宋体" w:cs="Times New Roman"/>
          <w:b/>
          <w:caps w:val="0"/>
          <w:smallCaps w:val="0"/>
          <w:color w:val="auto"/>
          <w:spacing w:val="0"/>
          <w:w w:val="100"/>
          <w:position w:val="0"/>
          <w:sz w:val="24"/>
          <w:szCs w:val="24"/>
          <w:u w:val="none" w:color="auto"/>
        </w:rPr>
        <w:t>现状监测及评价结果</w:t>
      </w:r>
      <w:r>
        <w:rPr>
          <w:rFonts w:hint="default" w:ascii="Times New Roman" w:hAnsi="Times New Roman" w:eastAsia="宋体" w:cs="Times New Roman"/>
          <w:b/>
          <w:caps w:val="0"/>
          <w:smallCaps w:val="0"/>
          <w:color w:val="auto"/>
          <w:spacing w:val="0"/>
          <w:w w:val="100"/>
          <w:position w:val="0"/>
          <w:sz w:val="24"/>
          <w:szCs w:val="24"/>
          <w:u w:val="none" w:color="auto"/>
          <w:lang w:val="en-US" w:eastAsia="zh-CN"/>
        </w:rPr>
        <w:t>表</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70"/>
        <w:gridCol w:w="1843"/>
        <w:gridCol w:w="2225"/>
        <w:gridCol w:w="2789"/>
      </w:tblGrid>
      <w:tr w14:paraId="053B33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669" w:type="dxa"/>
            <w:vMerge w:val="restart"/>
            <w:tcBorders>
              <w:tl2br w:val="nil"/>
              <w:tr2bl w:val="nil"/>
            </w:tcBorders>
            <w:vAlign w:val="center"/>
          </w:tcPr>
          <w:p w14:paraId="0FD98E1A">
            <w:pPr>
              <w:keepNext w:val="0"/>
              <w:keepLines w:val="0"/>
              <w:pageBreakBefore w:val="0"/>
              <w:widowControl w:val="0"/>
              <w:kinsoku/>
              <w:wordWrap/>
              <w:overflowPunct/>
              <w:topLinePunct w:val="0"/>
              <w:autoSpaceDE/>
              <w:autoSpaceDN/>
              <w:bidi w:val="0"/>
              <w:adjustRightInd w:val="0"/>
              <w:snapToGrid w:val="0"/>
              <w:spacing w:before="34" w:beforeLines="10" w:after="34" w:afterLines="10" w:line="240" w:lineRule="auto"/>
              <w:ind w:left="-105" w:leftChars="-50" w:right="-105" w:rightChars="-50" w:firstLine="0" w:firstLineChars="0"/>
              <w:jc w:val="center"/>
              <w:textAlignment w:val="auto"/>
              <w:outlineLvl w:val="9"/>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检测项目</w:t>
            </w:r>
          </w:p>
        </w:tc>
        <w:tc>
          <w:tcPr>
            <w:tcW w:w="1841" w:type="dxa"/>
            <w:vMerge w:val="restart"/>
            <w:tcBorders>
              <w:tl2br w:val="nil"/>
              <w:tr2bl w:val="nil"/>
            </w:tcBorders>
            <w:vAlign w:val="center"/>
          </w:tcPr>
          <w:p w14:paraId="5B02652D">
            <w:pPr>
              <w:keepNext w:val="0"/>
              <w:keepLines w:val="0"/>
              <w:pageBreakBefore w:val="0"/>
              <w:widowControl w:val="0"/>
              <w:kinsoku/>
              <w:wordWrap/>
              <w:overflowPunct/>
              <w:topLinePunct w:val="0"/>
              <w:autoSpaceDE/>
              <w:autoSpaceDN/>
              <w:bidi w:val="0"/>
              <w:adjustRightInd w:val="0"/>
              <w:snapToGrid w:val="0"/>
              <w:spacing w:before="34" w:beforeLines="10" w:after="34" w:afterLines="10" w:line="240" w:lineRule="auto"/>
              <w:ind w:left="-105" w:leftChars="-50" w:right="-105" w:rightChars="-50" w:firstLine="0" w:firstLineChars="0"/>
              <w:jc w:val="center"/>
              <w:textAlignment w:val="auto"/>
              <w:outlineLvl w:val="9"/>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采样</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时间</w:t>
            </w:r>
          </w:p>
        </w:tc>
        <w:tc>
          <w:tcPr>
            <w:tcW w:w="5010" w:type="dxa"/>
            <w:gridSpan w:val="2"/>
            <w:tcBorders>
              <w:tl2br w:val="nil"/>
              <w:tr2bl w:val="nil"/>
            </w:tcBorders>
            <w:vAlign w:val="center"/>
          </w:tcPr>
          <w:p w14:paraId="7F4F7450">
            <w:pPr>
              <w:keepNext w:val="0"/>
              <w:keepLines w:val="0"/>
              <w:pageBreakBefore w:val="0"/>
              <w:widowControl w:val="0"/>
              <w:kinsoku/>
              <w:wordWrap/>
              <w:overflowPunct/>
              <w:topLinePunct w:val="0"/>
              <w:autoSpaceDE/>
              <w:autoSpaceDN/>
              <w:bidi w:val="0"/>
              <w:adjustRightInd w:val="0"/>
              <w:snapToGrid w:val="0"/>
              <w:spacing w:before="34" w:beforeLines="10" w:after="34" w:afterLines="10" w:line="240" w:lineRule="auto"/>
              <w:ind w:left="-105" w:leftChars="-50" w:right="-105" w:rightChars="-50" w:firstLine="0" w:firstLineChars="0"/>
              <w:jc w:val="center"/>
              <w:textAlignment w:val="auto"/>
              <w:outlineLvl w:val="9"/>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采样点位和</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检测结果（mg/m</w:t>
            </w:r>
            <w:r>
              <w:rPr>
                <w:rFonts w:hint="default" w:ascii="Times New Roman" w:hAnsi="Times New Roman" w:eastAsia="宋体" w:cs="Times New Roman"/>
                <w:b/>
                <w:bCs/>
                <w:color w:val="000000" w:themeColor="text1"/>
                <w:sz w:val="21"/>
                <w:szCs w:val="21"/>
                <w:vertAlign w:val="superscript"/>
                <w:lang w:eastAsia="zh-CN"/>
                <w14:textFill>
                  <w14:solidFill>
                    <w14:schemeClr w14:val="tx1"/>
                  </w14:solidFill>
                </w14:textFill>
              </w:rPr>
              <w:t>3</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w:t>
            </w:r>
          </w:p>
        </w:tc>
      </w:tr>
      <w:tr w14:paraId="306EB3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669" w:type="dxa"/>
            <w:vMerge w:val="continue"/>
            <w:tcBorders>
              <w:tl2br w:val="nil"/>
              <w:tr2bl w:val="nil"/>
            </w:tcBorders>
            <w:vAlign w:val="center"/>
          </w:tcPr>
          <w:p w14:paraId="7F870A0F">
            <w:pPr>
              <w:keepNext w:val="0"/>
              <w:keepLines w:val="0"/>
              <w:pageBreakBefore w:val="0"/>
              <w:widowControl w:val="0"/>
              <w:kinsoku/>
              <w:wordWrap/>
              <w:overflowPunct/>
              <w:topLinePunct w:val="0"/>
              <w:autoSpaceDE/>
              <w:autoSpaceDN/>
              <w:bidi w:val="0"/>
              <w:adjustRightInd w:val="0"/>
              <w:snapToGrid w:val="0"/>
              <w:spacing w:before="34" w:beforeLines="10" w:after="34" w:afterLines="10" w:line="240" w:lineRule="auto"/>
              <w:ind w:left="-105" w:leftChars="-50" w:right="-105" w:rightChars="-50" w:firstLine="0" w:firstLineChars="0"/>
              <w:jc w:val="center"/>
              <w:textAlignment w:val="auto"/>
              <w:outlineLvl w:val="9"/>
              <w:rPr>
                <w:rFonts w:hint="default" w:ascii="Times New Roman" w:hAnsi="Times New Roman" w:cs="Times New Roman"/>
              </w:rPr>
            </w:pPr>
          </w:p>
        </w:tc>
        <w:tc>
          <w:tcPr>
            <w:tcW w:w="1841" w:type="dxa"/>
            <w:vMerge w:val="continue"/>
            <w:tcBorders>
              <w:tl2br w:val="nil"/>
              <w:tr2bl w:val="nil"/>
            </w:tcBorders>
            <w:vAlign w:val="center"/>
          </w:tcPr>
          <w:p w14:paraId="3C419DB3">
            <w:pPr>
              <w:keepNext w:val="0"/>
              <w:keepLines w:val="0"/>
              <w:pageBreakBefore w:val="0"/>
              <w:widowControl w:val="0"/>
              <w:kinsoku/>
              <w:wordWrap/>
              <w:overflowPunct/>
              <w:topLinePunct w:val="0"/>
              <w:autoSpaceDE/>
              <w:autoSpaceDN/>
              <w:bidi w:val="0"/>
              <w:adjustRightInd w:val="0"/>
              <w:snapToGrid w:val="0"/>
              <w:spacing w:before="34" w:beforeLines="10" w:after="34" w:afterLines="10" w:line="240" w:lineRule="auto"/>
              <w:ind w:left="-105" w:leftChars="-50" w:right="-105" w:rightChars="-50" w:firstLine="0" w:firstLineChars="0"/>
              <w:jc w:val="center"/>
              <w:textAlignment w:val="auto"/>
              <w:outlineLvl w:val="9"/>
              <w:rPr>
                <w:rFonts w:hint="default" w:ascii="Times New Roman" w:hAnsi="Times New Roman" w:cs="Times New Roman"/>
              </w:rPr>
            </w:pPr>
          </w:p>
        </w:tc>
        <w:tc>
          <w:tcPr>
            <w:tcW w:w="2223" w:type="dxa"/>
            <w:tcBorders>
              <w:tl2br w:val="nil"/>
              <w:tr2bl w:val="nil"/>
            </w:tcBorders>
            <w:vAlign w:val="center"/>
          </w:tcPr>
          <w:p w14:paraId="73120B11">
            <w:pPr>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G1项目地大坝处</w:t>
            </w:r>
          </w:p>
        </w:tc>
        <w:tc>
          <w:tcPr>
            <w:tcW w:w="2787" w:type="dxa"/>
            <w:tcBorders>
              <w:tl2br w:val="nil"/>
              <w:tr2bl w:val="nil"/>
            </w:tcBorders>
            <w:vAlign w:val="center"/>
          </w:tcPr>
          <w:p w14:paraId="0A922C4F">
            <w:pPr>
              <w:snapToGrid w:val="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G2项目地大坝南侧约20m</w:t>
            </w:r>
          </w:p>
        </w:tc>
      </w:tr>
      <w:tr w14:paraId="6748A8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9" w:type="dxa"/>
            <w:vMerge w:val="restart"/>
            <w:tcBorders>
              <w:tl2br w:val="nil"/>
              <w:tr2bl w:val="nil"/>
            </w:tcBorders>
            <w:shd w:val="clear" w:color="auto" w:fill="auto"/>
            <w:vAlign w:val="center"/>
          </w:tcPr>
          <w:p w14:paraId="334CB60A">
            <w:pPr>
              <w:pStyle w:val="78"/>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TSP</w:t>
            </w:r>
          </w:p>
        </w:tc>
        <w:tc>
          <w:tcPr>
            <w:tcW w:w="1841" w:type="dxa"/>
            <w:tcBorders>
              <w:tl2br w:val="nil"/>
              <w:tr2bl w:val="nil"/>
            </w:tcBorders>
            <w:shd w:val="clear" w:color="auto" w:fill="auto"/>
            <w:vAlign w:val="center"/>
          </w:tcPr>
          <w:p w14:paraId="7C46114A">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2024.05.08</w:t>
            </w:r>
          </w:p>
        </w:tc>
        <w:tc>
          <w:tcPr>
            <w:tcW w:w="2223" w:type="dxa"/>
            <w:tcBorders>
              <w:tl2br w:val="nil"/>
              <w:tr2bl w:val="nil"/>
            </w:tcBorders>
            <w:shd w:val="clear" w:color="auto" w:fill="auto"/>
            <w:vAlign w:val="center"/>
          </w:tcPr>
          <w:p w14:paraId="38DEE44C">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0.107</w:t>
            </w:r>
          </w:p>
        </w:tc>
        <w:tc>
          <w:tcPr>
            <w:tcW w:w="2787" w:type="dxa"/>
            <w:tcBorders>
              <w:tl2br w:val="nil"/>
              <w:tr2bl w:val="nil"/>
            </w:tcBorders>
            <w:shd w:val="clear" w:color="auto" w:fill="auto"/>
            <w:vAlign w:val="center"/>
          </w:tcPr>
          <w:p w14:paraId="78277156">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0.104</w:t>
            </w:r>
          </w:p>
        </w:tc>
      </w:tr>
      <w:tr w14:paraId="517A87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9" w:type="dxa"/>
            <w:vMerge w:val="continue"/>
            <w:tcBorders>
              <w:tl2br w:val="nil"/>
              <w:tr2bl w:val="nil"/>
            </w:tcBorders>
            <w:shd w:val="clear" w:color="auto" w:fill="auto"/>
            <w:vAlign w:val="center"/>
          </w:tcPr>
          <w:p w14:paraId="2286DEB7">
            <w:pPr>
              <w:pStyle w:val="78"/>
              <w:jc w:val="center"/>
              <w:rPr>
                <w:rFonts w:hint="default" w:ascii="Times New Roman" w:hAnsi="Times New Roman" w:eastAsia="宋体" w:cs="Times New Roman"/>
                <w:color w:val="auto"/>
                <w:kern w:val="2"/>
                <w:sz w:val="21"/>
                <w:szCs w:val="21"/>
                <w:lang w:val="en-US" w:eastAsia="zh-CN" w:bidi="ar-SA"/>
              </w:rPr>
            </w:pPr>
          </w:p>
        </w:tc>
        <w:tc>
          <w:tcPr>
            <w:tcW w:w="1841" w:type="dxa"/>
            <w:tcBorders>
              <w:tl2br w:val="nil"/>
              <w:tr2bl w:val="nil"/>
            </w:tcBorders>
            <w:shd w:val="clear" w:color="auto" w:fill="auto"/>
            <w:vAlign w:val="center"/>
          </w:tcPr>
          <w:p w14:paraId="34C1FF0A">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2024.05.09</w:t>
            </w:r>
          </w:p>
        </w:tc>
        <w:tc>
          <w:tcPr>
            <w:tcW w:w="2223" w:type="dxa"/>
            <w:tcBorders>
              <w:tl2br w:val="nil"/>
              <w:tr2bl w:val="nil"/>
            </w:tcBorders>
            <w:shd w:val="clear" w:color="auto" w:fill="auto"/>
            <w:vAlign w:val="center"/>
          </w:tcPr>
          <w:p w14:paraId="27137ECE">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0.110</w:t>
            </w:r>
          </w:p>
        </w:tc>
        <w:tc>
          <w:tcPr>
            <w:tcW w:w="2787" w:type="dxa"/>
            <w:tcBorders>
              <w:tl2br w:val="nil"/>
              <w:tr2bl w:val="nil"/>
            </w:tcBorders>
            <w:shd w:val="clear" w:color="auto" w:fill="auto"/>
            <w:vAlign w:val="center"/>
          </w:tcPr>
          <w:p w14:paraId="7E64E7B7">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0.107</w:t>
            </w:r>
          </w:p>
        </w:tc>
      </w:tr>
      <w:tr w14:paraId="65C848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9" w:type="dxa"/>
            <w:vMerge w:val="continue"/>
            <w:tcBorders>
              <w:tl2br w:val="nil"/>
              <w:tr2bl w:val="nil"/>
            </w:tcBorders>
            <w:shd w:val="clear" w:color="auto" w:fill="auto"/>
            <w:vAlign w:val="center"/>
          </w:tcPr>
          <w:p w14:paraId="72719C06">
            <w:pPr>
              <w:pStyle w:val="78"/>
              <w:jc w:val="center"/>
              <w:rPr>
                <w:rFonts w:hint="default" w:ascii="Times New Roman" w:hAnsi="Times New Roman" w:eastAsia="宋体" w:cs="Times New Roman"/>
                <w:color w:val="auto"/>
                <w:kern w:val="2"/>
                <w:sz w:val="21"/>
                <w:szCs w:val="21"/>
                <w:lang w:val="en-US" w:eastAsia="zh-CN" w:bidi="ar-SA"/>
              </w:rPr>
            </w:pPr>
          </w:p>
        </w:tc>
        <w:tc>
          <w:tcPr>
            <w:tcW w:w="1841" w:type="dxa"/>
            <w:tcBorders>
              <w:tl2br w:val="nil"/>
              <w:tr2bl w:val="nil"/>
            </w:tcBorders>
            <w:shd w:val="clear" w:color="auto" w:fill="auto"/>
            <w:vAlign w:val="center"/>
          </w:tcPr>
          <w:p w14:paraId="704B7EF1">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2024.05.10</w:t>
            </w:r>
          </w:p>
        </w:tc>
        <w:tc>
          <w:tcPr>
            <w:tcW w:w="2223" w:type="dxa"/>
            <w:tcBorders>
              <w:tl2br w:val="nil"/>
              <w:tr2bl w:val="nil"/>
            </w:tcBorders>
            <w:shd w:val="clear" w:color="auto" w:fill="auto"/>
            <w:vAlign w:val="center"/>
          </w:tcPr>
          <w:p w14:paraId="325C70B6">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0.104</w:t>
            </w:r>
          </w:p>
        </w:tc>
        <w:tc>
          <w:tcPr>
            <w:tcW w:w="2787" w:type="dxa"/>
            <w:tcBorders>
              <w:tl2br w:val="nil"/>
              <w:tr2bl w:val="nil"/>
            </w:tcBorders>
            <w:shd w:val="clear" w:color="auto" w:fill="auto"/>
            <w:vAlign w:val="center"/>
          </w:tcPr>
          <w:p w14:paraId="2673AA6C">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0.108</w:t>
            </w:r>
          </w:p>
        </w:tc>
      </w:tr>
      <w:tr w14:paraId="02E677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9" w:type="dxa"/>
            <w:vMerge w:val="continue"/>
            <w:tcBorders>
              <w:tl2br w:val="nil"/>
              <w:tr2bl w:val="nil"/>
            </w:tcBorders>
            <w:shd w:val="clear" w:color="auto" w:fill="auto"/>
            <w:vAlign w:val="center"/>
          </w:tcPr>
          <w:p w14:paraId="5E59343B">
            <w:pPr>
              <w:pStyle w:val="78"/>
              <w:jc w:val="center"/>
              <w:rPr>
                <w:rFonts w:hint="default" w:ascii="Times New Roman" w:hAnsi="Times New Roman" w:eastAsia="宋体" w:cs="Times New Roman"/>
                <w:color w:val="auto"/>
                <w:kern w:val="2"/>
                <w:sz w:val="21"/>
                <w:szCs w:val="21"/>
                <w:lang w:val="en-US" w:eastAsia="zh-CN" w:bidi="ar-SA"/>
              </w:rPr>
            </w:pPr>
          </w:p>
        </w:tc>
        <w:tc>
          <w:tcPr>
            <w:tcW w:w="1841" w:type="dxa"/>
            <w:tcBorders>
              <w:tl2br w:val="nil"/>
              <w:tr2bl w:val="nil"/>
            </w:tcBorders>
            <w:shd w:val="clear" w:color="auto" w:fill="auto"/>
            <w:vAlign w:val="center"/>
          </w:tcPr>
          <w:p w14:paraId="38A7BD82">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2024.05.11</w:t>
            </w:r>
          </w:p>
        </w:tc>
        <w:tc>
          <w:tcPr>
            <w:tcW w:w="2223" w:type="dxa"/>
            <w:tcBorders>
              <w:tl2br w:val="nil"/>
              <w:tr2bl w:val="nil"/>
            </w:tcBorders>
            <w:shd w:val="clear" w:color="auto" w:fill="auto"/>
            <w:vAlign w:val="center"/>
          </w:tcPr>
          <w:p w14:paraId="62F76E15">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0.106</w:t>
            </w:r>
          </w:p>
        </w:tc>
        <w:tc>
          <w:tcPr>
            <w:tcW w:w="2787" w:type="dxa"/>
            <w:tcBorders>
              <w:tl2br w:val="nil"/>
              <w:tr2bl w:val="nil"/>
            </w:tcBorders>
            <w:shd w:val="clear" w:color="auto" w:fill="auto"/>
            <w:vAlign w:val="center"/>
          </w:tcPr>
          <w:p w14:paraId="7FFF1F62">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0.109</w:t>
            </w:r>
          </w:p>
        </w:tc>
      </w:tr>
      <w:tr w14:paraId="2D7808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9" w:type="dxa"/>
            <w:vMerge w:val="continue"/>
            <w:tcBorders>
              <w:tl2br w:val="nil"/>
              <w:tr2bl w:val="nil"/>
            </w:tcBorders>
            <w:shd w:val="clear" w:color="auto" w:fill="auto"/>
            <w:vAlign w:val="center"/>
          </w:tcPr>
          <w:p w14:paraId="38698876">
            <w:pPr>
              <w:pStyle w:val="78"/>
              <w:jc w:val="center"/>
              <w:rPr>
                <w:rFonts w:hint="default" w:ascii="Times New Roman" w:hAnsi="Times New Roman" w:eastAsia="宋体" w:cs="Times New Roman"/>
                <w:color w:val="auto"/>
                <w:kern w:val="2"/>
                <w:sz w:val="21"/>
                <w:szCs w:val="21"/>
                <w:lang w:val="en-US" w:eastAsia="zh-CN" w:bidi="ar-SA"/>
              </w:rPr>
            </w:pPr>
          </w:p>
        </w:tc>
        <w:tc>
          <w:tcPr>
            <w:tcW w:w="1841" w:type="dxa"/>
            <w:tcBorders>
              <w:tl2br w:val="nil"/>
              <w:tr2bl w:val="nil"/>
            </w:tcBorders>
            <w:shd w:val="clear" w:color="auto" w:fill="auto"/>
            <w:vAlign w:val="center"/>
          </w:tcPr>
          <w:p w14:paraId="1388395B">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2024.05.12</w:t>
            </w:r>
          </w:p>
        </w:tc>
        <w:tc>
          <w:tcPr>
            <w:tcW w:w="2223" w:type="dxa"/>
            <w:tcBorders>
              <w:tl2br w:val="nil"/>
              <w:tr2bl w:val="nil"/>
            </w:tcBorders>
            <w:shd w:val="clear" w:color="auto" w:fill="auto"/>
            <w:vAlign w:val="center"/>
          </w:tcPr>
          <w:p w14:paraId="4E22DCBA">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0.106</w:t>
            </w:r>
          </w:p>
        </w:tc>
        <w:tc>
          <w:tcPr>
            <w:tcW w:w="2787" w:type="dxa"/>
            <w:tcBorders>
              <w:tl2br w:val="nil"/>
              <w:tr2bl w:val="nil"/>
            </w:tcBorders>
            <w:shd w:val="clear" w:color="auto" w:fill="auto"/>
            <w:vAlign w:val="center"/>
          </w:tcPr>
          <w:p w14:paraId="28282F0E">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0.103</w:t>
            </w:r>
          </w:p>
        </w:tc>
      </w:tr>
      <w:tr w14:paraId="4496B8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9" w:type="dxa"/>
            <w:vMerge w:val="continue"/>
            <w:tcBorders>
              <w:tl2br w:val="nil"/>
              <w:tr2bl w:val="nil"/>
            </w:tcBorders>
            <w:shd w:val="clear" w:color="auto" w:fill="auto"/>
            <w:vAlign w:val="center"/>
          </w:tcPr>
          <w:p w14:paraId="18E70A66">
            <w:pPr>
              <w:pStyle w:val="78"/>
              <w:jc w:val="center"/>
              <w:rPr>
                <w:rFonts w:hint="default" w:ascii="Times New Roman" w:hAnsi="Times New Roman" w:eastAsia="宋体" w:cs="Times New Roman"/>
                <w:color w:val="auto"/>
                <w:kern w:val="2"/>
                <w:sz w:val="21"/>
                <w:szCs w:val="21"/>
                <w:lang w:val="en-US" w:eastAsia="zh-CN" w:bidi="ar-SA"/>
              </w:rPr>
            </w:pPr>
          </w:p>
        </w:tc>
        <w:tc>
          <w:tcPr>
            <w:tcW w:w="1841" w:type="dxa"/>
            <w:tcBorders>
              <w:tl2br w:val="nil"/>
              <w:tr2bl w:val="nil"/>
            </w:tcBorders>
            <w:shd w:val="clear" w:color="auto" w:fill="auto"/>
            <w:vAlign w:val="center"/>
          </w:tcPr>
          <w:p w14:paraId="520E68AF">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2024.05.13</w:t>
            </w:r>
          </w:p>
        </w:tc>
        <w:tc>
          <w:tcPr>
            <w:tcW w:w="2223" w:type="dxa"/>
            <w:tcBorders>
              <w:tl2br w:val="nil"/>
              <w:tr2bl w:val="nil"/>
            </w:tcBorders>
            <w:shd w:val="clear" w:color="auto" w:fill="auto"/>
            <w:vAlign w:val="center"/>
          </w:tcPr>
          <w:p w14:paraId="42018F4B">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0.105</w:t>
            </w:r>
          </w:p>
        </w:tc>
        <w:tc>
          <w:tcPr>
            <w:tcW w:w="2787" w:type="dxa"/>
            <w:tcBorders>
              <w:tl2br w:val="nil"/>
              <w:tr2bl w:val="nil"/>
            </w:tcBorders>
            <w:shd w:val="clear" w:color="auto" w:fill="auto"/>
            <w:vAlign w:val="center"/>
          </w:tcPr>
          <w:p w14:paraId="6124CBE1">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0.104</w:t>
            </w:r>
          </w:p>
        </w:tc>
      </w:tr>
      <w:tr w14:paraId="0D1F88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9" w:type="dxa"/>
            <w:vMerge w:val="continue"/>
            <w:tcBorders>
              <w:tl2br w:val="nil"/>
              <w:tr2bl w:val="nil"/>
            </w:tcBorders>
            <w:shd w:val="clear" w:color="auto" w:fill="auto"/>
            <w:vAlign w:val="center"/>
          </w:tcPr>
          <w:p w14:paraId="75920B0B">
            <w:pPr>
              <w:pStyle w:val="78"/>
              <w:jc w:val="center"/>
              <w:rPr>
                <w:rFonts w:hint="default" w:ascii="Times New Roman" w:hAnsi="Times New Roman" w:eastAsia="宋体" w:cs="Times New Roman"/>
                <w:color w:val="auto"/>
                <w:kern w:val="2"/>
                <w:sz w:val="21"/>
                <w:szCs w:val="21"/>
                <w:lang w:val="en-US" w:eastAsia="zh-CN" w:bidi="ar-SA"/>
              </w:rPr>
            </w:pPr>
          </w:p>
        </w:tc>
        <w:tc>
          <w:tcPr>
            <w:tcW w:w="1841" w:type="dxa"/>
            <w:tcBorders>
              <w:tl2br w:val="nil"/>
              <w:tr2bl w:val="nil"/>
            </w:tcBorders>
            <w:shd w:val="clear" w:color="auto" w:fill="auto"/>
            <w:vAlign w:val="center"/>
          </w:tcPr>
          <w:p w14:paraId="68D0FA47">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2024.05.14</w:t>
            </w:r>
          </w:p>
        </w:tc>
        <w:tc>
          <w:tcPr>
            <w:tcW w:w="2223" w:type="dxa"/>
            <w:tcBorders>
              <w:tl2br w:val="nil"/>
              <w:tr2bl w:val="nil"/>
            </w:tcBorders>
            <w:shd w:val="clear" w:color="auto" w:fill="auto"/>
            <w:vAlign w:val="center"/>
          </w:tcPr>
          <w:p w14:paraId="3AB0CF23">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0.108</w:t>
            </w:r>
          </w:p>
        </w:tc>
        <w:tc>
          <w:tcPr>
            <w:tcW w:w="2787" w:type="dxa"/>
            <w:tcBorders>
              <w:tl2br w:val="nil"/>
              <w:tr2bl w:val="nil"/>
            </w:tcBorders>
            <w:shd w:val="clear" w:color="auto" w:fill="auto"/>
            <w:vAlign w:val="center"/>
          </w:tcPr>
          <w:p w14:paraId="16F7D32F">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0.104</w:t>
            </w:r>
          </w:p>
        </w:tc>
      </w:tr>
      <w:tr w14:paraId="04C167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0" w:type="dxa"/>
            <w:gridSpan w:val="2"/>
            <w:tcBorders>
              <w:tl2br w:val="nil"/>
              <w:tr2bl w:val="nil"/>
            </w:tcBorders>
            <w:shd w:val="clear" w:color="auto" w:fill="auto"/>
            <w:vAlign w:val="center"/>
          </w:tcPr>
          <w:p w14:paraId="57DEECBA">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标准值（24小时均值）</w:t>
            </w:r>
          </w:p>
        </w:tc>
        <w:tc>
          <w:tcPr>
            <w:tcW w:w="2223" w:type="dxa"/>
            <w:tcBorders>
              <w:tl2br w:val="nil"/>
              <w:tr2bl w:val="nil"/>
            </w:tcBorders>
            <w:shd w:val="clear" w:color="auto" w:fill="auto"/>
            <w:vAlign w:val="center"/>
          </w:tcPr>
          <w:p w14:paraId="3F28B117">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0.3</w:t>
            </w:r>
          </w:p>
        </w:tc>
        <w:tc>
          <w:tcPr>
            <w:tcW w:w="2787" w:type="dxa"/>
            <w:tcBorders>
              <w:tl2br w:val="nil"/>
              <w:tr2bl w:val="nil"/>
            </w:tcBorders>
            <w:shd w:val="clear" w:color="auto" w:fill="auto"/>
            <w:vAlign w:val="center"/>
          </w:tcPr>
          <w:p w14:paraId="65560011">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0.3</w:t>
            </w:r>
          </w:p>
        </w:tc>
      </w:tr>
      <w:tr w14:paraId="786F60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0" w:type="dxa"/>
            <w:gridSpan w:val="2"/>
            <w:tcBorders>
              <w:tl2br w:val="nil"/>
              <w:tr2bl w:val="nil"/>
            </w:tcBorders>
            <w:shd w:val="clear" w:color="auto" w:fill="auto"/>
            <w:vAlign w:val="center"/>
          </w:tcPr>
          <w:p w14:paraId="2319B30E">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最大浓度占标率（%）</w:t>
            </w:r>
          </w:p>
        </w:tc>
        <w:tc>
          <w:tcPr>
            <w:tcW w:w="2223" w:type="dxa"/>
            <w:tcBorders>
              <w:tl2br w:val="nil"/>
              <w:tr2bl w:val="nil"/>
            </w:tcBorders>
            <w:shd w:val="clear" w:color="auto" w:fill="auto"/>
            <w:vAlign w:val="center"/>
          </w:tcPr>
          <w:p w14:paraId="52193E6F">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36.67</w:t>
            </w:r>
          </w:p>
        </w:tc>
        <w:tc>
          <w:tcPr>
            <w:tcW w:w="2787" w:type="dxa"/>
            <w:tcBorders>
              <w:tl2br w:val="nil"/>
              <w:tr2bl w:val="nil"/>
            </w:tcBorders>
            <w:shd w:val="clear" w:color="auto" w:fill="auto"/>
            <w:vAlign w:val="center"/>
          </w:tcPr>
          <w:p w14:paraId="5936AF00">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36.33</w:t>
            </w:r>
          </w:p>
        </w:tc>
      </w:tr>
      <w:tr w14:paraId="60A1EC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0" w:type="dxa"/>
            <w:gridSpan w:val="2"/>
            <w:tcBorders>
              <w:tl2br w:val="nil"/>
              <w:tr2bl w:val="nil"/>
            </w:tcBorders>
            <w:shd w:val="clear" w:color="auto" w:fill="auto"/>
            <w:vAlign w:val="center"/>
          </w:tcPr>
          <w:p w14:paraId="1E7722B7">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超标率（%）</w:t>
            </w:r>
          </w:p>
        </w:tc>
        <w:tc>
          <w:tcPr>
            <w:tcW w:w="2223" w:type="dxa"/>
            <w:tcBorders>
              <w:tl2br w:val="nil"/>
              <w:tr2bl w:val="nil"/>
            </w:tcBorders>
            <w:shd w:val="clear" w:color="auto" w:fill="auto"/>
            <w:vAlign w:val="center"/>
          </w:tcPr>
          <w:p w14:paraId="101154F7">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w:t>
            </w:r>
          </w:p>
        </w:tc>
        <w:tc>
          <w:tcPr>
            <w:tcW w:w="2787" w:type="dxa"/>
            <w:tcBorders>
              <w:tl2br w:val="nil"/>
              <w:tr2bl w:val="nil"/>
            </w:tcBorders>
            <w:shd w:val="clear" w:color="auto" w:fill="auto"/>
            <w:vAlign w:val="center"/>
          </w:tcPr>
          <w:p w14:paraId="4D6BD059">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0</w:t>
            </w:r>
          </w:p>
        </w:tc>
      </w:tr>
      <w:tr w14:paraId="19B149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10" w:type="dxa"/>
            <w:gridSpan w:val="2"/>
            <w:tcBorders>
              <w:tl2br w:val="nil"/>
              <w:tr2bl w:val="nil"/>
            </w:tcBorders>
            <w:shd w:val="clear" w:color="auto" w:fill="auto"/>
            <w:vAlign w:val="center"/>
          </w:tcPr>
          <w:p w14:paraId="23A191C8">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达标情况</w:t>
            </w:r>
          </w:p>
        </w:tc>
        <w:tc>
          <w:tcPr>
            <w:tcW w:w="2223" w:type="dxa"/>
            <w:tcBorders>
              <w:tl2br w:val="nil"/>
              <w:tr2bl w:val="nil"/>
            </w:tcBorders>
            <w:shd w:val="clear" w:color="auto" w:fill="auto"/>
            <w:vAlign w:val="center"/>
          </w:tcPr>
          <w:p w14:paraId="374DA496">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达标</w:t>
            </w:r>
          </w:p>
        </w:tc>
        <w:tc>
          <w:tcPr>
            <w:tcW w:w="2787" w:type="dxa"/>
            <w:tcBorders>
              <w:tl2br w:val="nil"/>
              <w:tr2bl w:val="nil"/>
            </w:tcBorders>
            <w:shd w:val="clear" w:color="auto" w:fill="auto"/>
            <w:vAlign w:val="center"/>
          </w:tcPr>
          <w:p w14:paraId="0DFB24AB">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达标</w:t>
            </w:r>
          </w:p>
        </w:tc>
      </w:tr>
    </w:tbl>
    <w:p w14:paraId="399C0AF6">
      <w:pPr>
        <w:pageBreakBefore w:val="0"/>
        <w:widowControl/>
        <w:kinsoku w:val="0"/>
        <w:wordWrap w:val="0"/>
        <w:overflowPunct/>
        <w:topLinePunct/>
        <w:autoSpaceDE/>
        <w:autoSpaceDN/>
        <w:bidi w:val="0"/>
        <w:spacing w:line="240" w:lineRule="auto"/>
        <w:jc w:val="center"/>
        <w:rPr>
          <w:rFonts w:hint="default" w:ascii="Times New Roman" w:hAnsi="Times New Roman" w:eastAsia="宋体" w:cs="Times New Roman"/>
          <w:b/>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b/>
          <w:caps w:val="0"/>
          <w:smallCaps w:val="0"/>
          <w:color w:val="auto"/>
          <w:spacing w:val="0"/>
          <w:w w:val="100"/>
          <w:position w:val="0"/>
          <w:sz w:val="24"/>
          <w:szCs w:val="24"/>
          <w:u w:val="none" w:color="auto"/>
          <w:lang w:val="en-US" w:eastAsia="zh-CN"/>
        </w:rPr>
        <w:t xml:space="preserve"> </w:t>
      </w:r>
    </w:p>
    <w:p w14:paraId="22701C64">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baseline"/>
        <w:rPr>
          <w:rFonts w:hint="default" w:ascii="Times New Roman" w:hAnsi="Times New Roman" w:eastAsia="宋体" w:cs="Times New Roman"/>
          <w:color w:val="auto"/>
          <w:spacing w:val="0"/>
          <w:w w:val="100"/>
          <w:kern w:val="0"/>
          <w:position w:val="0"/>
          <w:sz w:val="24"/>
          <w:u w:val="none" w:color="auto"/>
        </w:rPr>
      </w:pPr>
      <w:r>
        <w:rPr>
          <w:rFonts w:hint="default" w:ascii="Times New Roman" w:hAnsi="Times New Roman" w:eastAsia="宋体" w:cs="Times New Roman"/>
          <w:color w:val="auto"/>
          <w:spacing w:val="0"/>
          <w:w w:val="100"/>
          <w:position w:val="0"/>
          <w:sz w:val="24"/>
          <w:u w:val="none" w:color="auto"/>
          <w:lang w:val="en-US" w:eastAsia="zh-CN"/>
        </w:rPr>
        <w:t>由以上</w:t>
      </w:r>
      <w:r>
        <w:rPr>
          <w:rFonts w:hint="default" w:ascii="Times New Roman" w:hAnsi="Times New Roman" w:eastAsia="宋体" w:cs="Times New Roman"/>
          <w:color w:val="auto"/>
          <w:spacing w:val="0"/>
          <w:w w:val="100"/>
          <w:position w:val="0"/>
          <w:sz w:val="24"/>
          <w:u w:val="none" w:color="auto"/>
        </w:rPr>
        <w:t>监测结果</w:t>
      </w:r>
      <w:r>
        <w:rPr>
          <w:rFonts w:hint="default" w:ascii="Times New Roman" w:hAnsi="Times New Roman" w:eastAsia="宋体" w:cs="Times New Roman"/>
          <w:color w:val="auto"/>
          <w:spacing w:val="0"/>
          <w:w w:val="100"/>
          <w:position w:val="0"/>
          <w:sz w:val="24"/>
          <w:u w:val="none" w:color="auto"/>
          <w:lang w:val="en-US" w:eastAsia="zh-CN"/>
        </w:rPr>
        <w:t>可知，</w:t>
      </w:r>
      <w:r>
        <w:rPr>
          <w:rFonts w:hint="default" w:ascii="Times New Roman" w:hAnsi="Times New Roman" w:eastAsia="宋体" w:cs="Times New Roman"/>
          <w:color w:val="auto"/>
          <w:spacing w:val="0"/>
          <w:w w:val="100"/>
          <w:position w:val="0"/>
          <w:sz w:val="24"/>
          <w:u w:val="none" w:color="auto"/>
        </w:rPr>
        <w:t>项目所在区域</w:t>
      </w:r>
      <w:r>
        <w:rPr>
          <w:rFonts w:hint="default" w:ascii="Times New Roman" w:hAnsi="Times New Roman" w:eastAsia="宋体" w:cs="Times New Roman"/>
          <w:color w:val="auto"/>
          <w:spacing w:val="0"/>
          <w:w w:val="100"/>
          <w:kern w:val="0"/>
          <w:position w:val="0"/>
          <w:sz w:val="24"/>
          <w:u w:val="none" w:color="auto"/>
        </w:rPr>
        <w:t>TSP满足《环境空气质量标准》（GB3095-2012）中二级标准要求。</w:t>
      </w:r>
    </w:p>
    <w:p w14:paraId="1DEF3C08">
      <w:pPr>
        <w:pStyle w:val="4"/>
        <w:bidi w:val="0"/>
        <w:rPr>
          <w:rFonts w:hint="default" w:ascii="Times New Roman" w:hAnsi="Times New Roman" w:cs="Times New Roman"/>
        </w:rPr>
      </w:pPr>
      <w:bookmarkStart w:id="128" w:name="_Toc27024"/>
      <w:r>
        <w:rPr>
          <w:rFonts w:hint="default" w:ascii="Times New Roman" w:hAnsi="Times New Roman" w:cs="Times New Roman"/>
        </w:rPr>
        <w:t>地表水环境现状调查与评价</w:t>
      </w:r>
      <w:bookmarkEnd w:id="128"/>
    </w:p>
    <w:p w14:paraId="1C9AF680">
      <w:pPr>
        <w:pStyle w:val="100"/>
        <w:ind w:firstLine="480"/>
        <w:rPr>
          <w:rFonts w:hint="default" w:ascii="Times New Roman" w:hAnsi="Times New Roman" w:eastAsia="宋体" w:cs="Times New Roman"/>
          <w:color w:val="auto"/>
          <w:spacing w:val="0"/>
          <w:w w:val="100"/>
          <w:position w:val="0"/>
          <w:u w:val="none" w:color="auto"/>
          <w:lang w:val="en-US" w:eastAsia="zh-CN"/>
        </w:rPr>
      </w:pPr>
      <w:r>
        <w:rPr>
          <w:rFonts w:hint="default" w:ascii="Times New Roman" w:hAnsi="Times New Roman" w:eastAsia="宋体" w:cs="Times New Roman"/>
          <w:color w:val="auto"/>
          <w:spacing w:val="0"/>
          <w:w w:val="100"/>
          <w:position w:val="0"/>
          <w:u w:val="none" w:color="auto"/>
        </w:rPr>
        <w:t>为了解</w:t>
      </w:r>
      <w:r>
        <w:rPr>
          <w:rFonts w:hint="default" w:ascii="Times New Roman" w:hAnsi="Times New Roman" w:eastAsia="宋体" w:cs="Times New Roman"/>
          <w:color w:val="auto"/>
          <w:spacing w:val="0"/>
          <w:w w:val="100"/>
          <w:position w:val="0"/>
          <w:u w:val="none" w:color="auto"/>
          <w:lang w:eastAsia="zh-CN"/>
        </w:rPr>
        <w:t>东山水库水</w:t>
      </w:r>
      <w:r>
        <w:rPr>
          <w:rFonts w:hint="default" w:ascii="Times New Roman" w:hAnsi="Times New Roman" w:eastAsia="宋体" w:cs="Times New Roman"/>
          <w:color w:val="auto"/>
          <w:spacing w:val="0"/>
          <w:w w:val="100"/>
          <w:position w:val="0"/>
          <w:u w:val="none" w:color="auto"/>
        </w:rPr>
        <w:t>环境质量现状，建设单位委托</w:t>
      </w:r>
      <w:r>
        <w:rPr>
          <w:rFonts w:hint="default" w:ascii="Times New Roman" w:hAnsi="Times New Roman" w:eastAsia="宋体" w:cs="Times New Roman"/>
          <w:color w:val="auto"/>
          <w:spacing w:val="0"/>
          <w:w w:val="100"/>
          <w:position w:val="0"/>
          <w:u w:val="none" w:color="auto"/>
          <w:lang w:eastAsia="zh-CN"/>
        </w:rPr>
        <w:t>湖南乾诚检测有限公司于</w:t>
      </w:r>
      <w:r>
        <w:rPr>
          <w:rFonts w:hint="default" w:ascii="Times New Roman" w:hAnsi="Times New Roman" w:eastAsia="宋体" w:cs="Times New Roman"/>
          <w:color w:val="auto"/>
          <w:spacing w:val="0"/>
          <w:w w:val="100"/>
          <w:position w:val="0"/>
          <w:u w:val="none" w:color="auto"/>
          <w:lang w:val="en-US" w:eastAsia="zh-CN"/>
        </w:rPr>
        <w:t>2024年5月8日-5月10日</w:t>
      </w:r>
      <w:r>
        <w:rPr>
          <w:rFonts w:hint="default" w:ascii="Times New Roman" w:hAnsi="Times New Roman" w:eastAsia="宋体" w:cs="Times New Roman"/>
          <w:color w:val="auto"/>
          <w:spacing w:val="0"/>
          <w:w w:val="100"/>
          <w:position w:val="0"/>
          <w:u w:val="none" w:color="auto"/>
        </w:rPr>
        <w:t>对</w:t>
      </w:r>
      <w:r>
        <w:rPr>
          <w:rFonts w:hint="default" w:ascii="Times New Roman" w:hAnsi="Times New Roman" w:eastAsia="宋体" w:cs="Times New Roman"/>
          <w:color w:val="auto"/>
          <w:spacing w:val="0"/>
          <w:w w:val="100"/>
          <w:position w:val="0"/>
          <w:u w:val="none" w:color="auto"/>
          <w:lang w:eastAsia="zh-CN"/>
        </w:rPr>
        <w:t>东山水库水质</w:t>
      </w:r>
      <w:r>
        <w:rPr>
          <w:rFonts w:hint="default" w:ascii="Times New Roman" w:hAnsi="Times New Roman" w:eastAsia="宋体" w:cs="Times New Roman"/>
          <w:color w:val="auto"/>
          <w:spacing w:val="0"/>
          <w:w w:val="100"/>
          <w:position w:val="0"/>
          <w:u w:val="none" w:color="auto"/>
        </w:rPr>
        <w:t>进行了</w:t>
      </w:r>
      <w:r>
        <w:rPr>
          <w:rFonts w:hint="default" w:ascii="Times New Roman" w:hAnsi="Times New Roman" w:eastAsia="宋体" w:cs="Times New Roman"/>
          <w:color w:val="auto"/>
          <w:spacing w:val="0"/>
          <w:w w:val="100"/>
          <w:position w:val="0"/>
          <w:u w:val="none" w:color="auto"/>
          <w:lang w:val="en-US" w:eastAsia="zh-CN"/>
        </w:rPr>
        <w:t>一期</w:t>
      </w:r>
      <w:r>
        <w:rPr>
          <w:rFonts w:hint="default" w:ascii="Times New Roman" w:hAnsi="Times New Roman" w:eastAsia="宋体" w:cs="Times New Roman"/>
          <w:color w:val="auto"/>
          <w:spacing w:val="0"/>
          <w:w w:val="100"/>
          <w:position w:val="0"/>
          <w:u w:val="none" w:color="auto"/>
        </w:rPr>
        <w:t>现状监测。</w:t>
      </w:r>
    </w:p>
    <w:p w14:paraId="1FE85BEC">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1、监测点位</w:t>
      </w:r>
    </w:p>
    <w:p w14:paraId="7A97B576">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olor w:val="auto"/>
          <w:spacing w:val="0"/>
          <w:w w:val="100"/>
          <w:kern w:val="0"/>
          <w:position w:val="0"/>
          <w:sz w:val="24"/>
          <w:szCs w:val="20"/>
          <w:u w:val="none" w:color="auto"/>
          <w:lang w:val="en-US" w:eastAsia="zh-CN" w:bidi="ar-SA"/>
        </w:rPr>
      </w:pPr>
      <w:r>
        <w:rPr>
          <w:rFonts w:hint="default" w:ascii="Times New Roman" w:hAnsi="Times New Roman" w:eastAsia="宋体" w:cs="Times New Roman"/>
          <w:color w:val="auto"/>
          <w:spacing w:val="0"/>
          <w:w w:val="100"/>
          <w:kern w:val="0"/>
          <w:position w:val="0"/>
          <w:sz w:val="24"/>
          <w:szCs w:val="20"/>
          <w:u w:val="none" w:color="auto"/>
          <w:lang w:val="en-US" w:eastAsia="zh-CN" w:bidi="ar-SA"/>
        </w:rPr>
        <w:t>W1：水库西侧库尾断面坝址上游约870m</w:t>
      </w:r>
    </w:p>
    <w:p w14:paraId="4B7BD976">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olor w:val="auto"/>
          <w:spacing w:val="0"/>
          <w:w w:val="100"/>
          <w:kern w:val="0"/>
          <w:position w:val="0"/>
          <w:sz w:val="24"/>
          <w:szCs w:val="20"/>
          <w:u w:val="none" w:color="auto"/>
          <w:lang w:val="en-US" w:eastAsia="zh-CN" w:bidi="ar-SA"/>
        </w:rPr>
      </w:pPr>
      <w:r>
        <w:rPr>
          <w:rFonts w:hint="default" w:ascii="Times New Roman" w:hAnsi="Times New Roman" w:eastAsia="宋体" w:cs="Times New Roman"/>
          <w:color w:val="auto"/>
          <w:spacing w:val="0"/>
          <w:w w:val="100"/>
          <w:kern w:val="0"/>
          <w:position w:val="0"/>
          <w:sz w:val="24"/>
          <w:szCs w:val="20"/>
          <w:u w:val="none" w:color="auto"/>
          <w:lang w:val="en-US" w:eastAsia="zh-CN" w:bidi="ar-SA"/>
        </w:rPr>
        <w:t>W2：水库西南侧库尾断面坝址上游约680m</w:t>
      </w:r>
    </w:p>
    <w:p w14:paraId="77F27C72">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olor w:val="auto"/>
          <w:spacing w:val="0"/>
          <w:w w:val="100"/>
          <w:kern w:val="0"/>
          <w:position w:val="0"/>
          <w:sz w:val="24"/>
          <w:szCs w:val="20"/>
          <w:u w:val="none" w:color="auto"/>
          <w:lang w:val="en-US" w:eastAsia="zh-CN" w:bidi="ar-SA"/>
        </w:rPr>
      </w:pPr>
      <w:r>
        <w:rPr>
          <w:rFonts w:hint="default" w:ascii="Times New Roman" w:hAnsi="Times New Roman" w:eastAsia="宋体" w:cs="Times New Roman"/>
          <w:color w:val="auto"/>
          <w:spacing w:val="0"/>
          <w:w w:val="100"/>
          <w:kern w:val="0"/>
          <w:position w:val="0"/>
          <w:sz w:val="24"/>
          <w:szCs w:val="20"/>
          <w:u w:val="none" w:color="auto"/>
          <w:lang w:val="en-US" w:eastAsia="zh-CN" w:bidi="ar-SA"/>
        </w:rPr>
        <w:t>W3：水库库区中心断面坝址上游约500m</w:t>
      </w:r>
    </w:p>
    <w:p w14:paraId="3433C9D7">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olor w:val="auto"/>
          <w:spacing w:val="0"/>
          <w:w w:val="100"/>
          <w:kern w:val="0"/>
          <w:position w:val="0"/>
          <w:sz w:val="24"/>
          <w:szCs w:val="20"/>
          <w:u w:val="none" w:color="auto"/>
          <w:lang w:val="en-US" w:eastAsia="zh-CN" w:bidi="ar-SA"/>
        </w:rPr>
      </w:pPr>
      <w:r>
        <w:rPr>
          <w:rFonts w:hint="default" w:ascii="Times New Roman" w:hAnsi="Times New Roman" w:eastAsia="宋体" w:cs="Times New Roman"/>
          <w:color w:val="auto"/>
          <w:spacing w:val="0"/>
          <w:w w:val="100"/>
          <w:kern w:val="0"/>
          <w:position w:val="0"/>
          <w:sz w:val="24"/>
          <w:szCs w:val="20"/>
          <w:u w:val="none" w:color="auto"/>
          <w:lang w:val="en-US" w:eastAsia="zh-CN" w:bidi="ar-SA"/>
        </w:rPr>
        <w:t xml:space="preserve">W4：水库坝前取水口断面坝址上游约50m </w:t>
      </w:r>
    </w:p>
    <w:p w14:paraId="0190F5F2">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2、监测因子</w:t>
      </w:r>
    </w:p>
    <w:p w14:paraId="74D21C9B">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pH值、溶解氧、高锰酸盐指数、氨氮、硒、砷、汞、镉、六价铬、铅、氰化物、粪大肠菌群、化学需氧量、五日生化需氧量、铜、锌、氟化物、石油类、挥发酚、阴离子表面活性剂、硫化物、硫酸盐、氯化物、硝酸盐、铁、锰、悬浮物、总氮、总磷、叶绿素a、透明度、水温</w:t>
      </w:r>
    </w:p>
    <w:p w14:paraId="490504AB">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3、监测时间和频率</w:t>
      </w:r>
    </w:p>
    <w:p w14:paraId="734189B4">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监测时间为202</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4</w:t>
      </w:r>
      <w:r>
        <w:rPr>
          <w:rFonts w:hint="default" w:ascii="Times New Roman" w:hAnsi="Times New Roman" w:eastAsia="宋体" w:cs="Times New Roman"/>
          <w:caps w:val="0"/>
          <w:smallCaps w:val="0"/>
          <w:color w:val="auto"/>
          <w:spacing w:val="0"/>
          <w:w w:val="100"/>
          <w:kern w:val="0"/>
          <w:position w:val="0"/>
          <w:sz w:val="24"/>
          <w:szCs w:val="24"/>
          <w:u w:val="none" w:color="auto"/>
        </w:rPr>
        <w:t>年</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default" w:ascii="Times New Roman" w:hAnsi="Times New Roman" w:eastAsia="宋体" w:cs="Times New Roman"/>
          <w:caps w:val="0"/>
          <w:smallCaps w:val="0"/>
          <w:color w:val="auto"/>
          <w:spacing w:val="0"/>
          <w:w w:val="100"/>
          <w:kern w:val="0"/>
          <w:position w:val="0"/>
          <w:sz w:val="24"/>
          <w:szCs w:val="24"/>
          <w:u w:val="none" w:color="auto"/>
        </w:rPr>
        <w:t>月</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8</w:t>
      </w:r>
      <w:r>
        <w:rPr>
          <w:rFonts w:hint="default" w:ascii="Times New Roman" w:hAnsi="Times New Roman" w:eastAsia="宋体" w:cs="Times New Roman"/>
          <w:caps w:val="0"/>
          <w:smallCaps w:val="0"/>
          <w:color w:val="auto"/>
          <w:spacing w:val="0"/>
          <w:w w:val="100"/>
          <w:kern w:val="0"/>
          <w:position w:val="0"/>
          <w:sz w:val="24"/>
          <w:szCs w:val="24"/>
          <w:u w:val="none" w:color="auto"/>
        </w:rPr>
        <w:t>日</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～5月10日</w:t>
      </w:r>
      <w:r>
        <w:rPr>
          <w:rFonts w:hint="default" w:ascii="Times New Roman" w:hAnsi="Times New Roman" w:eastAsia="宋体" w:cs="Times New Roman"/>
          <w:caps w:val="0"/>
          <w:smallCaps w:val="0"/>
          <w:color w:val="auto"/>
          <w:spacing w:val="0"/>
          <w:w w:val="100"/>
          <w:kern w:val="0"/>
          <w:position w:val="0"/>
          <w:sz w:val="24"/>
          <w:szCs w:val="24"/>
          <w:u w:val="none" w:color="auto"/>
        </w:rPr>
        <w:t>，连续采样监测3天，每天采样1次</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02B6A04E">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4、 监测分析方法</w:t>
      </w:r>
    </w:p>
    <w:p w14:paraId="61086194">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监测分析方法见表3.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4</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6477AFD5">
      <w:pPr>
        <w:pageBreakBefore w:val="0"/>
        <w:kinsoku w:val="0"/>
        <w:wordWrap w:val="0"/>
        <w:overflowPunct/>
        <w:topLinePunct/>
        <w:autoSpaceDE/>
        <w:autoSpaceDN/>
        <w:bidi w:val="0"/>
        <w:adjustRightInd w:val="0"/>
        <w:snapToGrid w:val="0"/>
        <w:spacing w:before="156" w:beforeLines="50" w:line="240" w:lineRule="auto"/>
        <w:ind w:firstLine="0" w:firstLineChars="0"/>
        <w:jc w:val="center"/>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表3</w:t>
      </w:r>
      <w:r>
        <w:rPr>
          <w:rFonts w:hint="default" w:ascii="Times New Roman" w:hAnsi="Times New Roman" w:eastAsia="宋体" w:cs="Times New Roman"/>
          <w:b/>
          <w:bCs/>
          <w:caps w:val="0"/>
          <w:smallCaps w:val="0"/>
          <w:color w:val="auto"/>
          <w:spacing w:val="0"/>
          <w:w w:val="100"/>
          <w:position w:val="0"/>
          <w:sz w:val="21"/>
          <w:szCs w:val="21"/>
          <w:u w:val="none" w:color="auto"/>
          <w:lang w:val="en-US" w:eastAsia="zh-CN"/>
        </w:rPr>
        <w:t>.2-4</w:t>
      </w:r>
      <w:r>
        <w:rPr>
          <w:rFonts w:hint="default" w:ascii="Times New Roman" w:hAnsi="Times New Roman" w:eastAsia="宋体" w:cs="Times New Roman"/>
          <w:b/>
          <w:bCs/>
          <w:caps w:val="0"/>
          <w:smallCaps w:val="0"/>
          <w:color w:val="auto"/>
          <w:spacing w:val="0"/>
          <w:w w:val="100"/>
          <w:position w:val="0"/>
          <w:sz w:val="21"/>
          <w:szCs w:val="21"/>
          <w:u w:val="none" w:color="auto"/>
        </w:rPr>
        <w:t xml:space="preserve">  地表水分析方法及依据</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497"/>
        <w:gridCol w:w="1248"/>
        <w:gridCol w:w="3409"/>
        <w:gridCol w:w="1959"/>
        <w:gridCol w:w="1228"/>
      </w:tblGrid>
      <w:tr w14:paraId="3F1B08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1945" w:type="dxa"/>
            <w:gridSpan w:val="2"/>
            <w:tcBorders>
              <w:tl2br w:val="nil"/>
              <w:tr2bl w:val="nil"/>
            </w:tcBorders>
            <w:vAlign w:val="center"/>
          </w:tcPr>
          <w:p w14:paraId="1E2E5141">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检测项目</w:t>
            </w:r>
          </w:p>
        </w:tc>
        <w:tc>
          <w:tcPr>
            <w:tcW w:w="3806" w:type="dxa"/>
            <w:tcBorders>
              <w:tl2br w:val="nil"/>
              <w:tr2bl w:val="nil"/>
            </w:tcBorders>
            <w:vAlign w:val="center"/>
          </w:tcPr>
          <w:p w14:paraId="22CF6BBA">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检测方法</w:t>
            </w:r>
          </w:p>
        </w:tc>
        <w:tc>
          <w:tcPr>
            <w:tcW w:w="2186" w:type="dxa"/>
            <w:tcBorders>
              <w:tl2br w:val="nil"/>
              <w:tr2bl w:val="nil"/>
            </w:tcBorders>
            <w:vAlign w:val="center"/>
          </w:tcPr>
          <w:p w14:paraId="39ECAA1A">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检测仪器</w:t>
            </w:r>
          </w:p>
        </w:tc>
        <w:tc>
          <w:tcPr>
            <w:tcW w:w="1368" w:type="dxa"/>
            <w:tcBorders>
              <w:tl2br w:val="nil"/>
              <w:tr2bl w:val="nil"/>
            </w:tcBorders>
            <w:vAlign w:val="center"/>
          </w:tcPr>
          <w:p w14:paraId="3002D70E">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方法检出限</w:t>
            </w:r>
          </w:p>
        </w:tc>
      </w:tr>
      <w:tr w14:paraId="0CF63A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restart"/>
            <w:tcBorders>
              <w:tl2br w:val="nil"/>
              <w:tr2bl w:val="nil"/>
            </w:tcBorders>
            <w:textDirection w:val="tbLrV"/>
            <w:vAlign w:val="center"/>
          </w:tcPr>
          <w:p w14:paraId="1E5CEDC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地表水</w:t>
            </w:r>
          </w:p>
          <w:p w14:paraId="5E088358">
            <w:pPr>
              <w:ind w:left="0" w:leftChars="0" w:firstLine="0" w:firstLineChars="0"/>
              <w:jc w:val="both"/>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1AF250FA">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pH值</w:t>
            </w:r>
          </w:p>
        </w:tc>
        <w:tc>
          <w:tcPr>
            <w:tcW w:w="3806" w:type="dxa"/>
            <w:tcBorders>
              <w:tl2br w:val="nil"/>
              <w:tr2bl w:val="nil"/>
            </w:tcBorders>
            <w:vAlign w:val="center"/>
          </w:tcPr>
          <w:p w14:paraId="545EFDE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pH值的测定 电极法》</w:t>
            </w:r>
          </w:p>
          <w:p w14:paraId="48A6EB5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HJ 1147-2020</w:t>
            </w:r>
          </w:p>
        </w:tc>
        <w:tc>
          <w:tcPr>
            <w:tcW w:w="2186" w:type="dxa"/>
            <w:tcBorders>
              <w:tl2br w:val="nil"/>
              <w:tr2bl w:val="nil"/>
            </w:tcBorders>
            <w:vAlign w:val="center"/>
          </w:tcPr>
          <w:p w14:paraId="3CC84DC7">
            <w:pPr>
              <w:keepNext w:val="0"/>
              <w:keepLines w:val="0"/>
              <w:pageBreakBefore w:val="0"/>
              <w:widowControl/>
              <w:kinsoku/>
              <w:wordWrap/>
              <w:overflowPunct/>
              <w:topLinePunct w:val="0"/>
              <w:autoSpaceDE/>
              <w:autoSpaceDN/>
              <w:bidi w:val="0"/>
              <w:adjustRightInd/>
              <w:snapToGrid/>
              <w:spacing w:line="240" w:lineRule="auto"/>
              <w:ind w:left="-42" w:leftChars="-20" w:right="-42" w:rightChars="-20" w:firstLine="0" w:firstLineChars="0"/>
              <w:jc w:val="center"/>
              <w:textAlignment w:val="center"/>
              <w:outlineLvl w:val="9"/>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SX836型</w:t>
            </w:r>
          </w:p>
          <w:p w14:paraId="1B7BAF36">
            <w:pPr>
              <w:keepNext w:val="0"/>
              <w:keepLines w:val="0"/>
              <w:pageBreakBefore w:val="0"/>
              <w:widowControl/>
              <w:kinsoku/>
              <w:wordWrap/>
              <w:overflowPunct/>
              <w:topLinePunct w:val="0"/>
              <w:autoSpaceDE/>
              <w:autoSpaceDN/>
              <w:bidi w:val="0"/>
              <w:adjustRightInd/>
              <w:snapToGrid/>
              <w:spacing w:line="240" w:lineRule="auto"/>
              <w:ind w:left="-42" w:leftChars="-20" w:right="-42" w:rightChars="-20" w:firstLine="0" w:firstLineChars="0"/>
              <w:jc w:val="center"/>
              <w:textAlignment w:val="center"/>
              <w:outlineLvl w:val="9"/>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pacing w:val="-6"/>
                <w:kern w:val="0"/>
                <w:sz w:val="21"/>
                <w:szCs w:val="21"/>
                <w:highlight w:val="none"/>
                <w:lang w:val="en-US" w:eastAsia="zh-CN" w:bidi="ar"/>
              </w:rPr>
              <w:t>PH/mV/电导率/溶解氧测量仪</w:t>
            </w:r>
          </w:p>
        </w:tc>
        <w:tc>
          <w:tcPr>
            <w:tcW w:w="1368" w:type="dxa"/>
            <w:tcBorders>
              <w:tl2br w:val="nil"/>
              <w:tr2bl w:val="nil"/>
            </w:tcBorders>
            <w:vAlign w:val="center"/>
          </w:tcPr>
          <w:p w14:paraId="5915BBD5">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r>
      <w:tr w14:paraId="08601D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34E4CC6B">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28CE7AB0">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水温</w:t>
            </w:r>
          </w:p>
        </w:tc>
        <w:tc>
          <w:tcPr>
            <w:tcW w:w="3806" w:type="dxa"/>
            <w:tcBorders>
              <w:tl2br w:val="nil"/>
              <w:tr2bl w:val="nil"/>
            </w:tcBorders>
            <w:vAlign w:val="center"/>
          </w:tcPr>
          <w:p w14:paraId="26614846">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水质 水温的测定 温度计或颠倒温度计</w:t>
            </w:r>
          </w:p>
          <w:p w14:paraId="316DB526">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测定法</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GB 13195-</w:t>
            </w:r>
            <w:r>
              <w:rPr>
                <w:rFonts w:hint="default" w:ascii="Times New Roman" w:hAnsi="Times New Roman" w:eastAsia="宋体" w:cs="Times New Roman"/>
                <w:color w:val="auto"/>
                <w:sz w:val="21"/>
                <w:szCs w:val="21"/>
                <w:lang w:val="en-US" w:eastAsia="zh-CN"/>
              </w:rPr>
              <w:t>19</w:t>
            </w:r>
            <w:r>
              <w:rPr>
                <w:rFonts w:hint="default" w:ascii="Times New Roman" w:hAnsi="Times New Roman" w:eastAsia="宋体" w:cs="Times New Roman"/>
                <w:color w:val="auto"/>
                <w:sz w:val="21"/>
                <w:szCs w:val="21"/>
              </w:rPr>
              <w:t>91</w:t>
            </w:r>
          </w:p>
        </w:tc>
        <w:tc>
          <w:tcPr>
            <w:tcW w:w="2186" w:type="dxa"/>
            <w:tcBorders>
              <w:tl2br w:val="nil"/>
              <w:tr2bl w:val="nil"/>
            </w:tcBorders>
            <w:vAlign w:val="center"/>
          </w:tcPr>
          <w:p w14:paraId="3633F076">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-10～50℃温度计</w:t>
            </w:r>
          </w:p>
        </w:tc>
        <w:tc>
          <w:tcPr>
            <w:tcW w:w="1368" w:type="dxa"/>
            <w:tcBorders>
              <w:tl2br w:val="nil"/>
              <w:tr2bl w:val="nil"/>
            </w:tcBorders>
            <w:vAlign w:val="center"/>
          </w:tcPr>
          <w:p w14:paraId="61008B68">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w:t>
            </w:r>
          </w:p>
        </w:tc>
      </w:tr>
      <w:tr w14:paraId="01993C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49BDBAD5">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0F913A34">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溶解氧</w:t>
            </w:r>
          </w:p>
        </w:tc>
        <w:tc>
          <w:tcPr>
            <w:tcW w:w="3806" w:type="dxa"/>
            <w:tcBorders>
              <w:tl2br w:val="nil"/>
              <w:tr2bl w:val="nil"/>
            </w:tcBorders>
            <w:vAlign w:val="center"/>
          </w:tcPr>
          <w:p w14:paraId="5EDEC3D8">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便携式溶解氧测定仪技术要求及检测方法</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HJ 925-2017</w:t>
            </w:r>
          </w:p>
        </w:tc>
        <w:tc>
          <w:tcPr>
            <w:tcW w:w="2186" w:type="dxa"/>
            <w:tcBorders>
              <w:tl2br w:val="nil"/>
              <w:tr2bl w:val="nil"/>
            </w:tcBorders>
            <w:vAlign w:val="center"/>
          </w:tcPr>
          <w:p w14:paraId="71D6660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JPB-607A溶解氧仪</w:t>
            </w:r>
          </w:p>
        </w:tc>
        <w:tc>
          <w:tcPr>
            <w:tcW w:w="1368" w:type="dxa"/>
            <w:tcBorders>
              <w:tl2br w:val="nil"/>
              <w:tr2bl w:val="nil"/>
            </w:tcBorders>
            <w:vAlign w:val="center"/>
          </w:tcPr>
          <w:p w14:paraId="2E07A28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w:t>
            </w:r>
          </w:p>
        </w:tc>
      </w:tr>
      <w:tr w14:paraId="67E9E6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0A821E31">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325BBE34">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水位</w:t>
            </w:r>
          </w:p>
        </w:tc>
        <w:tc>
          <w:tcPr>
            <w:tcW w:w="3806" w:type="dxa"/>
            <w:tcBorders>
              <w:tl2br w:val="nil"/>
              <w:tr2bl w:val="nil"/>
            </w:tcBorders>
            <w:vAlign w:val="center"/>
          </w:tcPr>
          <w:p w14:paraId="5DFD18DB">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《地下水环境监测技术规范》</w:t>
            </w:r>
          </w:p>
          <w:p w14:paraId="74EF0711">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HJ/T 164-2020</w:t>
            </w:r>
          </w:p>
        </w:tc>
        <w:tc>
          <w:tcPr>
            <w:tcW w:w="2186" w:type="dxa"/>
            <w:tcBorders>
              <w:tl2br w:val="nil"/>
              <w:tr2bl w:val="nil"/>
            </w:tcBorders>
            <w:vAlign w:val="center"/>
          </w:tcPr>
          <w:p w14:paraId="08C3461B">
            <w:pPr>
              <w:keepNext w:val="0"/>
              <w:keepLines w:val="0"/>
              <w:pageBreakBefore w:val="0"/>
              <w:widowControl w:val="0"/>
              <w:kinsoku/>
              <w:wordWrap/>
              <w:overflowPunct/>
              <w:topLinePunct w:val="0"/>
              <w:autoSpaceDE/>
              <w:autoSpaceDN/>
              <w:bidi w:val="0"/>
              <w:adjustRightInd/>
              <w:snapToGrid/>
              <w:spacing w:line="260" w:lineRule="exact"/>
              <w:ind w:left="-105" w:leftChars="-50" w:right="-105" w:rightChars="-5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信天人-288</w:t>
            </w:r>
          </w:p>
          <w:p w14:paraId="5716A3D2">
            <w:pPr>
              <w:keepNext w:val="0"/>
              <w:keepLines w:val="0"/>
              <w:pageBreakBefore w:val="0"/>
              <w:widowControl w:val="0"/>
              <w:kinsoku/>
              <w:wordWrap/>
              <w:overflowPunct/>
              <w:topLinePunct w:val="0"/>
              <w:autoSpaceDE/>
              <w:autoSpaceDN/>
              <w:bidi w:val="0"/>
              <w:adjustRightInd/>
              <w:snapToGrid/>
              <w:spacing w:line="260" w:lineRule="exact"/>
              <w:ind w:left="-105" w:leftChars="-50" w:right="-105" w:rightChars="-5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钢尺水位计</w:t>
            </w:r>
          </w:p>
        </w:tc>
        <w:tc>
          <w:tcPr>
            <w:tcW w:w="1368" w:type="dxa"/>
            <w:tcBorders>
              <w:tl2br w:val="nil"/>
              <w:tr2bl w:val="nil"/>
            </w:tcBorders>
            <w:vAlign w:val="center"/>
          </w:tcPr>
          <w:p w14:paraId="46564FFB">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r>
      <w:tr w14:paraId="6E25D6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74EB0160">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7A5B90B8">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氨氮</w:t>
            </w:r>
          </w:p>
        </w:tc>
        <w:tc>
          <w:tcPr>
            <w:tcW w:w="3806" w:type="dxa"/>
            <w:tcBorders>
              <w:tl2br w:val="nil"/>
              <w:tr2bl w:val="nil"/>
            </w:tcBorders>
            <w:vAlign w:val="center"/>
          </w:tcPr>
          <w:p w14:paraId="397A539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《水质</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氨氮的测定</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纳氏试剂分光光度</w:t>
            </w:r>
            <w:r>
              <w:rPr>
                <w:rFonts w:hint="default" w:ascii="Times New Roman" w:hAnsi="Times New Roman" w:eastAsia="宋体" w:cs="Times New Roman"/>
                <w:sz w:val="21"/>
                <w:szCs w:val="21"/>
                <w:lang w:eastAsia="zh-CN"/>
              </w:rPr>
              <w:t>法</w:t>
            </w:r>
            <w:r>
              <w:rPr>
                <w:rFonts w:hint="default" w:ascii="Times New Roman" w:hAnsi="Times New Roman" w:eastAsia="宋体" w:cs="Times New Roman"/>
                <w:sz w:val="21"/>
                <w:szCs w:val="21"/>
              </w:rPr>
              <w:t>》HJ 535-2009</w:t>
            </w:r>
          </w:p>
        </w:tc>
        <w:tc>
          <w:tcPr>
            <w:tcW w:w="2186" w:type="dxa"/>
            <w:tcBorders>
              <w:tl2br w:val="nil"/>
              <w:tr2bl w:val="nil"/>
            </w:tcBorders>
            <w:vAlign w:val="center"/>
          </w:tcPr>
          <w:p w14:paraId="2715EF2C">
            <w:pPr>
              <w:keepNext w:val="0"/>
              <w:keepLines w:val="0"/>
              <w:pageBreakBefore w:val="0"/>
              <w:widowControl/>
              <w:kinsoku/>
              <w:wordWrap/>
              <w:overflowPunct/>
              <w:topLinePunct w:val="0"/>
              <w:autoSpaceDE/>
              <w:autoSpaceDN/>
              <w:bidi w:val="0"/>
              <w:adjustRightInd/>
              <w:snapToGrid/>
              <w:spacing w:line="240" w:lineRule="auto"/>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SP-722</w:t>
            </w:r>
          </w:p>
          <w:p w14:paraId="565D683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可见分光光度计</w:t>
            </w:r>
          </w:p>
        </w:tc>
        <w:tc>
          <w:tcPr>
            <w:tcW w:w="1368" w:type="dxa"/>
            <w:tcBorders>
              <w:tl2br w:val="nil"/>
              <w:tr2bl w:val="nil"/>
            </w:tcBorders>
            <w:vAlign w:val="center"/>
          </w:tcPr>
          <w:p w14:paraId="31DB647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0.025mg/L</w:t>
            </w:r>
          </w:p>
        </w:tc>
      </w:tr>
      <w:tr w14:paraId="36EC82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290E23F3">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40723E3D">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挥发酚</w:t>
            </w:r>
          </w:p>
        </w:tc>
        <w:tc>
          <w:tcPr>
            <w:tcW w:w="3806" w:type="dxa"/>
            <w:tcBorders>
              <w:tl2br w:val="nil"/>
              <w:tr2bl w:val="nil"/>
            </w:tcBorders>
            <w:vAlign w:val="center"/>
          </w:tcPr>
          <w:p w14:paraId="134369EB">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 </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水质 挥发酚的测定 4-氨基安替比林</w:t>
            </w:r>
          </w:p>
          <w:p w14:paraId="21223D02">
            <w:pPr>
              <w:spacing w:line="240" w:lineRule="exact"/>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分光光度法</w:t>
            </w:r>
            <w:r>
              <w:rPr>
                <w:rFonts w:hint="default" w:ascii="Times New Roman" w:hAnsi="Times New Roman" w:eastAsia="宋体" w:cs="Times New Roman"/>
                <w:sz w:val="21"/>
                <w:szCs w:val="21"/>
                <w:lang w:eastAsia="zh-CN"/>
              </w:rPr>
              <w:t>》（萃取分光光度法）</w:t>
            </w:r>
          </w:p>
          <w:p w14:paraId="407534E9">
            <w:pPr>
              <w:spacing w:line="24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HJ 503-2009</w:t>
            </w:r>
          </w:p>
        </w:tc>
        <w:tc>
          <w:tcPr>
            <w:tcW w:w="2186" w:type="dxa"/>
            <w:tcBorders>
              <w:tl2br w:val="nil"/>
              <w:tr2bl w:val="nil"/>
            </w:tcBorders>
            <w:vAlign w:val="center"/>
          </w:tcPr>
          <w:p w14:paraId="3760CFBA">
            <w:pPr>
              <w:keepNext w:val="0"/>
              <w:keepLines w:val="0"/>
              <w:pageBreakBefore w:val="0"/>
              <w:widowControl/>
              <w:kinsoku/>
              <w:wordWrap/>
              <w:overflowPunct/>
              <w:topLinePunct w:val="0"/>
              <w:autoSpaceDE/>
              <w:autoSpaceDN/>
              <w:bidi w:val="0"/>
              <w:adjustRightInd/>
              <w:snapToGrid/>
              <w:spacing w:line="240" w:lineRule="auto"/>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SP-722</w:t>
            </w:r>
          </w:p>
          <w:p w14:paraId="131794EF">
            <w:pPr>
              <w:spacing w:line="24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可见分光光度计</w:t>
            </w:r>
          </w:p>
        </w:tc>
        <w:tc>
          <w:tcPr>
            <w:tcW w:w="1368" w:type="dxa"/>
            <w:tcBorders>
              <w:tl2br w:val="nil"/>
              <w:tr2bl w:val="nil"/>
            </w:tcBorders>
            <w:vAlign w:val="center"/>
          </w:tcPr>
          <w:p w14:paraId="6F471AF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0.0003mg/L</w:t>
            </w:r>
          </w:p>
        </w:tc>
      </w:tr>
      <w:tr w14:paraId="493817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43E4DF0F">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02BB6DDC">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高锰酸盐</w:t>
            </w:r>
          </w:p>
          <w:p w14:paraId="6DB3CCA0">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指数</w:t>
            </w:r>
          </w:p>
        </w:tc>
        <w:tc>
          <w:tcPr>
            <w:tcW w:w="3806" w:type="dxa"/>
            <w:tcBorders>
              <w:tl2br w:val="nil"/>
              <w:tr2bl w:val="nil"/>
            </w:tcBorders>
            <w:vAlign w:val="center"/>
          </w:tcPr>
          <w:p w14:paraId="1D29D0EB">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《水质</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高锰酸盐指数的测定》</w:t>
            </w:r>
          </w:p>
          <w:p w14:paraId="452393C5">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GB 11892-1989</w:t>
            </w:r>
          </w:p>
        </w:tc>
        <w:tc>
          <w:tcPr>
            <w:tcW w:w="2186" w:type="dxa"/>
            <w:tcBorders>
              <w:tl2br w:val="nil"/>
              <w:tr2bl w:val="nil"/>
            </w:tcBorders>
            <w:vAlign w:val="center"/>
          </w:tcPr>
          <w:p w14:paraId="78BF06A2">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滴定管</w:t>
            </w:r>
          </w:p>
        </w:tc>
        <w:tc>
          <w:tcPr>
            <w:tcW w:w="1368" w:type="dxa"/>
            <w:tcBorders>
              <w:tl2br w:val="nil"/>
              <w:tr2bl w:val="nil"/>
            </w:tcBorders>
            <w:vAlign w:val="center"/>
          </w:tcPr>
          <w:p w14:paraId="56C71EC8">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highlight w:val="none"/>
                <w:shd w:val="clear" w:color="auto" w:fill="auto"/>
                <w:lang w:val="en-US" w:eastAsia="zh-CN"/>
              </w:rPr>
              <w:t>0.5mg/L</w:t>
            </w:r>
          </w:p>
        </w:tc>
      </w:tr>
      <w:tr w14:paraId="09DF24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59BF2431">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6D9C6839">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化学需氧量</w:t>
            </w:r>
          </w:p>
        </w:tc>
        <w:tc>
          <w:tcPr>
            <w:tcW w:w="3806" w:type="dxa"/>
            <w:tcBorders>
              <w:tl2br w:val="nil"/>
              <w:tr2bl w:val="nil"/>
            </w:tcBorders>
            <w:vAlign w:val="center"/>
          </w:tcPr>
          <w:p w14:paraId="1BF40A5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化学需氧量的测定 重铬酸盐法》</w:t>
            </w:r>
          </w:p>
          <w:p w14:paraId="314FD90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HJ 828-2017</w:t>
            </w:r>
          </w:p>
        </w:tc>
        <w:tc>
          <w:tcPr>
            <w:tcW w:w="2186" w:type="dxa"/>
            <w:tcBorders>
              <w:tl2br w:val="nil"/>
              <w:tr2bl w:val="nil"/>
            </w:tcBorders>
            <w:vAlign w:val="center"/>
          </w:tcPr>
          <w:p w14:paraId="260DFB9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SCOD-100</w:t>
            </w:r>
          </w:p>
          <w:p w14:paraId="0A147B3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标准 COD 消解器</w:t>
            </w:r>
          </w:p>
        </w:tc>
        <w:tc>
          <w:tcPr>
            <w:tcW w:w="1368" w:type="dxa"/>
            <w:tcBorders>
              <w:tl2br w:val="nil"/>
              <w:tr2bl w:val="nil"/>
            </w:tcBorders>
            <w:vAlign w:val="center"/>
          </w:tcPr>
          <w:p w14:paraId="2AA2607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4</w:t>
            </w:r>
            <w:r>
              <w:rPr>
                <w:rFonts w:hint="default" w:ascii="Times New Roman" w:hAnsi="Times New Roman" w:eastAsia="宋体" w:cs="Times New Roman"/>
                <w:sz w:val="21"/>
                <w:szCs w:val="21"/>
              </w:rPr>
              <w:t>mg/L</w:t>
            </w:r>
          </w:p>
        </w:tc>
      </w:tr>
      <w:tr w14:paraId="115384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03DFF940">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6EB2688D">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五日生化</w:t>
            </w:r>
          </w:p>
          <w:p w14:paraId="7D915B35">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需氧量</w:t>
            </w:r>
          </w:p>
        </w:tc>
        <w:tc>
          <w:tcPr>
            <w:tcW w:w="3806" w:type="dxa"/>
            <w:tcBorders>
              <w:tl2br w:val="nil"/>
              <w:tr2bl w:val="nil"/>
            </w:tcBorders>
            <w:vAlign w:val="center"/>
          </w:tcPr>
          <w:p w14:paraId="0A69156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五日生化需氧量</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BOD</w:t>
            </w:r>
            <w:r>
              <w:rPr>
                <w:rFonts w:hint="default" w:ascii="Times New Roman" w:hAnsi="Times New Roman" w:eastAsia="宋体" w:cs="Times New Roman"/>
                <w:sz w:val="21"/>
                <w:szCs w:val="21"/>
                <w:vertAlign w:val="subscript"/>
              </w:rPr>
              <w:t>5</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的测定</w:t>
            </w:r>
          </w:p>
          <w:p w14:paraId="02443D5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稀释与接种法》HJ 505-2009</w:t>
            </w:r>
          </w:p>
        </w:tc>
        <w:tc>
          <w:tcPr>
            <w:tcW w:w="2186" w:type="dxa"/>
            <w:tcBorders>
              <w:tl2br w:val="nil"/>
              <w:tr2bl w:val="nil"/>
            </w:tcBorders>
            <w:vAlign w:val="center"/>
          </w:tcPr>
          <w:p w14:paraId="74915D7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eastAsia="zh-CN"/>
              </w:rPr>
              <w:t>滴定管</w:t>
            </w:r>
          </w:p>
        </w:tc>
        <w:tc>
          <w:tcPr>
            <w:tcW w:w="1368" w:type="dxa"/>
            <w:tcBorders>
              <w:tl2br w:val="nil"/>
              <w:tr2bl w:val="nil"/>
            </w:tcBorders>
            <w:vAlign w:val="center"/>
          </w:tcPr>
          <w:p w14:paraId="720DF01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0.5mg/L</w:t>
            </w:r>
          </w:p>
        </w:tc>
      </w:tr>
      <w:tr w14:paraId="15997B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40A389C2">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1782BB68">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粪大肠菌群</w:t>
            </w:r>
          </w:p>
        </w:tc>
        <w:tc>
          <w:tcPr>
            <w:tcW w:w="3806" w:type="dxa"/>
            <w:tcBorders>
              <w:tl2br w:val="nil"/>
              <w:tr2bl w:val="nil"/>
            </w:tcBorders>
            <w:vAlign w:val="center"/>
          </w:tcPr>
          <w:p w14:paraId="77F776D9">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《水质 粪大肠菌群的测定 多管发酵法》 HJ 347.2-2018</w:t>
            </w:r>
          </w:p>
        </w:tc>
        <w:tc>
          <w:tcPr>
            <w:tcW w:w="2186" w:type="dxa"/>
            <w:tcBorders>
              <w:tl2br w:val="nil"/>
              <w:tr2bl w:val="nil"/>
            </w:tcBorders>
            <w:vAlign w:val="center"/>
          </w:tcPr>
          <w:p w14:paraId="1EFF228E">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DHP-9052</w:t>
            </w:r>
          </w:p>
          <w:p w14:paraId="45E5DBA2">
            <w:pPr>
              <w:keepNext w:val="0"/>
              <w:keepLines w:val="0"/>
              <w:pageBreakBefore w:val="0"/>
              <w:widowControl/>
              <w:kinsoku/>
              <w:wordWrap/>
              <w:overflowPunct/>
              <w:topLinePunct w:val="0"/>
              <w:autoSpaceDE/>
              <w:autoSpaceDN/>
              <w:bidi w:val="0"/>
              <w:adjustRightInd/>
              <w:snapToGrid/>
              <w:spacing w:line="300" w:lineRule="exact"/>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电热恒温培养箱</w:t>
            </w:r>
          </w:p>
        </w:tc>
        <w:tc>
          <w:tcPr>
            <w:tcW w:w="1368" w:type="dxa"/>
            <w:tcBorders>
              <w:tl2br w:val="nil"/>
              <w:tr2bl w:val="nil"/>
            </w:tcBorders>
            <w:vAlign w:val="center"/>
          </w:tcPr>
          <w:p w14:paraId="1BC6CF97">
            <w:pPr>
              <w:keepNext w:val="0"/>
              <w:keepLines w:val="0"/>
              <w:pageBreakBefore w:val="0"/>
              <w:widowControl/>
              <w:kinsoku/>
              <w:wordWrap/>
              <w:overflowPunct/>
              <w:topLinePunct w:val="0"/>
              <w:autoSpaceDE/>
              <w:autoSpaceDN/>
              <w:bidi w:val="0"/>
              <w:adjustRightInd/>
              <w:snapToGrid/>
              <w:spacing w:line="360" w:lineRule="exact"/>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 MPN/L</w:t>
            </w:r>
          </w:p>
        </w:tc>
      </w:tr>
      <w:tr w14:paraId="4D8C67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5F1ADC56">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514C929A">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石油类</w:t>
            </w:r>
          </w:p>
        </w:tc>
        <w:tc>
          <w:tcPr>
            <w:tcW w:w="3806" w:type="dxa"/>
            <w:tcBorders>
              <w:tl2br w:val="nil"/>
              <w:tr2bl w:val="nil"/>
            </w:tcBorders>
            <w:vAlign w:val="center"/>
          </w:tcPr>
          <w:p w14:paraId="2DB5E38B">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《水质 石油类的测定 紫外分光光度法》（试行）HJ 970-2018</w:t>
            </w:r>
          </w:p>
        </w:tc>
        <w:tc>
          <w:tcPr>
            <w:tcW w:w="2186" w:type="dxa"/>
            <w:tcBorders>
              <w:tl2br w:val="nil"/>
              <w:tr2bl w:val="nil"/>
            </w:tcBorders>
            <w:vAlign w:val="center"/>
          </w:tcPr>
          <w:p w14:paraId="4CA2A188">
            <w:pPr>
              <w:keepNext w:val="0"/>
              <w:keepLines w:val="0"/>
              <w:pageBreakBefore w:val="0"/>
              <w:widowControl/>
              <w:kinsoku/>
              <w:wordWrap/>
              <w:overflowPunct/>
              <w:topLinePunct w:val="0"/>
              <w:autoSpaceDE/>
              <w:autoSpaceDN/>
              <w:bidi w:val="0"/>
              <w:adjustRightInd/>
              <w:snapToGrid/>
              <w:spacing w:line="240" w:lineRule="auto"/>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SP-752</w:t>
            </w:r>
          </w:p>
          <w:p w14:paraId="7698098E">
            <w:pPr>
              <w:spacing w:line="24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可见分光光度计</w:t>
            </w:r>
          </w:p>
        </w:tc>
        <w:tc>
          <w:tcPr>
            <w:tcW w:w="1368" w:type="dxa"/>
            <w:tcBorders>
              <w:tl2br w:val="nil"/>
              <w:tr2bl w:val="nil"/>
            </w:tcBorders>
            <w:vAlign w:val="center"/>
          </w:tcPr>
          <w:p w14:paraId="2147168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0.01mg/L</w:t>
            </w:r>
          </w:p>
        </w:tc>
      </w:tr>
      <w:tr w14:paraId="633942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54BC9BBB">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1D3B6C5C">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硒</w:t>
            </w:r>
          </w:p>
        </w:tc>
        <w:tc>
          <w:tcPr>
            <w:tcW w:w="3806" w:type="dxa"/>
            <w:tcBorders>
              <w:tl2br w:val="nil"/>
              <w:tr2bl w:val="nil"/>
            </w:tcBorders>
            <w:vAlign w:val="center"/>
          </w:tcPr>
          <w:p w14:paraId="32B67023">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《水质 汞、砷、硒、铋和锑的测定</w:t>
            </w:r>
          </w:p>
          <w:p w14:paraId="25AFEAB2">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原子荧光法》HJ 694-2014</w:t>
            </w:r>
          </w:p>
        </w:tc>
        <w:tc>
          <w:tcPr>
            <w:tcW w:w="2186" w:type="dxa"/>
            <w:tcBorders>
              <w:tl2br w:val="nil"/>
              <w:tr2bl w:val="nil"/>
            </w:tcBorders>
            <w:vAlign w:val="center"/>
          </w:tcPr>
          <w:p w14:paraId="05C72A2E">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AFS-230E</w:t>
            </w:r>
          </w:p>
          <w:p w14:paraId="7A7191F5">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原子荧光光谱仪</w:t>
            </w:r>
          </w:p>
        </w:tc>
        <w:tc>
          <w:tcPr>
            <w:tcW w:w="1368" w:type="dxa"/>
            <w:tcBorders>
              <w:tl2br w:val="nil"/>
              <w:tr2bl w:val="nil"/>
            </w:tcBorders>
            <w:vAlign w:val="center"/>
          </w:tcPr>
          <w:p w14:paraId="055EB139">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0.0004mg/L</w:t>
            </w:r>
          </w:p>
        </w:tc>
      </w:tr>
      <w:tr w14:paraId="20A284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6D1C10AD">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616D092A">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砷</w:t>
            </w:r>
          </w:p>
        </w:tc>
        <w:tc>
          <w:tcPr>
            <w:tcW w:w="3806" w:type="dxa"/>
            <w:tcBorders>
              <w:tl2br w:val="nil"/>
              <w:tr2bl w:val="nil"/>
            </w:tcBorders>
            <w:vAlign w:val="center"/>
          </w:tcPr>
          <w:p w14:paraId="2E86583E">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《水质 汞、砷、硒、铋和锑的测定</w:t>
            </w:r>
          </w:p>
          <w:p w14:paraId="549FC895">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原子荧光法》HJ 694-2014</w:t>
            </w:r>
          </w:p>
        </w:tc>
        <w:tc>
          <w:tcPr>
            <w:tcW w:w="2186" w:type="dxa"/>
            <w:tcBorders>
              <w:tl2br w:val="nil"/>
              <w:tr2bl w:val="nil"/>
            </w:tcBorders>
            <w:vAlign w:val="center"/>
          </w:tcPr>
          <w:p w14:paraId="3B20E160">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AFS-230E</w:t>
            </w:r>
          </w:p>
          <w:p w14:paraId="31AF0500">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原子荧光光谱仪</w:t>
            </w:r>
          </w:p>
        </w:tc>
        <w:tc>
          <w:tcPr>
            <w:tcW w:w="1368" w:type="dxa"/>
            <w:tcBorders>
              <w:tl2br w:val="nil"/>
              <w:tr2bl w:val="nil"/>
            </w:tcBorders>
            <w:vAlign w:val="center"/>
          </w:tcPr>
          <w:p w14:paraId="7AAAD058">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0.0003mg/L</w:t>
            </w:r>
          </w:p>
        </w:tc>
      </w:tr>
      <w:tr w14:paraId="1BACA2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3BD5DAC3">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36E18FE6">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汞</w:t>
            </w:r>
          </w:p>
        </w:tc>
        <w:tc>
          <w:tcPr>
            <w:tcW w:w="3806" w:type="dxa"/>
            <w:tcBorders>
              <w:tl2br w:val="nil"/>
              <w:tr2bl w:val="nil"/>
            </w:tcBorders>
            <w:vAlign w:val="center"/>
          </w:tcPr>
          <w:p w14:paraId="1186215A">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《水质 汞、砷、硒、铋和锑的测定</w:t>
            </w:r>
          </w:p>
          <w:p w14:paraId="37C46267">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原子荧光法》 HJ 694-2014</w:t>
            </w:r>
          </w:p>
        </w:tc>
        <w:tc>
          <w:tcPr>
            <w:tcW w:w="2186" w:type="dxa"/>
            <w:tcBorders>
              <w:tl2br w:val="nil"/>
              <w:tr2bl w:val="nil"/>
            </w:tcBorders>
            <w:vAlign w:val="center"/>
          </w:tcPr>
          <w:p w14:paraId="45C3B801">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AFS-230E</w:t>
            </w:r>
          </w:p>
          <w:p w14:paraId="20FA9F20">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原子荧光光谱仪</w:t>
            </w:r>
          </w:p>
        </w:tc>
        <w:tc>
          <w:tcPr>
            <w:tcW w:w="1368" w:type="dxa"/>
            <w:tcBorders>
              <w:tl2br w:val="nil"/>
              <w:tr2bl w:val="nil"/>
            </w:tcBorders>
            <w:vAlign w:val="center"/>
          </w:tcPr>
          <w:p w14:paraId="545E18D4">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0.00004mg/L</w:t>
            </w:r>
          </w:p>
        </w:tc>
      </w:tr>
      <w:tr w14:paraId="3C346D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5C48F47C">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535362C6">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六价铬</w:t>
            </w:r>
          </w:p>
        </w:tc>
        <w:tc>
          <w:tcPr>
            <w:tcW w:w="3806" w:type="dxa"/>
            <w:tcBorders>
              <w:tl2br w:val="nil"/>
              <w:tr2bl w:val="nil"/>
            </w:tcBorders>
            <w:vAlign w:val="center"/>
          </w:tcPr>
          <w:p w14:paraId="3FD976CF">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《水质 六价铬的测定 二苯碳酰二肼分光光度法》GB 7467-1987</w:t>
            </w:r>
          </w:p>
        </w:tc>
        <w:tc>
          <w:tcPr>
            <w:tcW w:w="2186" w:type="dxa"/>
            <w:tcBorders>
              <w:tl2br w:val="nil"/>
              <w:tr2bl w:val="nil"/>
            </w:tcBorders>
            <w:vAlign w:val="center"/>
          </w:tcPr>
          <w:p w14:paraId="7F530F5D">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SP-722</w:t>
            </w:r>
          </w:p>
          <w:p w14:paraId="1B2FD1F1">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可见分光光度计</w:t>
            </w:r>
          </w:p>
        </w:tc>
        <w:tc>
          <w:tcPr>
            <w:tcW w:w="1368" w:type="dxa"/>
            <w:tcBorders>
              <w:tl2br w:val="nil"/>
              <w:tr2bl w:val="nil"/>
            </w:tcBorders>
            <w:vAlign w:val="center"/>
          </w:tcPr>
          <w:p w14:paraId="1D4BE80D">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0.004mg/L</w:t>
            </w:r>
          </w:p>
        </w:tc>
      </w:tr>
      <w:tr w14:paraId="7AA245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608EC071">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40694E05">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氟化物</w:t>
            </w:r>
          </w:p>
        </w:tc>
        <w:tc>
          <w:tcPr>
            <w:tcW w:w="3806" w:type="dxa"/>
            <w:tcBorders>
              <w:tl2br w:val="nil"/>
              <w:tr2bl w:val="nil"/>
            </w:tcBorders>
            <w:vAlign w:val="center"/>
          </w:tcPr>
          <w:p w14:paraId="5CB03FEE">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《水质 无机阴离子（F- 、Cl-、NO2-、Br-、NO3-、PO43-、SO32-、SO42-）的测定离子色谱法》HJ 84-2016</w:t>
            </w:r>
          </w:p>
        </w:tc>
        <w:tc>
          <w:tcPr>
            <w:tcW w:w="2186" w:type="dxa"/>
            <w:tcBorders>
              <w:tl2br w:val="nil"/>
              <w:tr2bl w:val="nil"/>
            </w:tcBorders>
            <w:vAlign w:val="center"/>
          </w:tcPr>
          <w:p w14:paraId="2398FCCE">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CIC-D120离子色谱仪</w:t>
            </w:r>
          </w:p>
        </w:tc>
        <w:tc>
          <w:tcPr>
            <w:tcW w:w="1368" w:type="dxa"/>
            <w:tcBorders>
              <w:tl2br w:val="nil"/>
              <w:tr2bl w:val="nil"/>
            </w:tcBorders>
            <w:vAlign w:val="center"/>
          </w:tcPr>
          <w:p w14:paraId="501CC100">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0.006mg/L</w:t>
            </w:r>
          </w:p>
        </w:tc>
      </w:tr>
      <w:tr w14:paraId="75D851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57C4CF2C">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53DA0B42">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铜</w:t>
            </w:r>
          </w:p>
        </w:tc>
        <w:tc>
          <w:tcPr>
            <w:tcW w:w="3806" w:type="dxa"/>
            <w:tcBorders>
              <w:tl2br w:val="nil"/>
              <w:tr2bl w:val="nil"/>
            </w:tcBorders>
            <w:vAlign w:val="center"/>
          </w:tcPr>
          <w:p w14:paraId="5ADA44EA">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《水质 铜、锌、铅、镉的测定 原子</w:t>
            </w:r>
          </w:p>
          <w:p w14:paraId="01DAEF25">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吸收分光光度法》（第二部分 螯合萃取法）</w:t>
            </w:r>
          </w:p>
          <w:p w14:paraId="4BABB0EF">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GB 7475-1987</w:t>
            </w:r>
          </w:p>
        </w:tc>
        <w:tc>
          <w:tcPr>
            <w:tcW w:w="2186" w:type="dxa"/>
            <w:tcBorders>
              <w:tl2br w:val="nil"/>
              <w:tr2bl w:val="nil"/>
            </w:tcBorders>
            <w:vAlign w:val="center"/>
          </w:tcPr>
          <w:p w14:paraId="5D6E7E04">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TAS-990</w:t>
            </w:r>
          </w:p>
          <w:p w14:paraId="1385B4BC">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原子吸收分光光度计</w:t>
            </w:r>
          </w:p>
        </w:tc>
        <w:tc>
          <w:tcPr>
            <w:tcW w:w="1368" w:type="dxa"/>
            <w:tcBorders>
              <w:tl2br w:val="nil"/>
              <w:tr2bl w:val="nil"/>
            </w:tcBorders>
            <w:vAlign w:val="center"/>
          </w:tcPr>
          <w:p w14:paraId="7760BE9E">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0.001mg/L</w:t>
            </w:r>
          </w:p>
        </w:tc>
      </w:tr>
      <w:tr w14:paraId="70DB1E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69C9B364">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5912E413">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锌</w:t>
            </w:r>
          </w:p>
        </w:tc>
        <w:tc>
          <w:tcPr>
            <w:tcW w:w="3806" w:type="dxa"/>
            <w:tcBorders>
              <w:tl2br w:val="nil"/>
              <w:tr2bl w:val="nil"/>
            </w:tcBorders>
            <w:vAlign w:val="center"/>
          </w:tcPr>
          <w:p w14:paraId="304EEFFF">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《水质 铜、锌、铅、镉的测定 原子吸收分光光度法》（第一部分 直接法）</w:t>
            </w:r>
          </w:p>
          <w:p w14:paraId="7B489E57">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GB 7475-1987</w:t>
            </w:r>
          </w:p>
        </w:tc>
        <w:tc>
          <w:tcPr>
            <w:tcW w:w="2186" w:type="dxa"/>
            <w:tcBorders>
              <w:tl2br w:val="nil"/>
              <w:tr2bl w:val="nil"/>
            </w:tcBorders>
            <w:vAlign w:val="center"/>
          </w:tcPr>
          <w:p w14:paraId="74282CAB">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TAS-990</w:t>
            </w:r>
          </w:p>
          <w:p w14:paraId="20A32E20">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原子吸收分光光度计</w:t>
            </w:r>
          </w:p>
        </w:tc>
        <w:tc>
          <w:tcPr>
            <w:tcW w:w="1368" w:type="dxa"/>
            <w:tcBorders>
              <w:tl2br w:val="nil"/>
              <w:tr2bl w:val="nil"/>
            </w:tcBorders>
            <w:vAlign w:val="center"/>
          </w:tcPr>
          <w:p w14:paraId="725F3848">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0.05mg/L</w:t>
            </w:r>
          </w:p>
        </w:tc>
      </w:tr>
      <w:tr w14:paraId="58DF62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43988520">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5AF74197">
            <w:pPr>
              <w:spacing w:line="2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铅</w:t>
            </w:r>
          </w:p>
        </w:tc>
        <w:tc>
          <w:tcPr>
            <w:tcW w:w="3806" w:type="dxa"/>
            <w:tcBorders>
              <w:tl2br w:val="nil"/>
              <w:tr2bl w:val="nil"/>
            </w:tcBorders>
            <w:vAlign w:val="center"/>
          </w:tcPr>
          <w:p w14:paraId="0221CDDD">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《水和废水监测分析方法》（第四版</w:t>
            </w:r>
          </w:p>
          <w:p w14:paraId="1902357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增补版）国家环境保护总局（2002）</w:t>
            </w:r>
          </w:p>
          <w:p w14:paraId="26B7728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石墨炉原子吸收法</w:t>
            </w:r>
          </w:p>
        </w:tc>
        <w:tc>
          <w:tcPr>
            <w:tcW w:w="2186" w:type="dxa"/>
            <w:tcBorders>
              <w:tl2br w:val="nil"/>
              <w:tr2bl w:val="nil"/>
            </w:tcBorders>
            <w:vAlign w:val="center"/>
          </w:tcPr>
          <w:p w14:paraId="752BD111">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AA</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-6880</w:t>
            </w:r>
          </w:p>
          <w:p w14:paraId="05D8495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原子吸收分光光度计</w:t>
            </w:r>
          </w:p>
        </w:tc>
        <w:tc>
          <w:tcPr>
            <w:tcW w:w="1368" w:type="dxa"/>
            <w:tcBorders>
              <w:tl2br w:val="nil"/>
              <w:tr2bl w:val="nil"/>
            </w:tcBorders>
            <w:vAlign w:val="center"/>
          </w:tcPr>
          <w:p w14:paraId="49D93A3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0.001mg/L</w:t>
            </w:r>
          </w:p>
        </w:tc>
      </w:tr>
      <w:tr w14:paraId="1634E3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71EFED57">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3CF3FD56">
            <w:pPr>
              <w:spacing w:line="2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镉</w:t>
            </w:r>
          </w:p>
        </w:tc>
        <w:tc>
          <w:tcPr>
            <w:tcW w:w="3806" w:type="dxa"/>
            <w:tcBorders>
              <w:tl2br w:val="nil"/>
              <w:tr2bl w:val="nil"/>
            </w:tcBorders>
            <w:vAlign w:val="center"/>
          </w:tcPr>
          <w:p w14:paraId="154351A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《水和废水监测分析方法》（第四版</w:t>
            </w:r>
          </w:p>
          <w:p w14:paraId="11E0EB44">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增补版）国家环境保护总局（2002）</w:t>
            </w:r>
          </w:p>
          <w:p w14:paraId="0E16DF03">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石墨炉原子吸收法</w:t>
            </w:r>
          </w:p>
        </w:tc>
        <w:tc>
          <w:tcPr>
            <w:tcW w:w="2186" w:type="dxa"/>
            <w:tcBorders>
              <w:tl2br w:val="nil"/>
              <w:tr2bl w:val="nil"/>
            </w:tcBorders>
            <w:vAlign w:val="center"/>
          </w:tcPr>
          <w:p w14:paraId="777B2F09">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AA</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-6880</w:t>
            </w:r>
          </w:p>
          <w:p w14:paraId="3007FD5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原子吸收分光光度计</w:t>
            </w:r>
          </w:p>
        </w:tc>
        <w:tc>
          <w:tcPr>
            <w:tcW w:w="1368" w:type="dxa"/>
            <w:tcBorders>
              <w:tl2br w:val="nil"/>
              <w:tr2bl w:val="nil"/>
            </w:tcBorders>
            <w:vAlign w:val="center"/>
          </w:tcPr>
          <w:p w14:paraId="3549EE4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0.0001mg/L</w:t>
            </w:r>
          </w:p>
        </w:tc>
      </w:tr>
      <w:tr w14:paraId="5A2A8B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35DD4158">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78BE0498">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阴离子表面活性剂</w:t>
            </w:r>
          </w:p>
        </w:tc>
        <w:tc>
          <w:tcPr>
            <w:tcW w:w="3806" w:type="dxa"/>
            <w:tcBorders>
              <w:tl2br w:val="nil"/>
              <w:tr2bl w:val="nil"/>
            </w:tcBorders>
            <w:vAlign w:val="center"/>
          </w:tcPr>
          <w:p w14:paraId="0E623A9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eastAsia="zh-CN"/>
              </w:rPr>
              <w:t>水质 阴离子表面活性剂的测定</w:t>
            </w:r>
          </w:p>
          <w:p w14:paraId="5254531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eastAsia="zh-CN"/>
              </w:rPr>
              <w:t>亚甲蓝分光光度法》GB 7494-</w:t>
            </w:r>
            <w:r>
              <w:rPr>
                <w:rFonts w:hint="default" w:ascii="Times New Roman" w:hAnsi="Times New Roman" w:eastAsia="宋体" w:cs="Times New Roman"/>
                <w:sz w:val="21"/>
                <w:szCs w:val="21"/>
                <w:lang w:val="en-US" w:eastAsia="zh-CN"/>
              </w:rPr>
              <w:t>19</w:t>
            </w:r>
            <w:r>
              <w:rPr>
                <w:rFonts w:hint="default" w:ascii="Times New Roman" w:hAnsi="Times New Roman" w:eastAsia="宋体" w:cs="Times New Roman"/>
                <w:sz w:val="21"/>
                <w:szCs w:val="21"/>
                <w:lang w:eastAsia="zh-CN"/>
              </w:rPr>
              <w:t>87</w:t>
            </w:r>
          </w:p>
        </w:tc>
        <w:tc>
          <w:tcPr>
            <w:tcW w:w="2186" w:type="dxa"/>
            <w:tcBorders>
              <w:tl2br w:val="nil"/>
              <w:tr2bl w:val="nil"/>
            </w:tcBorders>
            <w:vAlign w:val="center"/>
          </w:tcPr>
          <w:p w14:paraId="32BF0804">
            <w:pPr>
              <w:keepNext w:val="0"/>
              <w:keepLines w:val="0"/>
              <w:pageBreakBefore w:val="0"/>
              <w:widowControl/>
              <w:kinsoku/>
              <w:wordWrap/>
              <w:overflowPunct/>
              <w:topLinePunct w:val="0"/>
              <w:autoSpaceDE/>
              <w:autoSpaceDN/>
              <w:bidi w:val="0"/>
              <w:adjustRightInd/>
              <w:snapToGrid/>
              <w:spacing w:line="240" w:lineRule="auto"/>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SP-722</w:t>
            </w:r>
          </w:p>
          <w:p w14:paraId="5E4D29E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可见分光光度计</w:t>
            </w:r>
          </w:p>
        </w:tc>
        <w:tc>
          <w:tcPr>
            <w:tcW w:w="1368" w:type="dxa"/>
            <w:tcBorders>
              <w:tl2br w:val="nil"/>
              <w:tr2bl w:val="nil"/>
            </w:tcBorders>
            <w:vAlign w:val="center"/>
          </w:tcPr>
          <w:p w14:paraId="303AD18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0.05mg/L</w:t>
            </w:r>
          </w:p>
        </w:tc>
      </w:tr>
      <w:tr w14:paraId="5DC4FA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0998F85F">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3FBB3C3B">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硫化物</w:t>
            </w:r>
          </w:p>
        </w:tc>
        <w:tc>
          <w:tcPr>
            <w:tcW w:w="3806" w:type="dxa"/>
            <w:tcBorders>
              <w:tl2br w:val="nil"/>
              <w:tr2bl w:val="nil"/>
            </w:tcBorders>
            <w:vAlign w:val="center"/>
          </w:tcPr>
          <w:p w14:paraId="124A7B53">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《水质 硫化物的测定 亚甲基蓝分光光度法》HJ 1226-2021</w:t>
            </w:r>
          </w:p>
        </w:tc>
        <w:tc>
          <w:tcPr>
            <w:tcW w:w="2186" w:type="dxa"/>
            <w:tcBorders>
              <w:tl2br w:val="nil"/>
              <w:tr2bl w:val="nil"/>
            </w:tcBorders>
            <w:vAlign w:val="center"/>
          </w:tcPr>
          <w:p w14:paraId="66A5A763">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SP-722</w:t>
            </w:r>
          </w:p>
          <w:p w14:paraId="0B82281A">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可见分光光度计</w:t>
            </w:r>
          </w:p>
        </w:tc>
        <w:tc>
          <w:tcPr>
            <w:tcW w:w="1368" w:type="dxa"/>
            <w:tcBorders>
              <w:tl2br w:val="nil"/>
              <w:tr2bl w:val="nil"/>
            </w:tcBorders>
            <w:vAlign w:val="center"/>
          </w:tcPr>
          <w:p w14:paraId="2BF4F907">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0.01mg/L</w:t>
            </w:r>
          </w:p>
        </w:tc>
      </w:tr>
      <w:tr w14:paraId="1E2757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20F72AD0">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6138E0C4">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锰</w:t>
            </w:r>
          </w:p>
        </w:tc>
        <w:tc>
          <w:tcPr>
            <w:tcW w:w="3806" w:type="dxa"/>
            <w:tcBorders>
              <w:tl2br w:val="nil"/>
              <w:tr2bl w:val="nil"/>
            </w:tcBorders>
            <w:vAlign w:val="center"/>
          </w:tcPr>
          <w:p w14:paraId="109C077B">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《水质 铁、锰的测定 火焰原子吸收分光光度法》GB 11911-1989</w:t>
            </w:r>
          </w:p>
        </w:tc>
        <w:tc>
          <w:tcPr>
            <w:tcW w:w="2186" w:type="dxa"/>
            <w:tcBorders>
              <w:tl2br w:val="nil"/>
              <w:tr2bl w:val="nil"/>
            </w:tcBorders>
            <w:vAlign w:val="center"/>
          </w:tcPr>
          <w:p w14:paraId="453C51D4">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AA</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-6880</w:t>
            </w:r>
          </w:p>
          <w:p w14:paraId="4BF2D55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原子吸收分光光度计</w:t>
            </w:r>
          </w:p>
        </w:tc>
        <w:tc>
          <w:tcPr>
            <w:tcW w:w="1368" w:type="dxa"/>
            <w:tcBorders>
              <w:tl2br w:val="nil"/>
              <w:tr2bl w:val="nil"/>
            </w:tcBorders>
            <w:vAlign w:val="center"/>
          </w:tcPr>
          <w:p w14:paraId="79F904C2">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0.01mg/L</w:t>
            </w:r>
          </w:p>
        </w:tc>
      </w:tr>
      <w:tr w14:paraId="7F48CE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246F4EE7">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393A34CC">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铁</w:t>
            </w:r>
          </w:p>
        </w:tc>
        <w:tc>
          <w:tcPr>
            <w:tcW w:w="3806" w:type="dxa"/>
            <w:tcBorders>
              <w:tl2br w:val="nil"/>
              <w:tr2bl w:val="nil"/>
            </w:tcBorders>
            <w:vAlign w:val="center"/>
          </w:tcPr>
          <w:p w14:paraId="04519D93">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《水质 铁、锰的测定 火焰原子吸收分光光度法》GB 11911-1989</w:t>
            </w:r>
          </w:p>
        </w:tc>
        <w:tc>
          <w:tcPr>
            <w:tcW w:w="2186" w:type="dxa"/>
            <w:tcBorders>
              <w:tl2br w:val="nil"/>
              <w:tr2bl w:val="nil"/>
            </w:tcBorders>
            <w:vAlign w:val="center"/>
          </w:tcPr>
          <w:p w14:paraId="47E70705">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AA</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-6880</w:t>
            </w:r>
          </w:p>
          <w:p w14:paraId="4ED6A9F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原子吸收分光光度计</w:t>
            </w:r>
          </w:p>
        </w:tc>
        <w:tc>
          <w:tcPr>
            <w:tcW w:w="1368" w:type="dxa"/>
            <w:tcBorders>
              <w:tl2br w:val="nil"/>
              <w:tr2bl w:val="nil"/>
            </w:tcBorders>
            <w:vAlign w:val="center"/>
          </w:tcPr>
          <w:p w14:paraId="113D0153">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0.03mg/L</w:t>
            </w:r>
          </w:p>
        </w:tc>
      </w:tr>
      <w:tr w14:paraId="587102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466210FC">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0D088488">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悬浮物</w:t>
            </w:r>
          </w:p>
        </w:tc>
        <w:tc>
          <w:tcPr>
            <w:tcW w:w="3806" w:type="dxa"/>
            <w:tcBorders>
              <w:tl2br w:val="nil"/>
              <w:tr2bl w:val="nil"/>
            </w:tcBorders>
            <w:vAlign w:val="center"/>
          </w:tcPr>
          <w:p w14:paraId="1FFDCCB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悬浮物的测定 重量法》</w:t>
            </w:r>
          </w:p>
          <w:p w14:paraId="5370A5C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GB 11901-1989</w:t>
            </w:r>
          </w:p>
        </w:tc>
        <w:tc>
          <w:tcPr>
            <w:tcW w:w="2186" w:type="dxa"/>
            <w:tcBorders>
              <w:tl2br w:val="nil"/>
              <w:tr2bl w:val="nil"/>
            </w:tcBorders>
            <w:vAlign w:val="center"/>
          </w:tcPr>
          <w:p w14:paraId="4AB333D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PR224ZH/E</w:t>
            </w:r>
          </w:p>
          <w:p w14:paraId="2167AA7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 xml:space="preserve"> 万分之一天平</w:t>
            </w:r>
          </w:p>
        </w:tc>
        <w:tc>
          <w:tcPr>
            <w:tcW w:w="1368" w:type="dxa"/>
            <w:tcBorders>
              <w:tl2br w:val="nil"/>
              <w:tr2bl w:val="nil"/>
            </w:tcBorders>
            <w:vAlign w:val="center"/>
          </w:tcPr>
          <w:p w14:paraId="63BDE6D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4mg/L</w:t>
            </w:r>
          </w:p>
        </w:tc>
      </w:tr>
      <w:tr w14:paraId="1741A0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5B9D619C">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19B9D78A">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总磷</w:t>
            </w:r>
          </w:p>
        </w:tc>
        <w:tc>
          <w:tcPr>
            <w:tcW w:w="3806" w:type="dxa"/>
            <w:tcBorders>
              <w:tl2br w:val="nil"/>
              <w:tr2bl w:val="nil"/>
            </w:tcBorders>
            <w:vAlign w:val="center"/>
          </w:tcPr>
          <w:p w14:paraId="5823B37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《水质 总磷的测定 钼酸铵分光光度法》GB/T 11893-1989</w:t>
            </w:r>
          </w:p>
        </w:tc>
        <w:tc>
          <w:tcPr>
            <w:tcW w:w="2186" w:type="dxa"/>
            <w:tcBorders>
              <w:tl2br w:val="nil"/>
              <w:tr2bl w:val="nil"/>
            </w:tcBorders>
            <w:vAlign w:val="center"/>
          </w:tcPr>
          <w:p w14:paraId="4CDFCC16">
            <w:pPr>
              <w:keepNext w:val="0"/>
              <w:keepLines w:val="0"/>
              <w:pageBreakBefore w:val="0"/>
              <w:widowControl/>
              <w:suppressLineNumbers w:val="0"/>
              <w:kinsoku/>
              <w:wordWrap/>
              <w:overflowPunct/>
              <w:topLinePunct w:val="0"/>
              <w:autoSpaceDE/>
              <w:autoSpaceDN/>
              <w:bidi w:val="0"/>
              <w:adjustRightInd/>
              <w:snapToGrid/>
              <w:spacing w:line="240" w:lineRule="auto"/>
              <w:ind w:left="-42" w:leftChars="-20" w:right="-42" w:rightChars="-2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SP-722</w:t>
            </w:r>
          </w:p>
          <w:p w14:paraId="4FB8E9B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可见分光光度计</w:t>
            </w:r>
          </w:p>
        </w:tc>
        <w:tc>
          <w:tcPr>
            <w:tcW w:w="1368" w:type="dxa"/>
            <w:tcBorders>
              <w:tl2br w:val="nil"/>
              <w:tr2bl w:val="nil"/>
            </w:tcBorders>
            <w:vAlign w:val="center"/>
          </w:tcPr>
          <w:p w14:paraId="69A067C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0.01mg/L</w:t>
            </w:r>
          </w:p>
        </w:tc>
      </w:tr>
      <w:tr w14:paraId="05AAEC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1414AE5E">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7632D717">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总氮</w:t>
            </w:r>
          </w:p>
        </w:tc>
        <w:tc>
          <w:tcPr>
            <w:tcW w:w="3806" w:type="dxa"/>
            <w:tcBorders>
              <w:tl2br w:val="nil"/>
              <w:tr2bl w:val="nil"/>
            </w:tcBorders>
            <w:vAlign w:val="center"/>
          </w:tcPr>
          <w:p w14:paraId="18DFA340">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总氮的测定 碱性过硫酸钾消解</w:t>
            </w:r>
          </w:p>
          <w:p w14:paraId="1EC39AE0">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紫外分光光度法》HJ 636-2012</w:t>
            </w:r>
          </w:p>
        </w:tc>
        <w:tc>
          <w:tcPr>
            <w:tcW w:w="2186" w:type="dxa"/>
            <w:tcBorders>
              <w:tl2br w:val="nil"/>
              <w:tr2bl w:val="nil"/>
            </w:tcBorders>
            <w:vAlign w:val="center"/>
          </w:tcPr>
          <w:p w14:paraId="2676F896">
            <w:pPr>
              <w:keepNext w:val="0"/>
              <w:keepLines w:val="0"/>
              <w:pageBreakBefore w:val="0"/>
              <w:widowControl/>
              <w:suppressLineNumbers w:val="0"/>
              <w:kinsoku/>
              <w:wordWrap/>
              <w:overflowPunct/>
              <w:topLinePunct w:val="0"/>
              <w:autoSpaceDE/>
              <w:autoSpaceDN/>
              <w:bidi w:val="0"/>
              <w:adjustRightInd/>
              <w:snapToGrid/>
              <w:spacing w:line="240" w:lineRule="auto"/>
              <w:ind w:left="-42" w:leftChars="-20" w:right="-42" w:rightChars="-20"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SP-752</w:t>
            </w:r>
          </w:p>
          <w:p w14:paraId="7D41DCD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eastAsia="zh-CN"/>
              </w:rPr>
              <w:t>紫外分光光度计</w:t>
            </w:r>
          </w:p>
        </w:tc>
        <w:tc>
          <w:tcPr>
            <w:tcW w:w="1368" w:type="dxa"/>
            <w:tcBorders>
              <w:tl2br w:val="nil"/>
              <w:tr2bl w:val="nil"/>
            </w:tcBorders>
            <w:vAlign w:val="center"/>
          </w:tcPr>
          <w:p w14:paraId="4A289397">
            <w:pPr>
              <w:widowControl/>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0.05mg/L</w:t>
            </w:r>
          </w:p>
        </w:tc>
      </w:tr>
      <w:tr w14:paraId="3833AA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2BEE7278">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16561A10">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硫酸盐</w:t>
            </w:r>
          </w:p>
        </w:tc>
        <w:tc>
          <w:tcPr>
            <w:tcW w:w="3806" w:type="dxa"/>
            <w:tcBorders>
              <w:tl2br w:val="nil"/>
              <w:tr2bl w:val="nil"/>
            </w:tcBorders>
            <w:vAlign w:val="center"/>
          </w:tcPr>
          <w:p w14:paraId="0A56EEA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《水质 无机阴离子（F</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 xml:space="preserve"> 、Cl</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、NO</w:t>
            </w:r>
            <w:r>
              <w:rPr>
                <w:rFonts w:hint="default" w:ascii="Times New Roman" w:hAnsi="Times New Roman" w:eastAsia="宋体" w:cs="Times New Roman"/>
                <w:color w:val="000000" w:themeColor="text1"/>
                <w:sz w:val="21"/>
                <w:szCs w:val="21"/>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、Br</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、NO</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、PO</w:t>
            </w:r>
            <w:r>
              <w:rPr>
                <w:rFonts w:hint="default" w:ascii="Times New Roman" w:hAnsi="Times New Roman" w:eastAsia="宋体" w:cs="Times New Roman"/>
                <w:color w:val="000000" w:themeColor="text1"/>
                <w:sz w:val="21"/>
                <w:szCs w:val="21"/>
                <w:vertAlign w:val="subscript"/>
                <w14:textFill>
                  <w14:solidFill>
                    <w14:schemeClr w14:val="tx1"/>
                  </w14:solidFill>
                </w14:textFill>
              </w:rPr>
              <w:t>4</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、SO</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、SO</w:t>
            </w:r>
            <w:r>
              <w:rPr>
                <w:rFonts w:hint="default" w:ascii="Times New Roman" w:hAnsi="Times New Roman" w:eastAsia="宋体" w:cs="Times New Roman"/>
                <w:color w:val="000000" w:themeColor="text1"/>
                <w:sz w:val="21"/>
                <w:szCs w:val="21"/>
                <w:vertAlign w:val="subscript"/>
                <w14:textFill>
                  <w14:solidFill>
                    <w14:schemeClr w14:val="tx1"/>
                  </w14:solidFill>
                </w14:textFill>
              </w:rPr>
              <w:t>4</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）的测定</w:t>
            </w:r>
          </w:p>
          <w:p w14:paraId="6F3334C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离子色谱法》HJ 84-2016</w:t>
            </w:r>
          </w:p>
        </w:tc>
        <w:tc>
          <w:tcPr>
            <w:tcW w:w="2186" w:type="dxa"/>
            <w:tcBorders>
              <w:tl2br w:val="nil"/>
              <w:tr2bl w:val="nil"/>
            </w:tcBorders>
            <w:vAlign w:val="center"/>
          </w:tcPr>
          <w:p w14:paraId="27BEAAD9">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CIC-D1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0离子色谱仪</w:t>
            </w:r>
          </w:p>
        </w:tc>
        <w:tc>
          <w:tcPr>
            <w:tcW w:w="1368" w:type="dxa"/>
            <w:tcBorders>
              <w:tl2br w:val="nil"/>
              <w:tr2bl w:val="nil"/>
            </w:tcBorders>
            <w:vAlign w:val="center"/>
          </w:tcPr>
          <w:p w14:paraId="01549993">
            <w:pPr>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0.018</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mg/L</w:t>
            </w:r>
          </w:p>
        </w:tc>
      </w:tr>
      <w:tr w14:paraId="0B577F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0A3D4B70">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54B8351D">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氯化物</w:t>
            </w:r>
          </w:p>
        </w:tc>
        <w:tc>
          <w:tcPr>
            <w:tcW w:w="3806" w:type="dxa"/>
            <w:tcBorders>
              <w:tl2br w:val="nil"/>
              <w:tr2bl w:val="nil"/>
            </w:tcBorders>
            <w:vAlign w:val="center"/>
          </w:tcPr>
          <w:p w14:paraId="66E4807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《水质 无机阴离子（F</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 xml:space="preserve"> 、Cl</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、NO</w:t>
            </w:r>
            <w:r>
              <w:rPr>
                <w:rFonts w:hint="default" w:ascii="Times New Roman" w:hAnsi="Times New Roman" w:eastAsia="宋体" w:cs="Times New Roman"/>
                <w:color w:val="000000" w:themeColor="text1"/>
                <w:sz w:val="21"/>
                <w:szCs w:val="21"/>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、Br</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、NO</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、PO</w:t>
            </w:r>
            <w:r>
              <w:rPr>
                <w:rFonts w:hint="default" w:ascii="Times New Roman" w:hAnsi="Times New Roman" w:eastAsia="宋体" w:cs="Times New Roman"/>
                <w:color w:val="000000" w:themeColor="text1"/>
                <w:sz w:val="21"/>
                <w:szCs w:val="21"/>
                <w:vertAlign w:val="subscript"/>
                <w14:textFill>
                  <w14:solidFill>
                    <w14:schemeClr w14:val="tx1"/>
                  </w14:solidFill>
                </w14:textFill>
              </w:rPr>
              <w:t>4</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、SO</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、SO</w:t>
            </w:r>
            <w:r>
              <w:rPr>
                <w:rFonts w:hint="default" w:ascii="Times New Roman" w:hAnsi="Times New Roman" w:eastAsia="宋体" w:cs="Times New Roman"/>
                <w:color w:val="000000" w:themeColor="text1"/>
                <w:sz w:val="21"/>
                <w:szCs w:val="21"/>
                <w:vertAlign w:val="subscript"/>
                <w14:textFill>
                  <w14:solidFill>
                    <w14:schemeClr w14:val="tx1"/>
                  </w14:solidFill>
                </w14:textFill>
              </w:rPr>
              <w:t>4</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）的测定</w:t>
            </w:r>
          </w:p>
          <w:p w14:paraId="64F28A0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离子色谱法》 HJ 84-2016</w:t>
            </w:r>
          </w:p>
        </w:tc>
        <w:tc>
          <w:tcPr>
            <w:tcW w:w="2186" w:type="dxa"/>
            <w:tcBorders>
              <w:tl2br w:val="nil"/>
              <w:tr2bl w:val="nil"/>
            </w:tcBorders>
            <w:vAlign w:val="center"/>
          </w:tcPr>
          <w:p w14:paraId="6B7028DA">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CIC-D1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0离子色谱仪</w:t>
            </w:r>
          </w:p>
        </w:tc>
        <w:tc>
          <w:tcPr>
            <w:tcW w:w="1368" w:type="dxa"/>
            <w:tcBorders>
              <w:tl2br w:val="nil"/>
              <w:tr2bl w:val="nil"/>
            </w:tcBorders>
            <w:vAlign w:val="center"/>
          </w:tcPr>
          <w:p w14:paraId="48ABC886">
            <w:pPr>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0.007</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mg/L</w:t>
            </w:r>
          </w:p>
        </w:tc>
      </w:tr>
      <w:tr w14:paraId="79EB05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42B805AA">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0731D14D">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硝酸盐氮</w:t>
            </w:r>
          </w:p>
          <w:p w14:paraId="780B4920">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(以N计)</w:t>
            </w:r>
          </w:p>
        </w:tc>
        <w:tc>
          <w:tcPr>
            <w:tcW w:w="3806" w:type="dxa"/>
            <w:tcBorders>
              <w:tl2br w:val="nil"/>
              <w:tr2bl w:val="nil"/>
            </w:tcBorders>
            <w:vAlign w:val="center"/>
          </w:tcPr>
          <w:p w14:paraId="537DB6C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《水质 无机阴离子（F</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 xml:space="preserve"> 、Cl</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、Br</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、PO</w:t>
            </w:r>
            <w:r>
              <w:rPr>
                <w:rFonts w:hint="default" w:ascii="Times New Roman" w:hAnsi="Times New Roman" w:eastAsia="宋体" w:cs="Times New Roman"/>
                <w:color w:val="auto"/>
                <w:sz w:val="21"/>
                <w:szCs w:val="21"/>
                <w:vertAlign w:val="subscript"/>
              </w:rPr>
              <w:t>4</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4</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）的测定</w:t>
            </w:r>
          </w:p>
          <w:p w14:paraId="1AC9750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离子色谱法》HJ 84-2016</w:t>
            </w:r>
          </w:p>
        </w:tc>
        <w:tc>
          <w:tcPr>
            <w:tcW w:w="2186" w:type="dxa"/>
            <w:tcBorders>
              <w:tl2br w:val="nil"/>
              <w:tr2bl w:val="nil"/>
            </w:tcBorders>
            <w:vAlign w:val="center"/>
          </w:tcPr>
          <w:p w14:paraId="1054F0A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CIC-D1</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0离子色谱仪</w:t>
            </w:r>
          </w:p>
        </w:tc>
        <w:tc>
          <w:tcPr>
            <w:tcW w:w="1368" w:type="dxa"/>
            <w:tcBorders>
              <w:tl2br w:val="nil"/>
              <w:tr2bl w:val="nil"/>
            </w:tcBorders>
            <w:vAlign w:val="center"/>
          </w:tcPr>
          <w:p w14:paraId="0BB34A6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0.004</w:t>
            </w:r>
            <w:r>
              <w:rPr>
                <w:rFonts w:hint="default" w:ascii="Times New Roman" w:hAnsi="Times New Roman" w:eastAsia="宋体" w:cs="Times New Roman"/>
                <w:color w:val="auto"/>
                <w:sz w:val="21"/>
                <w:szCs w:val="21"/>
                <w:lang w:val="en-US" w:eastAsia="zh-CN"/>
              </w:rPr>
              <w:t>mg/L</w:t>
            </w:r>
          </w:p>
        </w:tc>
      </w:tr>
      <w:tr w14:paraId="5AD847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2CA042A9">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67268825">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氰化物</w:t>
            </w:r>
          </w:p>
        </w:tc>
        <w:tc>
          <w:tcPr>
            <w:tcW w:w="3806" w:type="dxa"/>
            <w:tcBorders>
              <w:tl2br w:val="nil"/>
              <w:tr2bl w:val="nil"/>
            </w:tcBorders>
            <w:vAlign w:val="center"/>
          </w:tcPr>
          <w:p w14:paraId="0B2C97F4">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水质 氰化物的测定 容量法和分光</w:t>
            </w:r>
          </w:p>
          <w:p w14:paraId="5C554D1A">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光度法</w:t>
            </w:r>
            <w:r>
              <w:rPr>
                <w:rFonts w:hint="default" w:ascii="Times New Roman" w:hAnsi="Times New Roman" w:eastAsia="宋体" w:cs="Times New Roman"/>
                <w:sz w:val="21"/>
                <w:szCs w:val="21"/>
                <w:lang w:eastAsia="zh-CN"/>
              </w:rPr>
              <w:t>》（异烟酸</w:t>
            </w:r>
            <w:r>
              <w:rPr>
                <w:rFonts w:hint="default" w:ascii="Times New Roman" w:hAnsi="Times New Roman" w:eastAsia="宋体" w:cs="Times New Roman"/>
                <w:sz w:val="21"/>
                <w:szCs w:val="21"/>
                <w:lang w:val="en-US" w:eastAsia="zh-CN"/>
              </w:rPr>
              <w:t>-吡唑啉酮分光光度法）</w:t>
            </w:r>
            <w:r>
              <w:rPr>
                <w:rFonts w:hint="default" w:ascii="Times New Roman" w:hAnsi="Times New Roman" w:eastAsia="宋体" w:cs="Times New Roman"/>
                <w:sz w:val="21"/>
                <w:szCs w:val="21"/>
              </w:rPr>
              <w:t>HJ 484-2009</w:t>
            </w:r>
          </w:p>
        </w:tc>
        <w:tc>
          <w:tcPr>
            <w:tcW w:w="2186" w:type="dxa"/>
            <w:tcBorders>
              <w:tl2br w:val="nil"/>
              <w:tr2bl w:val="nil"/>
            </w:tcBorders>
            <w:vAlign w:val="center"/>
          </w:tcPr>
          <w:p w14:paraId="535D8F91">
            <w:pPr>
              <w:keepNext w:val="0"/>
              <w:keepLines w:val="0"/>
              <w:pageBreakBefore w:val="0"/>
              <w:widowControl/>
              <w:kinsoku/>
              <w:wordWrap/>
              <w:overflowPunct/>
              <w:topLinePunct w:val="0"/>
              <w:autoSpaceDE/>
              <w:autoSpaceDN/>
              <w:bidi w:val="0"/>
              <w:adjustRightInd/>
              <w:snapToGrid/>
              <w:spacing w:line="240" w:lineRule="auto"/>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SP-722</w:t>
            </w:r>
          </w:p>
          <w:p w14:paraId="4CB65992">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可见分光光度计</w:t>
            </w:r>
          </w:p>
        </w:tc>
        <w:tc>
          <w:tcPr>
            <w:tcW w:w="1368" w:type="dxa"/>
            <w:tcBorders>
              <w:tl2br w:val="nil"/>
              <w:tr2bl w:val="nil"/>
            </w:tcBorders>
            <w:vAlign w:val="center"/>
          </w:tcPr>
          <w:p w14:paraId="78DB9A3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0.004mg/L</w:t>
            </w:r>
          </w:p>
        </w:tc>
      </w:tr>
      <w:tr w14:paraId="1E0703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406D71D8">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4BF35C60">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叶绿素a</w:t>
            </w:r>
          </w:p>
        </w:tc>
        <w:tc>
          <w:tcPr>
            <w:tcW w:w="3806" w:type="dxa"/>
            <w:tcBorders>
              <w:tl2br w:val="nil"/>
              <w:tr2bl w:val="nil"/>
            </w:tcBorders>
            <w:vAlign w:val="center"/>
          </w:tcPr>
          <w:p w14:paraId="7BCE5578">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叶绿素的测定 分光光度法》</w:t>
            </w:r>
          </w:p>
          <w:p w14:paraId="45AFEA8C">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SL 88-2012</w:t>
            </w:r>
          </w:p>
        </w:tc>
        <w:tc>
          <w:tcPr>
            <w:tcW w:w="2186" w:type="dxa"/>
            <w:tcBorders>
              <w:tl2br w:val="nil"/>
              <w:tr2bl w:val="nil"/>
            </w:tcBorders>
            <w:vAlign w:val="center"/>
          </w:tcPr>
          <w:p w14:paraId="70168880">
            <w:pPr>
              <w:keepNext w:val="0"/>
              <w:keepLines w:val="0"/>
              <w:pageBreakBefore w:val="0"/>
              <w:widowControl/>
              <w:kinsoku/>
              <w:wordWrap/>
              <w:overflowPunct/>
              <w:topLinePunct w:val="0"/>
              <w:autoSpaceDE/>
              <w:autoSpaceDN/>
              <w:bidi w:val="0"/>
              <w:adjustRightInd/>
              <w:snapToGrid/>
              <w:spacing w:line="240" w:lineRule="auto"/>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SP-722</w:t>
            </w:r>
          </w:p>
          <w:p w14:paraId="3045F27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kern w:val="2"/>
                <w:sz w:val="21"/>
                <w:szCs w:val="21"/>
                <w:lang w:val="en-US" w:eastAsia="zh-CN" w:bidi="ar-SA"/>
              </w:rPr>
              <w:t>可见分光光度计</w:t>
            </w:r>
          </w:p>
        </w:tc>
        <w:tc>
          <w:tcPr>
            <w:tcW w:w="1368" w:type="dxa"/>
            <w:tcBorders>
              <w:tl2br w:val="nil"/>
              <w:tr2bl w:val="nil"/>
            </w:tcBorders>
            <w:vAlign w:val="center"/>
          </w:tcPr>
          <w:p w14:paraId="3AA62DD2">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w:t>
            </w:r>
            <w:r>
              <w:rPr>
                <w:rFonts w:hint="default" w:ascii="Times New Roman" w:hAnsi="Times New Roman" w:eastAsia="宋体" w:cs="Times New Roman"/>
                <w:sz w:val="21"/>
                <w:szCs w:val="21"/>
                <w:lang w:val="en-US" w:eastAsia="zh-CN"/>
              </w:rPr>
              <w:t>000</w:t>
            </w:r>
            <w:r>
              <w:rPr>
                <w:rFonts w:hint="default" w:ascii="Times New Roman" w:hAnsi="Times New Roman" w:eastAsia="宋体" w:cs="Times New Roman"/>
                <w:sz w:val="21"/>
                <w:szCs w:val="21"/>
              </w:rPr>
              <w:t>11</w:t>
            </w:r>
            <w:r>
              <w:rPr>
                <w:rFonts w:hint="default" w:ascii="Times New Roman" w:hAnsi="Times New Roman" w:eastAsia="宋体" w:cs="Times New Roman"/>
                <w:sz w:val="21"/>
                <w:szCs w:val="21"/>
                <w:lang w:val="en-US" w:eastAsia="zh-CN"/>
              </w:rPr>
              <w:t>mg/L</w:t>
            </w:r>
          </w:p>
        </w:tc>
      </w:tr>
      <w:tr w14:paraId="2C7E2F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55FB4EB1">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73E1B311">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透明度</w:t>
            </w:r>
          </w:p>
        </w:tc>
        <w:tc>
          <w:tcPr>
            <w:tcW w:w="3806" w:type="dxa"/>
            <w:tcBorders>
              <w:tl2br w:val="nil"/>
              <w:tr2bl w:val="nil"/>
            </w:tcBorders>
            <w:vAlign w:val="center"/>
          </w:tcPr>
          <w:p w14:paraId="0C792AD3">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《透明度的测定 (透明度计法、圆盘法)》 SL 87-1994</w:t>
            </w:r>
          </w:p>
        </w:tc>
        <w:tc>
          <w:tcPr>
            <w:tcW w:w="2186" w:type="dxa"/>
            <w:tcBorders>
              <w:tl2br w:val="nil"/>
              <w:tr2bl w:val="nil"/>
            </w:tcBorders>
            <w:vAlign w:val="center"/>
          </w:tcPr>
          <w:p w14:paraId="79777DB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塞氏圆盘</w:t>
            </w:r>
          </w:p>
        </w:tc>
        <w:tc>
          <w:tcPr>
            <w:tcW w:w="1368" w:type="dxa"/>
            <w:tcBorders>
              <w:tl2br w:val="nil"/>
              <w:tr2bl w:val="nil"/>
            </w:tcBorders>
            <w:vAlign w:val="center"/>
          </w:tcPr>
          <w:p w14:paraId="346E293E">
            <w:pPr>
              <w:widowControl/>
              <w:jc w:val="center"/>
              <w:rPr>
                <w:rFonts w:hint="default" w:ascii="Times New Roman" w:hAnsi="Times New Roman" w:eastAsia="宋体" w:cs="Times New Roman"/>
                <w:sz w:val="21"/>
                <w:szCs w:val="21"/>
              </w:rPr>
            </w:pPr>
            <w:r>
              <w:rPr>
                <w:rFonts w:hint="default" w:ascii="Times New Roman" w:hAnsi="Times New Roman" w:eastAsia="宋体" w:cs="Times New Roman"/>
                <w:color w:val="auto"/>
                <w:kern w:val="2"/>
                <w:sz w:val="21"/>
                <w:szCs w:val="21"/>
                <w:lang w:val="en-US" w:eastAsia="zh-CN" w:bidi="ar-SA"/>
              </w:rPr>
              <w:t>/</w:t>
            </w:r>
          </w:p>
        </w:tc>
      </w:tr>
    </w:tbl>
    <w:p w14:paraId="3F7990B9">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5、评价标准</w:t>
      </w:r>
    </w:p>
    <w:p w14:paraId="1FAC5939">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W4取水口执行《地表水环境质量标准》（GB3838-2002）II类标准，其他点位执行《地表水环境质量标准》（GB3838-2002）III类标准。</w:t>
      </w:r>
    </w:p>
    <w:p w14:paraId="0D6D5A89">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6、评价方法</w:t>
      </w:r>
    </w:p>
    <w:p w14:paraId="540EE92B">
      <w:pPr>
        <w:keepNext w:val="0"/>
        <w:keepLines w:val="0"/>
        <w:pageBreakBefore w:val="0"/>
        <w:widowControl w:val="0"/>
        <w:kinsoku w:val="0"/>
        <w:wordWrap w:val="0"/>
        <w:overflowPunct/>
        <w:topLinePunct/>
        <w:autoSpaceDE/>
        <w:autoSpaceDN/>
        <w:bidi w:val="0"/>
        <w:adjustRightInd w:val="0"/>
        <w:snapToGrid/>
        <w:spacing w:line="360" w:lineRule="auto"/>
        <w:ind w:left="0" w:leftChars="0" w:firstLine="48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采用《环境影响评价技术导则 地表水环境》（HJ2.3-2018）所推荐的单项水质参数评价法进行评价。计算公式如下：</w:t>
      </w:r>
    </w:p>
    <w:p w14:paraId="4CD293AE">
      <w:pPr>
        <w:pStyle w:val="38"/>
        <w:keepNext w:val="0"/>
        <w:keepLines w:val="0"/>
        <w:pageBreakBefore w:val="0"/>
        <w:widowControl w:val="0"/>
        <w:tabs>
          <w:tab w:val="left" w:pos="-213"/>
        </w:tabs>
        <w:kinsoku w:val="0"/>
        <w:wordWrap w:val="0"/>
        <w:overflowPunct/>
        <w:topLinePunct/>
        <w:autoSpaceDE/>
        <w:autoSpaceDN/>
        <w:bidi w:val="0"/>
        <w:adjustRightInd w:val="0"/>
        <w:snapToGrid/>
        <w:spacing w:after="0" w:line="360" w:lineRule="auto"/>
        <w:ind w:left="0" w:leftChars="0" w:firstLine="48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①一般水质因子（随着浓度增加而水质变差的水质因子）的指数计算公式：</w:t>
      </w:r>
    </w:p>
    <w:p w14:paraId="3495D051">
      <w:pPr>
        <w:pageBreakBefore w:val="0"/>
        <w:kinsoku w:val="0"/>
        <w:wordWrap w:val="0"/>
        <w:overflowPunct/>
        <w:topLinePunct/>
        <w:autoSpaceDE/>
        <w:autoSpaceDN/>
        <w:bidi w:val="0"/>
        <w:spacing w:line="360" w:lineRule="auto"/>
        <w:ind w:firstLine="0" w:firstLineChars="0"/>
        <w:jc w:val="center"/>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S</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i</w:t>
      </w:r>
      <w:r>
        <w:rPr>
          <w:rFonts w:hint="default" w:ascii="Times New Roman" w:hAnsi="Times New Roman" w:eastAsia="宋体" w:cs="Times New Roman"/>
          <w:caps w:val="0"/>
          <w:smallCaps w:val="0"/>
          <w:color w:val="auto"/>
          <w:spacing w:val="0"/>
          <w:w w:val="100"/>
          <w:position w:val="0"/>
          <w:sz w:val="24"/>
          <w:szCs w:val="24"/>
          <w:u w:val="none" w:color="auto"/>
          <w:vertAlign w:val="subscript"/>
          <w:lang w:eastAsia="zh-CN"/>
        </w:rPr>
        <w:t>，</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j</w:t>
      </w:r>
      <w:r>
        <w:rPr>
          <w:rFonts w:hint="default" w:ascii="Times New Roman" w:hAnsi="Times New Roman" w:eastAsia="宋体" w:cs="Times New Roman"/>
          <w:caps w:val="0"/>
          <w:smallCaps w:val="0"/>
          <w:color w:val="auto"/>
          <w:spacing w:val="0"/>
          <w:w w:val="100"/>
          <w:position w:val="0"/>
          <w:sz w:val="24"/>
          <w:szCs w:val="24"/>
          <w:u w:val="none" w:color="auto"/>
        </w:rPr>
        <w:t>＝C</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i</w:t>
      </w:r>
      <w:r>
        <w:rPr>
          <w:rFonts w:hint="default" w:ascii="Times New Roman" w:hAnsi="Times New Roman" w:eastAsia="宋体" w:cs="Times New Roman"/>
          <w:caps w:val="0"/>
          <w:smallCaps w:val="0"/>
          <w:color w:val="auto"/>
          <w:spacing w:val="0"/>
          <w:w w:val="100"/>
          <w:position w:val="0"/>
          <w:sz w:val="24"/>
          <w:szCs w:val="24"/>
          <w:u w:val="none" w:color="auto"/>
          <w:vertAlign w:val="subscript"/>
          <w:lang w:eastAsia="zh-CN"/>
        </w:rPr>
        <w:t>，</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j</w:t>
      </w:r>
      <w:r>
        <w:rPr>
          <w:rFonts w:hint="default" w:ascii="Times New Roman" w:hAnsi="Times New Roman" w:eastAsia="宋体" w:cs="Times New Roman"/>
          <w:caps w:val="0"/>
          <w:smallCaps w:val="0"/>
          <w:color w:val="auto"/>
          <w:spacing w:val="0"/>
          <w:w w:val="100"/>
          <w:position w:val="0"/>
          <w:sz w:val="24"/>
          <w:szCs w:val="24"/>
          <w:u w:val="none" w:color="auto"/>
        </w:rPr>
        <w:t>/C</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si</w:t>
      </w:r>
    </w:p>
    <w:p w14:paraId="7E904658">
      <w:pPr>
        <w:pageBreakBefore w:val="0"/>
        <w:kinsoku w:val="0"/>
        <w:wordWrap w:val="0"/>
        <w:overflowPunct/>
        <w:topLinePunct/>
        <w:autoSpaceDE/>
        <w:autoSpaceDN/>
        <w:bidi w:val="0"/>
        <w:spacing w:line="360" w:lineRule="auto"/>
        <w:ind w:firstLine="48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式中：S</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i</w:t>
      </w:r>
      <w:r>
        <w:rPr>
          <w:rFonts w:hint="default" w:ascii="Times New Roman" w:hAnsi="Times New Roman" w:eastAsia="宋体" w:cs="Times New Roman"/>
          <w:caps w:val="0"/>
          <w:smallCaps w:val="0"/>
          <w:color w:val="auto"/>
          <w:spacing w:val="0"/>
          <w:w w:val="100"/>
          <w:position w:val="0"/>
          <w:sz w:val="24"/>
          <w:szCs w:val="24"/>
          <w:u w:val="none" w:color="auto"/>
          <w:vertAlign w:val="subscript"/>
          <w:lang w:eastAsia="zh-CN"/>
        </w:rPr>
        <w:t>，</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j</w:t>
      </w:r>
      <w:r>
        <w:rPr>
          <w:rFonts w:hint="default" w:ascii="Times New Roman" w:hAnsi="Times New Roman" w:eastAsia="宋体" w:cs="Times New Roman"/>
          <w:caps w:val="0"/>
          <w:smallCaps w:val="0"/>
          <w:color w:val="auto"/>
          <w:spacing w:val="0"/>
          <w:w w:val="100"/>
          <w:position w:val="0"/>
          <w:sz w:val="24"/>
          <w:szCs w:val="24"/>
          <w:u w:val="none" w:color="auto"/>
        </w:rPr>
        <w:t>——评价因子i的水质指数，大于1表明该水质因子超标；</w:t>
      </w:r>
    </w:p>
    <w:p w14:paraId="2D0C4EC8">
      <w:pPr>
        <w:pageBreakBefore w:val="0"/>
        <w:kinsoku w:val="0"/>
        <w:wordWrap w:val="0"/>
        <w:overflowPunct/>
        <w:topLinePunct/>
        <w:autoSpaceDE/>
        <w:autoSpaceDN/>
        <w:bidi w:val="0"/>
        <w:spacing w:line="360" w:lineRule="auto"/>
        <w:ind w:firstLine="1200" w:firstLineChars="5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C</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i</w:t>
      </w:r>
      <w:r>
        <w:rPr>
          <w:rFonts w:hint="default" w:ascii="Times New Roman" w:hAnsi="Times New Roman" w:eastAsia="宋体" w:cs="Times New Roman"/>
          <w:caps w:val="0"/>
          <w:smallCaps w:val="0"/>
          <w:color w:val="auto"/>
          <w:spacing w:val="0"/>
          <w:w w:val="100"/>
          <w:position w:val="0"/>
          <w:sz w:val="24"/>
          <w:szCs w:val="24"/>
          <w:u w:val="none" w:color="auto"/>
          <w:vertAlign w:val="subscript"/>
          <w:lang w:eastAsia="zh-CN"/>
        </w:rPr>
        <w:t>，</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j</w:t>
      </w:r>
      <w:r>
        <w:rPr>
          <w:rFonts w:hint="default" w:ascii="Times New Roman" w:hAnsi="Times New Roman" w:eastAsia="宋体" w:cs="Times New Roman"/>
          <w:caps w:val="0"/>
          <w:smallCaps w:val="0"/>
          <w:color w:val="auto"/>
          <w:spacing w:val="0"/>
          <w:w w:val="100"/>
          <w:position w:val="0"/>
          <w:sz w:val="24"/>
          <w:szCs w:val="24"/>
          <w:u w:val="none" w:color="auto"/>
        </w:rPr>
        <w:t>——评价因子i在j点的实测统计代表值，mg/L；</w:t>
      </w:r>
    </w:p>
    <w:p w14:paraId="5425195C">
      <w:pPr>
        <w:pStyle w:val="38"/>
        <w:pageBreakBefore w:val="0"/>
        <w:tabs>
          <w:tab w:val="left" w:pos="-213"/>
        </w:tabs>
        <w:kinsoku w:val="0"/>
        <w:wordWrap w:val="0"/>
        <w:overflowPunct/>
        <w:topLinePunct/>
        <w:autoSpaceDE/>
        <w:autoSpaceDN/>
        <w:bidi w:val="0"/>
        <w:spacing w:line="360" w:lineRule="auto"/>
        <w:ind w:left="0" w:leftChars="0" w:firstLine="1200" w:firstLineChars="5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C</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si</w:t>
      </w:r>
      <w:r>
        <w:rPr>
          <w:rFonts w:hint="default" w:ascii="Times New Roman" w:hAnsi="Times New Roman" w:eastAsia="宋体" w:cs="Times New Roman"/>
          <w:caps w:val="0"/>
          <w:smallCaps w:val="0"/>
          <w:color w:val="auto"/>
          <w:spacing w:val="0"/>
          <w:w w:val="100"/>
          <w:position w:val="0"/>
          <w:sz w:val="24"/>
          <w:szCs w:val="24"/>
          <w:u w:val="none" w:color="auto"/>
        </w:rPr>
        <w:t>——评价因子i的水质评价标准限值，mg/L。</w:t>
      </w:r>
    </w:p>
    <w:p w14:paraId="3CD1ABBA">
      <w:pPr>
        <w:pageBreakBefore w:val="0"/>
        <w:kinsoku w:val="0"/>
        <w:wordWrap w:val="0"/>
        <w:overflowPunct/>
        <w:topLinePunct/>
        <w:autoSpaceDE/>
        <w:autoSpaceDN/>
        <w:bidi w:val="0"/>
        <w:spacing w:line="360" w:lineRule="auto"/>
        <w:ind w:firstLine="48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②pH值的指数计算公式：</w:t>
      </w:r>
    </w:p>
    <w:p w14:paraId="089573C5">
      <w:pPr>
        <w:pageBreakBefore w:val="0"/>
        <w:kinsoku w:val="0"/>
        <w:wordWrap w:val="0"/>
        <w:overflowPunct/>
        <w:topLinePunct/>
        <w:autoSpaceDE/>
        <w:autoSpaceDN/>
        <w:bidi w:val="0"/>
        <w:spacing w:line="360" w:lineRule="auto"/>
        <w:ind w:firstLine="480"/>
        <w:jc w:val="center"/>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object>
          <v:shape id="_x0000_i1027" o:spt="75" type="#_x0000_t75" style="height:33.9pt;width:85.3pt;" o:ole="t" filled="f" o:preferrelative="t" stroked="f" coordsize="21600,21600">
            <v:path/>
            <v:fill on="f" focussize="0,0"/>
            <v:stroke on="f" joinstyle="miter"/>
            <v:imagedata r:id="rId49" o:title=""/>
            <o:lock v:ext="edit" aspectratio="t"/>
            <w10:wrap type="none"/>
            <w10:anchorlock/>
          </v:shape>
          <o:OLEObject Type="Embed" ProgID="Equations" ShapeID="_x0000_i1027" DrawAspect="Content" ObjectID="_1468075727" r:id="rId48">
            <o:LockedField>false</o:LockedField>
          </o:OLEObject>
        </w:object>
      </w:r>
      <w:r>
        <w:rPr>
          <w:rFonts w:hint="default" w:ascii="Times New Roman" w:hAnsi="Times New Roman" w:eastAsia="宋体" w:cs="Times New Roman"/>
          <w:caps w:val="0"/>
          <w:smallCaps w:val="0"/>
          <w:color w:val="auto"/>
          <w:spacing w:val="0"/>
          <w:w w:val="100"/>
          <w:position w:val="0"/>
          <w:sz w:val="24"/>
          <w:szCs w:val="24"/>
          <w:u w:val="none" w:color="auto"/>
        </w:rPr>
        <w:t xml:space="preserve">              pH≤7.0</w:t>
      </w:r>
    </w:p>
    <w:p w14:paraId="100D4C16">
      <w:pPr>
        <w:pageBreakBefore w:val="0"/>
        <w:kinsoku w:val="0"/>
        <w:wordWrap w:val="0"/>
        <w:overflowPunct/>
        <w:topLinePunct/>
        <w:autoSpaceDE/>
        <w:autoSpaceDN/>
        <w:bidi w:val="0"/>
        <w:snapToGrid w:val="0"/>
        <w:spacing w:line="360" w:lineRule="auto"/>
        <w:ind w:firstLine="480"/>
        <w:jc w:val="center"/>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object>
          <v:shape id="_x0000_i1028" o:spt="75" type="#_x0000_t75" style="height:33.9pt;width:86.5pt;" o:ole="t" filled="f" o:preferrelative="t" stroked="f" coordsize="21600,21600">
            <v:path/>
            <v:fill on="f" focussize="0,0"/>
            <v:stroke on="f" joinstyle="miter"/>
            <v:imagedata r:id="rId51" o:title=""/>
            <o:lock v:ext="edit" aspectratio="t"/>
            <w10:wrap type="none"/>
            <w10:anchorlock/>
          </v:shape>
          <o:OLEObject Type="Embed" ProgID="Equations" ShapeID="_x0000_i1028" DrawAspect="Content" ObjectID="_1468075728" r:id="rId50">
            <o:LockedField>false</o:LockedField>
          </o:OLEObject>
        </w:object>
      </w:r>
      <w:r>
        <w:rPr>
          <w:rFonts w:hint="default" w:ascii="Times New Roman" w:hAnsi="Times New Roman" w:eastAsia="宋体" w:cs="Times New Roman"/>
          <w:caps w:val="0"/>
          <w:smallCaps w:val="0"/>
          <w:color w:val="auto"/>
          <w:spacing w:val="0"/>
          <w:w w:val="100"/>
          <w:position w:val="0"/>
          <w:sz w:val="24"/>
          <w:szCs w:val="24"/>
          <w:u w:val="none" w:color="auto"/>
        </w:rPr>
        <w:t xml:space="preserve">              pH&gt;7.0</w:t>
      </w:r>
    </w:p>
    <w:p w14:paraId="2F718ED6">
      <w:pPr>
        <w:pageBreakBefore w:val="0"/>
        <w:kinsoku w:val="0"/>
        <w:wordWrap w:val="0"/>
        <w:overflowPunct/>
        <w:topLinePunct/>
        <w:autoSpaceDE/>
        <w:autoSpaceDN/>
        <w:bidi w:val="0"/>
        <w:spacing w:line="360" w:lineRule="auto"/>
        <w:ind w:firstLine="48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式中：S</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pH</w:t>
      </w:r>
      <w:r>
        <w:rPr>
          <w:rFonts w:hint="default" w:ascii="Times New Roman" w:hAnsi="Times New Roman" w:eastAsia="宋体" w:cs="Times New Roman"/>
          <w:caps w:val="0"/>
          <w:smallCaps w:val="0"/>
          <w:color w:val="auto"/>
          <w:spacing w:val="0"/>
          <w:w w:val="100"/>
          <w:position w:val="0"/>
          <w:sz w:val="24"/>
          <w:szCs w:val="24"/>
          <w:u w:val="none" w:color="auto"/>
          <w:vertAlign w:val="subscript"/>
          <w:lang w:eastAsia="zh-CN"/>
        </w:rPr>
        <w:t>，</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j</w:t>
      </w:r>
      <w:r>
        <w:rPr>
          <w:rFonts w:hint="default" w:ascii="Times New Roman" w:hAnsi="Times New Roman" w:eastAsia="宋体" w:cs="Times New Roman"/>
          <w:caps w:val="0"/>
          <w:smallCaps w:val="0"/>
          <w:color w:val="auto"/>
          <w:spacing w:val="0"/>
          <w:w w:val="100"/>
          <w:position w:val="0"/>
          <w:sz w:val="24"/>
          <w:szCs w:val="24"/>
          <w:u w:val="none" w:color="auto"/>
        </w:rPr>
        <w:t>——pH值的指数，大于1表明该水质因子超标；</w:t>
      </w:r>
    </w:p>
    <w:p w14:paraId="3A876D4C">
      <w:pPr>
        <w:pageBreakBefore w:val="0"/>
        <w:kinsoku w:val="0"/>
        <w:wordWrap w:val="0"/>
        <w:overflowPunct/>
        <w:topLinePunct/>
        <w:autoSpaceDE/>
        <w:autoSpaceDN/>
        <w:bidi w:val="0"/>
        <w:spacing w:line="360" w:lineRule="auto"/>
        <w:ind w:firstLine="1200" w:firstLineChars="5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pH</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j</w:t>
      </w:r>
      <w:r>
        <w:rPr>
          <w:rFonts w:hint="default" w:ascii="Times New Roman" w:hAnsi="Times New Roman" w:eastAsia="宋体" w:cs="Times New Roman"/>
          <w:caps w:val="0"/>
          <w:smallCaps w:val="0"/>
          <w:color w:val="auto"/>
          <w:spacing w:val="0"/>
          <w:w w:val="100"/>
          <w:position w:val="0"/>
          <w:sz w:val="24"/>
          <w:szCs w:val="24"/>
          <w:u w:val="none" w:color="auto"/>
        </w:rPr>
        <w:t>——pH值实测统计代表值；</w:t>
      </w:r>
    </w:p>
    <w:p w14:paraId="55187151">
      <w:pPr>
        <w:pageBreakBefore w:val="0"/>
        <w:kinsoku w:val="0"/>
        <w:wordWrap w:val="0"/>
        <w:overflowPunct/>
        <w:topLinePunct/>
        <w:autoSpaceDE/>
        <w:autoSpaceDN/>
        <w:bidi w:val="0"/>
        <w:spacing w:line="360" w:lineRule="auto"/>
        <w:ind w:firstLine="1200" w:firstLineChars="5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pH</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sd</w:t>
      </w:r>
      <w:r>
        <w:rPr>
          <w:rFonts w:hint="default" w:ascii="Times New Roman" w:hAnsi="Times New Roman" w:eastAsia="宋体" w:cs="Times New Roman"/>
          <w:caps w:val="0"/>
          <w:smallCaps w:val="0"/>
          <w:color w:val="auto"/>
          <w:spacing w:val="0"/>
          <w:w w:val="100"/>
          <w:position w:val="0"/>
          <w:sz w:val="24"/>
          <w:szCs w:val="24"/>
          <w:u w:val="none" w:color="auto"/>
        </w:rPr>
        <w:t>——评价标准中pH的下限值；</w:t>
      </w:r>
    </w:p>
    <w:p w14:paraId="5EF7CD90">
      <w:pPr>
        <w:pageBreakBefore w:val="0"/>
        <w:widowControl w:val="0"/>
        <w:kinsoku w:val="0"/>
        <w:wordWrap w:val="0"/>
        <w:overflowPunct/>
        <w:topLinePunct/>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pH</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su</w:t>
      </w:r>
      <w:r>
        <w:rPr>
          <w:rFonts w:hint="default" w:ascii="Times New Roman" w:hAnsi="Times New Roman" w:eastAsia="宋体" w:cs="Times New Roman"/>
          <w:caps w:val="0"/>
          <w:smallCaps w:val="0"/>
          <w:color w:val="auto"/>
          <w:spacing w:val="0"/>
          <w:w w:val="100"/>
          <w:position w:val="0"/>
          <w:sz w:val="24"/>
          <w:szCs w:val="24"/>
          <w:u w:val="none" w:color="auto"/>
        </w:rPr>
        <w:t>——评价标准中pH的上限值。</w:t>
      </w:r>
    </w:p>
    <w:p w14:paraId="0C90595E">
      <w:pPr>
        <w:pStyle w:val="6"/>
        <w:pageBreakBefore w:val="0"/>
        <w:kinsoku w:val="0"/>
        <w:wordWrap w:val="0"/>
        <w:overflowPunct/>
        <w:topLinePunct/>
        <w:autoSpaceDE/>
        <w:autoSpaceDN/>
        <w:bidi w:val="0"/>
        <w:ind w:firstLine="720" w:firstLineChars="3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fldChar w:fldCharType="begin"/>
      </w:r>
      <w:r>
        <w:rPr>
          <w:rFonts w:hint="default" w:ascii="Times New Roman" w:hAnsi="Times New Roman" w:eastAsia="宋体" w:cs="Times New Roman"/>
          <w:caps w:val="0"/>
          <w:smallCaps w:val="0"/>
          <w:color w:val="auto"/>
          <w:spacing w:val="0"/>
          <w:w w:val="100"/>
          <w:position w:val="0"/>
          <w:sz w:val="24"/>
          <w:szCs w:val="24"/>
          <w:u w:val="none" w:color="auto"/>
        </w:rPr>
        <w:instrText xml:space="preserve"> = 3 \* GB3 \* MERGEFORMAT </w:instrText>
      </w:r>
      <w:r>
        <w:rPr>
          <w:rFonts w:hint="default" w:ascii="Times New Roman" w:hAnsi="Times New Roman" w:eastAsia="宋体" w:cs="Times New Roman"/>
          <w:caps w:val="0"/>
          <w:smallCaps w:val="0"/>
          <w:color w:val="auto"/>
          <w:spacing w:val="0"/>
          <w:w w:val="100"/>
          <w:position w:val="0"/>
          <w:sz w:val="24"/>
          <w:szCs w:val="24"/>
          <w:u w:val="none" w:color="auto"/>
        </w:rPr>
        <w:fldChar w:fldCharType="separate"/>
      </w:r>
      <w:r>
        <w:rPr>
          <w:rFonts w:hint="default" w:ascii="Times New Roman" w:hAnsi="Times New Roman" w:eastAsia="宋体" w:cs="Times New Roman"/>
          <w:caps w:val="0"/>
          <w:smallCaps w:val="0"/>
          <w:color w:val="auto"/>
          <w:spacing w:val="0"/>
          <w:w w:val="100"/>
          <w:position w:val="0"/>
          <w:u w:val="none" w:color="auto"/>
        </w:rPr>
        <w:t>③</w:t>
      </w:r>
      <w:r>
        <w:rPr>
          <w:rFonts w:hint="default" w:ascii="Times New Roman" w:hAnsi="Times New Roman" w:eastAsia="宋体" w:cs="Times New Roman"/>
          <w:caps w:val="0"/>
          <w:smallCaps w:val="0"/>
          <w:color w:val="auto"/>
          <w:spacing w:val="0"/>
          <w:w w:val="100"/>
          <w:position w:val="0"/>
          <w:sz w:val="24"/>
          <w:szCs w:val="24"/>
          <w:u w:val="none" w:color="auto"/>
        </w:rPr>
        <w:fldChar w:fldCharType="end"/>
      </w:r>
      <w:r>
        <w:rPr>
          <w:rFonts w:hint="default" w:ascii="Times New Roman" w:hAnsi="Times New Roman" w:eastAsia="宋体" w:cs="Times New Roman"/>
          <w:caps w:val="0"/>
          <w:smallCaps w:val="0"/>
          <w:color w:val="auto"/>
          <w:spacing w:val="0"/>
          <w:w w:val="100"/>
          <w:position w:val="0"/>
          <w:sz w:val="24"/>
          <w:szCs w:val="24"/>
          <w:u w:val="none" w:color="auto"/>
        </w:rPr>
        <w:t>溶解氧（DO）的标准指数计算公式：</w:t>
      </w:r>
    </w:p>
    <w:p w14:paraId="747553F6">
      <w:pPr>
        <w:pageBreakBefore w:val="0"/>
        <w:kinsoku w:val="0"/>
        <w:wordWrap w:val="0"/>
        <w:overflowPunct/>
        <w:topLinePunct/>
        <w:autoSpaceDE/>
        <w:autoSpaceDN/>
        <w:bidi w:val="0"/>
        <w:spacing w:line="360" w:lineRule="auto"/>
        <w:ind w:firstLine="480"/>
        <w:jc w:val="center"/>
        <w:rPr>
          <w:rFonts w:hint="default" w:ascii="Times New Roman" w:hAnsi="Times New Roman" w:eastAsia="宋体" w:cs="Times New Roman"/>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position w:val="0"/>
          <w:sz w:val="24"/>
          <w:szCs w:val="24"/>
          <w:u w:val="none" w:color="auto"/>
        </w:rPr>
        <w:object>
          <v:shape id="_x0000_i1029" o:spt="75" type="#_x0000_t75" style="height:20.6pt;width:86.25pt;" o:ole="t" filled="f" o:preferrelative="t" stroked="f" coordsize="21600,21600">
            <v:path/>
            <v:fill on="f" focussize="0,0"/>
            <v:stroke on="f"/>
            <v:imagedata r:id="rId53" o:title=""/>
            <o:lock v:ext="edit" aspectratio="t"/>
            <w10:wrap type="none"/>
            <w10:anchorlock/>
          </v:shape>
          <o:OLEObject Type="Embed" ProgID="Equations" ShapeID="_x0000_i1029" DrawAspect="Content" ObjectID="_1468075729" r:id="rId52">
            <o:LockedField>false</o:LockedField>
          </o:OLEObject>
        </w:object>
      </w:r>
      <w:r>
        <w:rPr>
          <w:rFonts w:hint="default" w:ascii="Times New Roman" w:hAnsi="Times New Roman" w:eastAsia="宋体" w:cs="Times New Roman"/>
          <w:caps w:val="0"/>
          <w:smallCaps w:val="0"/>
          <w:color w:val="auto"/>
          <w:spacing w:val="0"/>
          <w:w w:val="100"/>
          <w:position w:val="0"/>
          <w:sz w:val="24"/>
          <w:szCs w:val="24"/>
          <w:u w:val="none" w:color="auto"/>
        </w:rPr>
        <w:t xml:space="preserve">             </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DO</w:t>
      </w:r>
      <w:r>
        <w:rPr>
          <w:rFonts w:hint="default" w:ascii="Times New Roman" w:hAnsi="Times New Roman" w:eastAsia="宋体" w:cs="Times New Roman"/>
          <w:caps w:val="0"/>
          <w:smallCaps w:val="0"/>
          <w:color w:val="auto"/>
          <w:spacing w:val="0"/>
          <w:w w:val="100"/>
          <w:position w:val="0"/>
          <w:sz w:val="24"/>
          <w:szCs w:val="24"/>
          <w:u w:val="none" w:color="auto"/>
          <w:vertAlign w:val="subscript"/>
          <w:lang w:val="en-US" w:eastAsia="zh-CN"/>
        </w:rPr>
        <w:t>j</w:t>
      </w:r>
      <w:r>
        <w:rPr>
          <w:rFonts w:hint="default" w:ascii="Times New Roman" w:hAnsi="Times New Roman" w:eastAsia="宋体" w:cs="Times New Roman"/>
          <w:caps w:val="0"/>
          <w:smallCaps w:val="0"/>
          <w:color w:val="auto"/>
          <w:spacing w:val="0"/>
          <w:w w:val="100"/>
          <w:position w:val="0"/>
          <w:sz w:val="24"/>
          <w:szCs w:val="24"/>
          <w:u w:val="none" w:color="auto"/>
        </w:rPr>
        <w:t>≤</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DO</w:t>
      </w:r>
      <w:r>
        <w:rPr>
          <w:rFonts w:hint="default" w:ascii="Times New Roman" w:hAnsi="Times New Roman" w:eastAsia="宋体" w:cs="Times New Roman"/>
          <w:caps w:val="0"/>
          <w:smallCaps w:val="0"/>
          <w:color w:val="auto"/>
          <w:spacing w:val="0"/>
          <w:w w:val="100"/>
          <w:position w:val="0"/>
          <w:sz w:val="24"/>
          <w:szCs w:val="24"/>
          <w:u w:val="none" w:color="auto"/>
          <w:vertAlign w:val="subscript"/>
          <w:lang w:val="en-US" w:eastAsia="zh-CN"/>
        </w:rPr>
        <w:t>f</w:t>
      </w:r>
    </w:p>
    <w:p w14:paraId="664B626A">
      <w:pPr>
        <w:pageBreakBefore w:val="0"/>
        <w:kinsoku w:val="0"/>
        <w:wordWrap w:val="0"/>
        <w:overflowPunct/>
        <w:topLinePunct/>
        <w:autoSpaceDE/>
        <w:autoSpaceDN/>
        <w:bidi w:val="0"/>
        <w:snapToGrid w:val="0"/>
        <w:spacing w:line="360" w:lineRule="auto"/>
        <w:ind w:firstLine="480"/>
        <w:jc w:val="center"/>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object>
          <v:shape id="_x0000_i1030" o:spt="75" type="#_x0000_t75" style="height:40.1pt;width:98.2pt;" o:ole="t" filled="f" o:preferrelative="t" stroked="f" coordsize="21600,21600">
            <v:path/>
            <v:fill on="f" focussize="0,0"/>
            <v:stroke on="f"/>
            <v:imagedata r:id="rId55" o:title=""/>
            <o:lock v:ext="edit" aspectratio="t"/>
            <w10:wrap type="none"/>
            <w10:anchorlock/>
          </v:shape>
          <o:OLEObject Type="Embed" ProgID="Equations" ShapeID="_x0000_i1030" DrawAspect="Content" ObjectID="_1468075730" r:id="rId54">
            <o:LockedField>false</o:LockedField>
          </o:OLEObject>
        </w:object>
      </w:r>
      <w:r>
        <w:rPr>
          <w:rFonts w:hint="default" w:ascii="Times New Roman" w:hAnsi="Times New Roman" w:eastAsia="宋体" w:cs="Times New Roman"/>
          <w:caps w:val="0"/>
          <w:smallCaps w:val="0"/>
          <w:color w:val="auto"/>
          <w:spacing w:val="0"/>
          <w:w w:val="100"/>
          <w:position w:val="0"/>
          <w:sz w:val="24"/>
          <w:szCs w:val="24"/>
          <w:u w:val="none" w:color="auto"/>
        </w:rPr>
        <w:t xml:space="preserve">           </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DO</w:t>
      </w:r>
      <w:r>
        <w:rPr>
          <w:rFonts w:hint="default" w:ascii="Times New Roman" w:hAnsi="Times New Roman" w:eastAsia="宋体" w:cs="Times New Roman"/>
          <w:caps w:val="0"/>
          <w:smallCaps w:val="0"/>
          <w:color w:val="auto"/>
          <w:spacing w:val="0"/>
          <w:w w:val="100"/>
          <w:position w:val="0"/>
          <w:sz w:val="24"/>
          <w:szCs w:val="24"/>
          <w:u w:val="none" w:color="auto"/>
          <w:vertAlign w:val="subscript"/>
          <w:lang w:val="en-US" w:eastAsia="zh-CN"/>
        </w:rPr>
        <w:t>j</w:t>
      </w:r>
      <w:r>
        <w:rPr>
          <w:rFonts w:hint="default" w:ascii="Times New Roman" w:hAnsi="Times New Roman" w:eastAsia="宋体" w:cs="Times New Roman"/>
          <w:caps w:val="0"/>
          <w:smallCaps w:val="0"/>
          <w:color w:val="auto"/>
          <w:spacing w:val="0"/>
          <w:w w:val="100"/>
          <w:position w:val="0"/>
          <w:sz w:val="24"/>
          <w:szCs w:val="24"/>
          <w:u w:val="none" w:color="auto"/>
        </w:rPr>
        <w:t>&gt;</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DO</w:t>
      </w:r>
      <w:r>
        <w:rPr>
          <w:rFonts w:hint="default" w:ascii="Times New Roman" w:hAnsi="Times New Roman" w:eastAsia="宋体" w:cs="Times New Roman"/>
          <w:caps w:val="0"/>
          <w:smallCaps w:val="0"/>
          <w:color w:val="auto"/>
          <w:spacing w:val="0"/>
          <w:w w:val="100"/>
          <w:position w:val="0"/>
          <w:sz w:val="24"/>
          <w:szCs w:val="24"/>
          <w:u w:val="none" w:color="auto"/>
          <w:vertAlign w:val="subscript"/>
          <w:lang w:val="en-US" w:eastAsia="zh-CN"/>
        </w:rPr>
        <w:t>f</w:t>
      </w:r>
    </w:p>
    <w:p w14:paraId="706CA6D1">
      <w:pPr>
        <w:pStyle w:val="6"/>
        <w:pageBreakBefore w:val="0"/>
        <w:widowControl w:val="0"/>
        <w:kinsoku w:val="0"/>
        <w:wordWrap w:val="0"/>
        <w:overflowPunct/>
        <w:topLinePunct/>
        <w:autoSpaceDE/>
        <w:autoSpaceDN/>
        <w:bidi w:val="0"/>
        <w:adjustRightInd w:val="0"/>
        <w:snapToGrid w:val="0"/>
        <w:spacing w:before="0" w:after="0" w:line="360" w:lineRule="auto"/>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式中：S</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DO，j</w:t>
      </w:r>
      <w:r>
        <w:rPr>
          <w:rFonts w:hint="default" w:ascii="Times New Roman" w:hAnsi="Times New Roman" w:eastAsia="宋体" w:cs="Times New Roman"/>
          <w:caps w:val="0"/>
          <w:smallCaps w:val="0"/>
          <w:color w:val="auto"/>
          <w:spacing w:val="0"/>
          <w:w w:val="100"/>
          <w:position w:val="0"/>
          <w:sz w:val="24"/>
          <w:szCs w:val="24"/>
          <w:u w:val="none" w:color="auto"/>
        </w:rPr>
        <w:t>——溶解氧的标准指数，大于1表明该水质因子超标；</w:t>
      </w:r>
    </w:p>
    <w:p w14:paraId="2ED1F2AD">
      <w:pPr>
        <w:pageBreakBefore w:val="0"/>
        <w:widowControl w:val="0"/>
        <w:kinsoku w:val="0"/>
        <w:wordWrap w:val="0"/>
        <w:overflowPunct/>
        <w:topLinePunct/>
        <w:autoSpaceDE/>
        <w:autoSpaceDN/>
        <w:bidi w:val="0"/>
        <w:adjustRightInd w:val="0"/>
        <w:snapToGrid w:val="0"/>
        <w:spacing w:line="360" w:lineRule="auto"/>
        <w:ind w:firstLine="960" w:firstLineChars="4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DO</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j</w:t>
      </w:r>
      <w:r>
        <w:rPr>
          <w:rFonts w:hint="default" w:ascii="Times New Roman" w:hAnsi="Times New Roman" w:eastAsia="宋体" w:cs="Times New Roman"/>
          <w:caps w:val="0"/>
          <w:smallCaps w:val="0"/>
          <w:color w:val="auto"/>
          <w:spacing w:val="0"/>
          <w:w w:val="100"/>
          <w:position w:val="0"/>
          <w:sz w:val="24"/>
          <w:szCs w:val="24"/>
          <w:u w:val="none" w:color="auto"/>
        </w:rPr>
        <w:t>——溶解氧在j点的实测统计代表值，mg/L；</w:t>
      </w:r>
    </w:p>
    <w:p w14:paraId="41AEE700">
      <w:pPr>
        <w:pageBreakBefore w:val="0"/>
        <w:widowControl w:val="0"/>
        <w:kinsoku w:val="0"/>
        <w:wordWrap w:val="0"/>
        <w:overflowPunct/>
        <w:topLinePunct/>
        <w:autoSpaceDE/>
        <w:autoSpaceDN/>
        <w:bidi w:val="0"/>
        <w:adjustRightInd w:val="0"/>
        <w:snapToGrid w:val="0"/>
        <w:spacing w:line="360" w:lineRule="auto"/>
        <w:ind w:firstLine="960" w:firstLineChars="400"/>
        <w:textAlignment w:val="auto"/>
        <w:rPr>
          <w:rFonts w:hint="default" w:ascii="Times New Roman" w:hAnsi="Times New Roman" w:eastAsia="宋体" w:cs="Times New Roman"/>
          <w:caps w:val="0"/>
          <w:smallCaps w:val="0"/>
          <w:color w:val="auto"/>
          <w:spacing w:val="0"/>
          <w:w w:val="100"/>
          <w:position w:val="0"/>
          <w:sz w:val="24"/>
          <w:szCs w:val="24"/>
          <w:u w:val="none" w:color="auto"/>
          <w:lang w:eastAsia="zh-CN"/>
        </w:rPr>
      </w:pPr>
      <w:r>
        <w:rPr>
          <w:rFonts w:hint="default" w:ascii="Times New Roman" w:hAnsi="Times New Roman" w:eastAsia="宋体" w:cs="Times New Roman"/>
          <w:caps w:val="0"/>
          <w:smallCaps w:val="0"/>
          <w:color w:val="auto"/>
          <w:spacing w:val="0"/>
          <w:w w:val="100"/>
          <w:position w:val="0"/>
          <w:sz w:val="24"/>
          <w:szCs w:val="24"/>
          <w:u w:val="none" w:color="auto"/>
        </w:rPr>
        <w:t>DO</w:t>
      </w:r>
      <w:r>
        <w:rPr>
          <w:rFonts w:hint="default" w:ascii="Times New Roman" w:hAnsi="Times New Roman" w:eastAsia="宋体" w:cs="Times New Roman"/>
          <w:caps w:val="0"/>
          <w:smallCaps w:val="0"/>
          <w:color w:val="auto"/>
          <w:spacing w:val="0"/>
          <w:w w:val="100"/>
          <w:position w:val="0"/>
          <w:sz w:val="24"/>
          <w:szCs w:val="24"/>
          <w:u w:val="none" w:color="auto"/>
          <w:vertAlign w:val="subscript"/>
        </w:rPr>
        <w:t>s</w:t>
      </w:r>
      <w:r>
        <w:rPr>
          <w:rFonts w:hint="default" w:ascii="Times New Roman" w:hAnsi="Times New Roman" w:eastAsia="宋体" w:cs="Times New Roman"/>
          <w:caps w:val="0"/>
          <w:smallCaps w:val="0"/>
          <w:color w:val="auto"/>
          <w:spacing w:val="0"/>
          <w:w w:val="100"/>
          <w:position w:val="0"/>
          <w:sz w:val="24"/>
          <w:szCs w:val="24"/>
          <w:u w:val="none" w:color="auto"/>
        </w:rPr>
        <w:t>——溶解氧的水质评价标准限值，mg/L</w:t>
      </w:r>
      <w:r>
        <w:rPr>
          <w:rFonts w:hint="default" w:ascii="Times New Roman" w:hAnsi="Times New Roman" w:eastAsia="宋体" w:cs="Times New Roman"/>
          <w:caps w:val="0"/>
          <w:smallCaps w:val="0"/>
          <w:color w:val="auto"/>
          <w:spacing w:val="0"/>
          <w:w w:val="100"/>
          <w:position w:val="0"/>
          <w:sz w:val="24"/>
          <w:szCs w:val="24"/>
          <w:u w:val="none" w:color="auto"/>
          <w:lang w:eastAsia="zh-CN"/>
        </w:rPr>
        <w:t>；</w:t>
      </w:r>
    </w:p>
    <w:p w14:paraId="101A90BC">
      <w:pPr>
        <w:pageBreakBefore w:val="0"/>
        <w:widowControl w:val="0"/>
        <w:kinsoku w:val="0"/>
        <w:wordWrap w:val="0"/>
        <w:overflowPunct/>
        <w:topLinePunct/>
        <w:autoSpaceDE/>
        <w:autoSpaceDN/>
        <w:bidi w:val="0"/>
        <w:adjustRightInd w:val="0"/>
        <w:snapToGrid w:val="0"/>
        <w:spacing w:line="360" w:lineRule="auto"/>
        <w:ind w:firstLine="960" w:firstLineChars="400"/>
        <w:textAlignment w:val="auto"/>
        <w:rPr>
          <w:rFonts w:hint="default" w:ascii="Times New Roman" w:hAnsi="Times New Roman" w:eastAsia="宋体" w:cs="Times New Roman"/>
          <w:caps w:val="0"/>
          <w:smallCaps w:val="0"/>
          <w:color w:val="auto"/>
          <w:spacing w:val="0"/>
          <w:w w:val="100"/>
          <w:position w:val="0"/>
          <w:sz w:val="24"/>
          <w:szCs w:val="24"/>
          <w:u w:val="none" w:color="auto"/>
          <w:lang w:eastAsia="zh-CN"/>
        </w:rPr>
      </w:pPr>
      <w:r>
        <w:rPr>
          <w:rFonts w:hint="default" w:ascii="Times New Roman" w:hAnsi="Times New Roman" w:eastAsia="宋体" w:cs="Times New Roman"/>
          <w:caps w:val="0"/>
          <w:smallCaps w:val="0"/>
          <w:color w:val="auto"/>
          <w:spacing w:val="0"/>
          <w:w w:val="100"/>
          <w:position w:val="0"/>
          <w:sz w:val="24"/>
          <w:szCs w:val="24"/>
          <w:u w:val="none" w:color="auto"/>
          <w:lang w:eastAsia="zh-CN"/>
        </w:rPr>
        <w:t>DO</w:t>
      </w:r>
      <w:r>
        <w:rPr>
          <w:rFonts w:hint="default" w:ascii="Times New Roman" w:hAnsi="Times New Roman" w:eastAsia="宋体" w:cs="Times New Roman"/>
          <w:caps w:val="0"/>
          <w:smallCaps w:val="0"/>
          <w:color w:val="auto"/>
          <w:spacing w:val="0"/>
          <w:w w:val="100"/>
          <w:position w:val="0"/>
          <w:sz w:val="24"/>
          <w:szCs w:val="24"/>
          <w:u w:val="none" w:color="auto"/>
          <w:vertAlign w:val="subscript"/>
          <w:lang w:eastAsia="zh-CN"/>
        </w:rPr>
        <w:t>f</w:t>
      </w:r>
      <w:r>
        <w:rPr>
          <w:rFonts w:hint="default" w:ascii="Times New Roman" w:hAnsi="Times New Roman" w:eastAsia="宋体" w:cs="Times New Roman"/>
          <w:caps w:val="0"/>
          <w:smallCaps w:val="0"/>
          <w:color w:val="auto"/>
          <w:spacing w:val="0"/>
          <w:w w:val="100"/>
          <w:position w:val="0"/>
          <w:sz w:val="24"/>
          <w:szCs w:val="24"/>
          <w:u w:val="none" w:color="auto"/>
          <w:lang w:eastAsia="zh-CN"/>
        </w:rPr>
        <w:t>——饱和溶解氧浓度，mg/L，对于河流，DO</w:t>
      </w:r>
      <w:r>
        <w:rPr>
          <w:rFonts w:hint="default" w:ascii="Times New Roman" w:hAnsi="Times New Roman" w:eastAsia="宋体" w:cs="Times New Roman"/>
          <w:caps w:val="0"/>
          <w:smallCaps w:val="0"/>
          <w:color w:val="auto"/>
          <w:spacing w:val="0"/>
          <w:w w:val="100"/>
          <w:position w:val="0"/>
          <w:sz w:val="24"/>
          <w:szCs w:val="24"/>
          <w:u w:val="none" w:color="auto"/>
          <w:vertAlign w:val="subscript"/>
          <w:lang w:eastAsia="zh-CN"/>
        </w:rPr>
        <w:t>f</w:t>
      </w:r>
      <w:r>
        <w:rPr>
          <w:rFonts w:hint="default" w:ascii="Times New Roman" w:hAnsi="Times New Roman" w:eastAsia="宋体" w:cs="Times New Roman"/>
          <w:caps w:val="0"/>
          <w:smallCaps w:val="0"/>
          <w:color w:val="auto"/>
          <w:spacing w:val="0"/>
          <w:w w:val="100"/>
          <w:position w:val="0"/>
          <w:sz w:val="24"/>
          <w:szCs w:val="24"/>
          <w:u w:val="none" w:color="auto"/>
          <w:lang w:eastAsia="zh-CN"/>
        </w:rPr>
        <w:t xml:space="preserve">=468/（31.6+T）；对于盐度比较高的湖泊、水库及入海河口、近岸海域，DO =（491-2.65S）/（33.5+T）； </w:t>
      </w:r>
    </w:p>
    <w:p w14:paraId="3D7D6883">
      <w:pPr>
        <w:pageBreakBefore w:val="0"/>
        <w:widowControl w:val="0"/>
        <w:kinsoku w:val="0"/>
        <w:wordWrap w:val="0"/>
        <w:overflowPunct/>
        <w:topLinePunct/>
        <w:autoSpaceDE/>
        <w:autoSpaceDN/>
        <w:bidi w:val="0"/>
        <w:adjustRightInd w:val="0"/>
        <w:snapToGrid w:val="0"/>
        <w:spacing w:line="360" w:lineRule="auto"/>
        <w:ind w:firstLine="960" w:firstLineChars="400"/>
        <w:textAlignment w:val="auto"/>
        <w:rPr>
          <w:rFonts w:hint="default" w:ascii="Times New Roman" w:hAnsi="Times New Roman" w:eastAsia="宋体" w:cs="Times New Roman"/>
          <w:caps w:val="0"/>
          <w:smallCaps w:val="0"/>
          <w:color w:val="auto"/>
          <w:spacing w:val="0"/>
          <w:w w:val="100"/>
          <w:position w:val="0"/>
          <w:sz w:val="24"/>
          <w:szCs w:val="24"/>
          <w:u w:val="none" w:color="auto"/>
          <w:lang w:eastAsia="zh-CN"/>
        </w:rPr>
      </w:pPr>
      <w:r>
        <w:rPr>
          <w:rFonts w:hint="default" w:ascii="Times New Roman" w:hAnsi="Times New Roman" w:eastAsia="宋体" w:cs="Times New Roman"/>
          <w:caps w:val="0"/>
          <w:smallCaps w:val="0"/>
          <w:color w:val="auto"/>
          <w:spacing w:val="0"/>
          <w:w w:val="100"/>
          <w:position w:val="0"/>
          <w:sz w:val="24"/>
          <w:szCs w:val="24"/>
          <w:u w:val="none" w:color="auto"/>
          <w:lang w:eastAsia="zh-CN"/>
        </w:rPr>
        <w:t xml:space="preserve">S——实用盐度符合，量纲为1；   </w:t>
      </w:r>
    </w:p>
    <w:p w14:paraId="53B2EE6D">
      <w:pPr>
        <w:pageBreakBefore w:val="0"/>
        <w:widowControl w:val="0"/>
        <w:kinsoku w:val="0"/>
        <w:wordWrap w:val="0"/>
        <w:overflowPunct/>
        <w:topLinePunct/>
        <w:autoSpaceDE/>
        <w:autoSpaceDN/>
        <w:bidi w:val="0"/>
        <w:adjustRightInd w:val="0"/>
        <w:snapToGrid w:val="0"/>
        <w:spacing w:line="360" w:lineRule="auto"/>
        <w:ind w:firstLine="960" w:firstLineChars="400"/>
        <w:textAlignment w:val="auto"/>
        <w:rPr>
          <w:rFonts w:hint="default" w:ascii="Times New Roman" w:hAnsi="Times New Roman" w:eastAsia="宋体" w:cs="Times New Roman"/>
          <w:caps w:val="0"/>
          <w:smallCaps w:val="0"/>
          <w:color w:val="auto"/>
          <w:spacing w:val="0"/>
          <w:w w:val="100"/>
          <w:position w:val="0"/>
          <w:sz w:val="24"/>
          <w:szCs w:val="24"/>
          <w:u w:val="none" w:color="auto"/>
          <w:lang w:eastAsia="zh-CN"/>
        </w:rPr>
      </w:pPr>
      <w:r>
        <w:rPr>
          <w:rFonts w:hint="default" w:ascii="Times New Roman" w:hAnsi="Times New Roman" w:eastAsia="宋体" w:cs="Times New Roman"/>
          <w:caps w:val="0"/>
          <w:smallCaps w:val="0"/>
          <w:color w:val="auto"/>
          <w:spacing w:val="0"/>
          <w:w w:val="100"/>
          <w:position w:val="0"/>
          <w:sz w:val="24"/>
          <w:szCs w:val="24"/>
          <w:u w:val="none" w:color="auto"/>
          <w:lang w:eastAsia="zh-CN"/>
        </w:rPr>
        <w:t>T——水温，℃。</w:t>
      </w:r>
    </w:p>
    <w:p w14:paraId="61B4E507">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7、 监测及评价结果</w:t>
      </w:r>
    </w:p>
    <w:p w14:paraId="4EB8AA15">
      <w:pPr>
        <w:pageBreakBefore w:val="0"/>
        <w:widowControl w:val="0"/>
        <w:kinsoku w:val="0"/>
        <w:wordWrap w:val="0"/>
        <w:overflowPunct/>
        <w:topLinePunct/>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lang w:eastAsia="zh-CN"/>
        </w:rPr>
      </w:pPr>
      <w:r>
        <w:rPr>
          <w:rFonts w:hint="default" w:ascii="Times New Roman" w:hAnsi="Times New Roman" w:eastAsia="宋体" w:cs="Times New Roman"/>
          <w:caps w:val="0"/>
          <w:smallCaps w:val="0"/>
          <w:color w:val="auto"/>
          <w:spacing w:val="0"/>
          <w:w w:val="100"/>
          <w:position w:val="0"/>
          <w:sz w:val="24"/>
          <w:szCs w:val="24"/>
          <w:u w:val="none" w:color="auto"/>
          <w:lang w:eastAsia="zh-CN"/>
        </w:rPr>
        <w:t>地表水</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水文参数见表3.2-5，地表水</w:t>
      </w:r>
      <w:r>
        <w:rPr>
          <w:rFonts w:hint="default" w:ascii="Times New Roman" w:hAnsi="Times New Roman" w:eastAsia="宋体" w:cs="Times New Roman"/>
          <w:caps w:val="0"/>
          <w:smallCaps w:val="0"/>
          <w:color w:val="auto"/>
          <w:spacing w:val="0"/>
          <w:w w:val="100"/>
          <w:position w:val="0"/>
          <w:sz w:val="24"/>
          <w:szCs w:val="24"/>
          <w:u w:val="none" w:color="auto"/>
          <w:lang w:eastAsia="zh-CN"/>
        </w:rPr>
        <w:t>环境</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质量</w:t>
      </w:r>
      <w:r>
        <w:rPr>
          <w:rFonts w:hint="default" w:ascii="Times New Roman" w:hAnsi="Times New Roman" w:eastAsia="宋体" w:cs="Times New Roman"/>
          <w:caps w:val="0"/>
          <w:smallCaps w:val="0"/>
          <w:color w:val="auto"/>
          <w:spacing w:val="0"/>
          <w:w w:val="100"/>
          <w:position w:val="0"/>
          <w:sz w:val="24"/>
          <w:szCs w:val="24"/>
          <w:u w:val="none" w:color="auto"/>
          <w:lang w:eastAsia="zh-CN"/>
        </w:rPr>
        <w:t>现状监测结果与评价结果见表3</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.2</w:t>
      </w:r>
      <w:r>
        <w:rPr>
          <w:rFonts w:hint="default" w:ascii="Times New Roman" w:hAnsi="Times New Roman" w:eastAsia="宋体" w:cs="Times New Roman"/>
          <w:caps w:val="0"/>
          <w:smallCaps w:val="0"/>
          <w:color w:val="auto"/>
          <w:spacing w:val="0"/>
          <w:w w:val="100"/>
          <w:position w:val="0"/>
          <w:sz w:val="24"/>
          <w:szCs w:val="24"/>
          <w:u w:val="none" w:color="auto"/>
          <w:lang w:eastAsia="zh-CN"/>
        </w:rPr>
        <w:t>-</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6和表3.2-7</w:t>
      </w:r>
      <w:r>
        <w:rPr>
          <w:rFonts w:hint="default" w:ascii="Times New Roman" w:hAnsi="Times New Roman" w:eastAsia="宋体" w:cs="Times New Roman"/>
          <w:caps w:val="0"/>
          <w:smallCaps w:val="0"/>
          <w:color w:val="auto"/>
          <w:spacing w:val="0"/>
          <w:w w:val="100"/>
          <w:position w:val="0"/>
          <w:sz w:val="24"/>
          <w:szCs w:val="24"/>
          <w:u w:val="none" w:color="auto"/>
          <w:lang w:eastAsia="zh-CN"/>
        </w:rPr>
        <w:t>。</w:t>
      </w:r>
    </w:p>
    <w:p w14:paraId="016DD5CF">
      <w:pPr>
        <w:pStyle w:val="78"/>
        <w:keepNext w:val="0"/>
        <w:keepLines w:val="0"/>
        <w:pageBreakBefore w:val="0"/>
        <w:widowControl w:val="0"/>
        <w:numPr>
          <w:ilvl w:val="0"/>
          <w:numId w:val="0"/>
        </w:numPr>
        <w:kinsoku/>
        <w:wordWrap/>
        <w:overflowPunct/>
        <w:topLinePunct w:val="0"/>
        <w:autoSpaceDE w:val="0"/>
        <w:autoSpaceDN w:val="0"/>
        <w:bidi w:val="0"/>
        <w:adjustRightInd w:val="0"/>
        <w:snapToGrid/>
        <w:spacing w:before="164" w:beforeLines="50" w:after="164" w:afterLines="50"/>
        <w:jc w:val="center"/>
        <w:textAlignment w:val="auto"/>
        <w:rPr>
          <w:rFonts w:hint="default" w:ascii="Times New Roman" w:hAnsi="Times New Roman" w:eastAsia="宋体" w:cs="Times New Roman"/>
          <w:b/>
          <w:caps w:val="0"/>
          <w:smallCaps w:val="0"/>
          <w:color w:val="auto"/>
          <w:spacing w:val="0"/>
          <w:w w:val="100"/>
          <w:kern w:val="2"/>
          <w:position w:val="0"/>
          <w:sz w:val="21"/>
          <w:szCs w:val="21"/>
          <w:u w:val="none" w:color="auto"/>
          <w:lang w:val="en-US" w:eastAsia="zh-CN" w:bidi="ar-SA"/>
        </w:rPr>
      </w:pPr>
      <w:r>
        <w:rPr>
          <w:rFonts w:hint="default" w:ascii="Times New Roman" w:hAnsi="Times New Roman" w:eastAsia="宋体" w:cs="Times New Roman"/>
          <w:b/>
          <w:caps w:val="0"/>
          <w:smallCaps w:val="0"/>
          <w:color w:val="auto"/>
          <w:spacing w:val="0"/>
          <w:w w:val="100"/>
          <w:kern w:val="2"/>
          <w:position w:val="0"/>
          <w:sz w:val="21"/>
          <w:szCs w:val="21"/>
          <w:u w:val="none" w:color="auto"/>
          <w:lang w:val="en-US" w:eastAsia="zh-CN" w:bidi="ar-SA"/>
        </w:rPr>
        <w:t>表3.2-5   地表水水文参数</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247"/>
        <w:gridCol w:w="4024"/>
        <w:gridCol w:w="1192"/>
        <w:gridCol w:w="1878"/>
      </w:tblGrid>
      <w:tr w14:paraId="6B375C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1246" w:type="dxa"/>
            <w:tcBorders>
              <w:tl2br w:val="nil"/>
              <w:tr2bl w:val="nil"/>
            </w:tcBorders>
            <w:noWrap w:val="0"/>
            <w:vAlign w:val="center"/>
          </w:tcPr>
          <w:p w14:paraId="0EFFF0F9">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采样时间</w:t>
            </w:r>
          </w:p>
        </w:tc>
        <w:tc>
          <w:tcPr>
            <w:tcW w:w="4021" w:type="dxa"/>
            <w:tcBorders>
              <w:tl2br w:val="nil"/>
              <w:tr2bl w:val="nil"/>
            </w:tcBorders>
            <w:noWrap w:val="0"/>
            <w:vAlign w:val="center"/>
          </w:tcPr>
          <w:p w14:paraId="5C16D83C">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采样点位</w:t>
            </w:r>
          </w:p>
        </w:tc>
        <w:tc>
          <w:tcPr>
            <w:tcW w:w="1191" w:type="dxa"/>
            <w:tcBorders>
              <w:tl2br w:val="nil"/>
              <w:tr2bl w:val="nil"/>
            </w:tcBorders>
            <w:noWrap w:val="0"/>
            <w:vAlign w:val="center"/>
          </w:tcPr>
          <w:p w14:paraId="674D5C91">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检测项目</w:t>
            </w:r>
          </w:p>
        </w:tc>
        <w:tc>
          <w:tcPr>
            <w:tcW w:w="1876" w:type="dxa"/>
            <w:tcBorders>
              <w:tl2br w:val="nil"/>
              <w:tr2bl w:val="nil"/>
            </w:tcBorders>
            <w:noWrap w:val="0"/>
            <w:vAlign w:val="center"/>
          </w:tcPr>
          <w:p w14:paraId="2B853359">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检测结果（m）</w:t>
            </w:r>
          </w:p>
        </w:tc>
      </w:tr>
      <w:tr w14:paraId="2A5D79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46" w:type="dxa"/>
            <w:vMerge w:val="restart"/>
            <w:tcBorders>
              <w:tl2br w:val="nil"/>
              <w:tr2bl w:val="nil"/>
            </w:tcBorders>
            <w:noWrap w:val="0"/>
            <w:vAlign w:val="center"/>
          </w:tcPr>
          <w:p w14:paraId="6D6EE359">
            <w:pPr>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snapToGrid/>
                <w:kern w:val="2"/>
                <w:sz w:val="21"/>
                <w:szCs w:val="21"/>
                <w:lang w:val="en-US" w:eastAsia="zh-CN" w:bidi="ar-SA"/>
              </w:rPr>
              <w:t>2024.05.08</w:t>
            </w:r>
          </w:p>
        </w:tc>
        <w:tc>
          <w:tcPr>
            <w:tcW w:w="4021" w:type="dxa"/>
            <w:tcBorders>
              <w:tl2br w:val="nil"/>
              <w:tr2bl w:val="nil"/>
            </w:tcBorders>
            <w:noWrap w:val="0"/>
            <w:vAlign w:val="center"/>
          </w:tcPr>
          <w:p w14:paraId="0A27A9D6">
            <w:pPr>
              <w:jc w:val="center"/>
              <w:rPr>
                <w:rFonts w:hint="default" w:ascii="Times New Roman" w:hAnsi="Times New Roman" w:eastAsia="宋体" w:cs="Times New Roman"/>
                <w:snapToGrid/>
                <w:kern w:val="2"/>
                <w:sz w:val="21"/>
                <w:szCs w:val="21"/>
                <w:lang w:val="en-US" w:eastAsia="zh-CN" w:bidi="ar-SA"/>
              </w:rPr>
            </w:pPr>
            <w:r>
              <w:rPr>
                <w:rFonts w:hint="default" w:ascii="Times New Roman" w:hAnsi="Times New Roman" w:eastAsia="宋体" w:cs="Times New Roman"/>
                <w:snapToGrid/>
                <w:kern w:val="2"/>
                <w:sz w:val="21"/>
                <w:szCs w:val="21"/>
                <w:lang w:val="en-US" w:eastAsia="zh-CN" w:bidi="ar-SA"/>
              </w:rPr>
              <w:t xml:space="preserve">W1水库西侧库尾断面坝址上游约870m </w:t>
            </w:r>
          </w:p>
        </w:tc>
        <w:tc>
          <w:tcPr>
            <w:tcW w:w="1191" w:type="dxa"/>
            <w:tcBorders>
              <w:tl2br w:val="nil"/>
              <w:tr2bl w:val="nil"/>
            </w:tcBorders>
            <w:noWrap w:val="0"/>
            <w:vAlign w:val="center"/>
          </w:tcPr>
          <w:p w14:paraId="76916B24">
            <w:pPr>
              <w:jc w:val="center"/>
              <w:rPr>
                <w:rFonts w:hint="default" w:ascii="Times New Roman" w:hAnsi="Times New Roman" w:eastAsia="宋体" w:cs="Times New Roman"/>
                <w:snapToGrid/>
                <w:kern w:val="2"/>
                <w:sz w:val="21"/>
                <w:szCs w:val="21"/>
                <w:lang w:val="en-US" w:eastAsia="zh-CN" w:bidi="ar-SA"/>
              </w:rPr>
            </w:pPr>
            <w:r>
              <w:rPr>
                <w:rFonts w:hint="default" w:ascii="Times New Roman" w:hAnsi="Times New Roman" w:eastAsia="宋体" w:cs="Times New Roman"/>
                <w:snapToGrid/>
                <w:kern w:val="2"/>
                <w:sz w:val="21"/>
                <w:szCs w:val="21"/>
                <w:lang w:val="en-US" w:eastAsia="zh-CN" w:bidi="ar-SA"/>
              </w:rPr>
              <w:t>水位</w:t>
            </w:r>
          </w:p>
        </w:tc>
        <w:tc>
          <w:tcPr>
            <w:tcW w:w="1876" w:type="dxa"/>
            <w:tcBorders>
              <w:tl2br w:val="nil"/>
              <w:tr2bl w:val="nil"/>
            </w:tcBorders>
            <w:noWrap w:val="0"/>
            <w:vAlign w:val="center"/>
          </w:tcPr>
          <w:p w14:paraId="14AA0148">
            <w:pPr>
              <w:jc w:val="center"/>
              <w:rPr>
                <w:rFonts w:hint="default" w:ascii="Times New Roman" w:hAnsi="Times New Roman" w:eastAsia="宋体" w:cs="Times New Roman"/>
                <w:snapToGrid/>
                <w:kern w:val="2"/>
                <w:sz w:val="21"/>
                <w:szCs w:val="21"/>
                <w:lang w:val="en-US" w:eastAsia="zh-CN" w:bidi="ar-SA"/>
              </w:rPr>
            </w:pPr>
            <w:r>
              <w:rPr>
                <w:rFonts w:hint="eastAsia" w:ascii="Times New Roman" w:hAnsi="Times New Roman" w:eastAsia="宋体" w:cs="Times New Roman"/>
                <w:snapToGrid/>
                <w:kern w:val="2"/>
                <w:sz w:val="21"/>
                <w:szCs w:val="21"/>
                <w:lang w:val="en-US" w:eastAsia="zh-CN" w:bidi="ar-SA"/>
              </w:rPr>
              <w:t>56.8</w:t>
            </w:r>
          </w:p>
        </w:tc>
      </w:tr>
      <w:tr w14:paraId="75401F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46" w:type="dxa"/>
            <w:vMerge w:val="continue"/>
            <w:tcBorders>
              <w:tl2br w:val="nil"/>
              <w:tr2bl w:val="nil"/>
            </w:tcBorders>
            <w:noWrap w:val="0"/>
            <w:vAlign w:val="center"/>
          </w:tcPr>
          <w:p w14:paraId="0F1565EF">
            <w:pPr>
              <w:jc w:val="center"/>
              <w:rPr>
                <w:rFonts w:hint="default" w:ascii="Times New Roman" w:hAnsi="Times New Roman" w:eastAsia="宋体" w:cs="Times New Roman"/>
                <w:color w:val="FF0000"/>
                <w:sz w:val="21"/>
                <w:szCs w:val="21"/>
                <w:lang w:val="en-US" w:eastAsia="zh-CN"/>
              </w:rPr>
            </w:pPr>
          </w:p>
        </w:tc>
        <w:tc>
          <w:tcPr>
            <w:tcW w:w="4021" w:type="dxa"/>
            <w:tcBorders>
              <w:tl2br w:val="nil"/>
              <w:tr2bl w:val="nil"/>
            </w:tcBorders>
            <w:noWrap w:val="0"/>
            <w:vAlign w:val="center"/>
          </w:tcPr>
          <w:p w14:paraId="332E86F5">
            <w:pPr>
              <w:pStyle w:val="116"/>
              <w:rPr>
                <w:rFonts w:hint="default" w:ascii="Times New Roman" w:hAnsi="Times New Roman" w:eastAsia="宋体" w:cs="Times New Roman"/>
                <w:snapToGrid/>
                <w:kern w:val="2"/>
                <w:sz w:val="21"/>
                <w:szCs w:val="21"/>
                <w:lang w:val="en-US" w:eastAsia="zh-CN" w:bidi="ar-SA"/>
              </w:rPr>
            </w:pPr>
            <w:r>
              <w:rPr>
                <w:rFonts w:hint="default" w:ascii="Times New Roman" w:hAnsi="Times New Roman" w:eastAsia="宋体" w:cs="Times New Roman"/>
                <w:snapToGrid/>
                <w:kern w:val="2"/>
                <w:sz w:val="21"/>
                <w:szCs w:val="21"/>
                <w:lang w:val="en-US" w:eastAsia="zh-CN" w:bidi="ar-SA"/>
              </w:rPr>
              <w:t xml:space="preserve">W2水库西南侧库尾断面坝址上游约680m </w:t>
            </w:r>
          </w:p>
        </w:tc>
        <w:tc>
          <w:tcPr>
            <w:tcW w:w="1191" w:type="dxa"/>
            <w:tcBorders>
              <w:tl2br w:val="nil"/>
              <w:tr2bl w:val="nil"/>
            </w:tcBorders>
            <w:noWrap w:val="0"/>
            <w:vAlign w:val="center"/>
          </w:tcPr>
          <w:p w14:paraId="7E7771D5">
            <w:pPr>
              <w:jc w:val="center"/>
              <w:rPr>
                <w:rFonts w:hint="default" w:ascii="Times New Roman" w:hAnsi="Times New Roman" w:eastAsia="宋体" w:cs="Times New Roman"/>
                <w:snapToGrid/>
                <w:kern w:val="2"/>
                <w:sz w:val="21"/>
                <w:szCs w:val="21"/>
                <w:lang w:val="en-US" w:eastAsia="zh-CN" w:bidi="ar-SA"/>
              </w:rPr>
            </w:pPr>
            <w:r>
              <w:rPr>
                <w:rFonts w:hint="default" w:ascii="Times New Roman" w:hAnsi="Times New Roman" w:eastAsia="宋体" w:cs="Times New Roman"/>
                <w:snapToGrid/>
                <w:kern w:val="2"/>
                <w:sz w:val="21"/>
                <w:szCs w:val="21"/>
                <w:lang w:val="en-US" w:eastAsia="zh-CN" w:bidi="ar-SA"/>
              </w:rPr>
              <w:t>水位</w:t>
            </w:r>
          </w:p>
        </w:tc>
        <w:tc>
          <w:tcPr>
            <w:tcW w:w="1876" w:type="dxa"/>
            <w:tcBorders>
              <w:tl2br w:val="nil"/>
              <w:tr2bl w:val="nil"/>
            </w:tcBorders>
            <w:noWrap w:val="0"/>
            <w:vAlign w:val="center"/>
          </w:tcPr>
          <w:p w14:paraId="54CACDD6">
            <w:pPr>
              <w:jc w:val="center"/>
              <w:rPr>
                <w:rFonts w:hint="default" w:ascii="Times New Roman" w:hAnsi="Times New Roman" w:eastAsia="宋体" w:cs="Times New Roman"/>
                <w:snapToGrid/>
                <w:kern w:val="2"/>
                <w:sz w:val="21"/>
                <w:szCs w:val="21"/>
                <w:lang w:val="en-US" w:eastAsia="zh-CN" w:bidi="ar-SA"/>
              </w:rPr>
            </w:pPr>
            <w:r>
              <w:rPr>
                <w:rFonts w:hint="eastAsia" w:ascii="Times New Roman" w:hAnsi="Times New Roman" w:eastAsia="宋体" w:cs="Times New Roman"/>
                <w:snapToGrid/>
                <w:kern w:val="2"/>
                <w:sz w:val="21"/>
                <w:szCs w:val="21"/>
                <w:lang w:val="en-US" w:eastAsia="zh-CN" w:bidi="ar-SA"/>
              </w:rPr>
              <w:t>57.1</w:t>
            </w:r>
          </w:p>
        </w:tc>
      </w:tr>
      <w:tr w14:paraId="300810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46" w:type="dxa"/>
            <w:vMerge w:val="continue"/>
            <w:tcBorders>
              <w:tl2br w:val="nil"/>
              <w:tr2bl w:val="nil"/>
            </w:tcBorders>
            <w:noWrap w:val="0"/>
            <w:vAlign w:val="center"/>
          </w:tcPr>
          <w:p w14:paraId="64A6D511">
            <w:pPr>
              <w:jc w:val="center"/>
              <w:rPr>
                <w:rFonts w:hint="default" w:ascii="Times New Roman" w:hAnsi="Times New Roman" w:eastAsia="宋体" w:cs="Times New Roman"/>
                <w:sz w:val="21"/>
                <w:szCs w:val="21"/>
                <w:lang w:val="en-US" w:eastAsia="zh-CN"/>
              </w:rPr>
            </w:pPr>
          </w:p>
        </w:tc>
        <w:tc>
          <w:tcPr>
            <w:tcW w:w="4021" w:type="dxa"/>
            <w:tcBorders>
              <w:tl2br w:val="nil"/>
              <w:tr2bl w:val="nil"/>
            </w:tcBorders>
            <w:noWrap w:val="0"/>
            <w:vAlign w:val="center"/>
          </w:tcPr>
          <w:p w14:paraId="17EC939C">
            <w:pPr>
              <w:pStyle w:val="116"/>
              <w:rPr>
                <w:rFonts w:hint="default" w:ascii="Times New Roman" w:hAnsi="Times New Roman" w:eastAsia="宋体" w:cs="Times New Roman"/>
                <w:snapToGrid/>
                <w:kern w:val="2"/>
                <w:sz w:val="21"/>
                <w:szCs w:val="21"/>
                <w:lang w:val="en-US" w:eastAsia="zh-CN" w:bidi="ar-SA"/>
              </w:rPr>
            </w:pPr>
            <w:r>
              <w:rPr>
                <w:rFonts w:hint="default" w:ascii="Times New Roman" w:hAnsi="Times New Roman" w:eastAsia="宋体" w:cs="Times New Roman"/>
                <w:snapToGrid/>
                <w:kern w:val="2"/>
                <w:sz w:val="21"/>
                <w:szCs w:val="21"/>
                <w:lang w:val="en-US" w:eastAsia="zh-CN" w:bidi="ar-SA"/>
              </w:rPr>
              <w:t xml:space="preserve">W3水库库区中心断面坝址上游约500m </w:t>
            </w:r>
          </w:p>
        </w:tc>
        <w:tc>
          <w:tcPr>
            <w:tcW w:w="1191" w:type="dxa"/>
            <w:tcBorders>
              <w:tl2br w:val="nil"/>
              <w:tr2bl w:val="nil"/>
            </w:tcBorders>
            <w:noWrap w:val="0"/>
            <w:vAlign w:val="center"/>
          </w:tcPr>
          <w:p w14:paraId="356E8F55">
            <w:pPr>
              <w:jc w:val="center"/>
              <w:rPr>
                <w:rFonts w:hint="default" w:ascii="Times New Roman" w:hAnsi="Times New Roman" w:eastAsia="宋体" w:cs="Times New Roman"/>
                <w:snapToGrid/>
                <w:kern w:val="2"/>
                <w:sz w:val="21"/>
                <w:szCs w:val="21"/>
                <w:lang w:val="en-US" w:eastAsia="zh-CN" w:bidi="ar-SA"/>
              </w:rPr>
            </w:pPr>
            <w:r>
              <w:rPr>
                <w:rFonts w:hint="default" w:ascii="Times New Roman" w:hAnsi="Times New Roman" w:eastAsia="宋体" w:cs="Times New Roman"/>
                <w:snapToGrid/>
                <w:kern w:val="2"/>
                <w:sz w:val="21"/>
                <w:szCs w:val="21"/>
                <w:lang w:val="en-US" w:eastAsia="zh-CN" w:bidi="ar-SA"/>
              </w:rPr>
              <w:t>水位</w:t>
            </w:r>
          </w:p>
        </w:tc>
        <w:tc>
          <w:tcPr>
            <w:tcW w:w="1876" w:type="dxa"/>
            <w:tcBorders>
              <w:tl2br w:val="nil"/>
              <w:tr2bl w:val="nil"/>
            </w:tcBorders>
            <w:noWrap w:val="0"/>
            <w:vAlign w:val="center"/>
          </w:tcPr>
          <w:p w14:paraId="2DCA8B87">
            <w:pPr>
              <w:jc w:val="center"/>
              <w:rPr>
                <w:rFonts w:hint="default" w:ascii="Times New Roman" w:hAnsi="Times New Roman" w:eastAsia="宋体" w:cs="Times New Roman"/>
                <w:snapToGrid/>
                <w:kern w:val="2"/>
                <w:sz w:val="21"/>
                <w:szCs w:val="21"/>
                <w:lang w:val="en-US" w:eastAsia="zh-CN" w:bidi="ar-SA"/>
              </w:rPr>
            </w:pPr>
            <w:r>
              <w:rPr>
                <w:rFonts w:hint="eastAsia" w:ascii="Times New Roman" w:hAnsi="Times New Roman" w:eastAsia="宋体" w:cs="Times New Roman"/>
                <w:snapToGrid/>
                <w:kern w:val="2"/>
                <w:sz w:val="21"/>
                <w:szCs w:val="21"/>
                <w:lang w:val="en-US" w:eastAsia="zh-CN" w:bidi="ar-SA"/>
              </w:rPr>
              <w:t>58.3</w:t>
            </w:r>
          </w:p>
        </w:tc>
      </w:tr>
      <w:tr w14:paraId="51FBD6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46" w:type="dxa"/>
            <w:vMerge w:val="continue"/>
            <w:tcBorders>
              <w:tl2br w:val="nil"/>
              <w:tr2bl w:val="nil"/>
            </w:tcBorders>
            <w:noWrap w:val="0"/>
            <w:vAlign w:val="center"/>
          </w:tcPr>
          <w:p w14:paraId="2F88F5D7">
            <w:pPr>
              <w:jc w:val="center"/>
              <w:rPr>
                <w:rFonts w:hint="default" w:ascii="Times New Roman" w:hAnsi="Times New Roman" w:eastAsia="宋体" w:cs="Times New Roman"/>
                <w:sz w:val="21"/>
                <w:szCs w:val="21"/>
                <w:lang w:val="en-US" w:eastAsia="zh-CN"/>
              </w:rPr>
            </w:pPr>
          </w:p>
        </w:tc>
        <w:tc>
          <w:tcPr>
            <w:tcW w:w="4021" w:type="dxa"/>
            <w:tcBorders>
              <w:tl2br w:val="nil"/>
              <w:tr2bl w:val="nil"/>
            </w:tcBorders>
            <w:noWrap w:val="0"/>
            <w:vAlign w:val="center"/>
          </w:tcPr>
          <w:p w14:paraId="7109FD20">
            <w:pPr>
              <w:pStyle w:val="116"/>
              <w:rPr>
                <w:rFonts w:hint="default" w:ascii="Times New Roman" w:hAnsi="Times New Roman" w:eastAsia="宋体" w:cs="Times New Roman"/>
                <w:snapToGrid/>
                <w:kern w:val="2"/>
                <w:sz w:val="21"/>
                <w:szCs w:val="21"/>
                <w:lang w:val="en-US" w:eastAsia="zh-CN" w:bidi="ar-SA"/>
              </w:rPr>
            </w:pPr>
            <w:r>
              <w:rPr>
                <w:rFonts w:hint="default" w:ascii="Times New Roman" w:hAnsi="Times New Roman" w:eastAsia="宋体" w:cs="Times New Roman"/>
                <w:snapToGrid/>
                <w:kern w:val="2"/>
                <w:sz w:val="21"/>
                <w:szCs w:val="21"/>
                <w:lang w:val="en-US" w:eastAsia="zh-CN" w:bidi="ar-SA"/>
              </w:rPr>
              <w:t>W4水库坝前取水口断面坝址上游约50m</w:t>
            </w:r>
          </w:p>
        </w:tc>
        <w:tc>
          <w:tcPr>
            <w:tcW w:w="1191" w:type="dxa"/>
            <w:tcBorders>
              <w:tl2br w:val="nil"/>
              <w:tr2bl w:val="nil"/>
            </w:tcBorders>
            <w:noWrap w:val="0"/>
            <w:vAlign w:val="center"/>
          </w:tcPr>
          <w:p w14:paraId="5CA89CFD">
            <w:pPr>
              <w:jc w:val="center"/>
              <w:rPr>
                <w:rFonts w:hint="default" w:ascii="Times New Roman" w:hAnsi="Times New Roman" w:eastAsia="宋体" w:cs="Times New Roman"/>
                <w:snapToGrid/>
                <w:kern w:val="2"/>
                <w:sz w:val="21"/>
                <w:szCs w:val="21"/>
                <w:lang w:val="en-US" w:eastAsia="zh-CN" w:bidi="ar-SA"/>
              </w:rPr>
            </w:pPr>
            <w:r>
              <w:rPr>
                <w:rFonts w:hint="default" w:ascii="Times New Roman" w:hAnsi="Times New Roman" w:eastAsia="宋体" w:cs="Times New Roman"/>
                <w:snapToGrid/>
                <w:kern w:val="2"/>
                <w:sz w:val="21"/>
                <w:szCs w:val="21"/>
                <w:lang w:val="en-US" w:eastAsia="zh-CN" w:bidi="ar-SA"/>
              </w:rPr>
              <w:t>水位</w:t>
            </w:r>
          </w:p>
        </w:tc>
        <w:tc>
          <w:tcPr>
            <w:tcW w:w="1876" w:type="dxa"/>
            <w:tcBorders>
              <w:tl2br w:val="nil"/>
              <w:tr2bl w:val="nil"/>
            </w:tcBorders>
            <w:noWrap w:val="0"/>
            <w:vAlign w:val="center"/>
          </w:tcPr>
          <w:p w14:paraId="534BB3FA">
            <w:pPr>
              <w:jc w:val="center"/>
              <w:rPr>
                <w:rFonts w:hint="default" w:ascii="Times New Roman" w:hAnsi="Times New Roman" w:eastAsia="宋体" w:cs="Times New Roman"/>
                <w:snapToGrid/>
                <w:kern w:val="2"/>
                <w:sz w:val="21"/>
                <w:szCs w:val="21"/>
                <w:lang w:val="en-US" w:eastAsia="zh-CN" w:bidi="ar-SA"/>
              </w:rPr>
            </w:pPr>
            <w:r>
              <w:rPr>
                <w:rFonts w:hint="eastAsia" w:ascii="Times New Roman" w:hAnsi="Times New Roman" w:eastAsia="宋体" w:cs="Times New Roman"/>
                <w:snapToGrid/>
                <w:kern w:val="2"/>
                <w:sz w:val="21"/>
                <w:szCs w:val="21"/>
                <w:lang w:val="en-US" w:eastAsia="zh-CN" w:bidi="ar-SA"/>
              </w:rPr>
              <w:t>55.4</w:t>
            </w:r>
          </w:p>
        </w:tc>
      </w:tr>
    </w:tbl>
    <w:p w14:paraId="2A54E1C3">
      <w:pPr>
        <w:keepNext w:val="0"/>
        <w:keepLines w:val="0"/>
        <w:pageBreakBefore w:val="0"/>
        <w:widowControl w:val="0"/>
        <w:kinsoku w:val="0"/>
        <w:wordWrap w:val="0"/>
        <w:overflowPunct/>
        <w:topLinePunct/>
        <w:autoSpaceDE/>
        <w:autoSpaceDN/>
        <w:bidi w:val="0"/>
        <w:adjustRightInd/>
        <w:snapToGrid/>
        <w:spacing w:before="0" w:beforeLines="50"/>
        <w:jc w:val="center"/>
        <w:textAlignment w:val="auto"/>
        <w:rPr>
          <w:rFonts w:hint="default" w:ascii="Times New Roman" w:hAnsi="Times New Roman" w:eastAsia="宋体" w:cs="Times New Roman"/>
          <w:b/>
          <w:caps w:val="0"/>
          <w:smallCaps w:val="0"/>
          <w:color w:val="auto"/>
          <w:spacing w:val="0"/>
          <w:w w:val="100"/>
          <w:position w:val="0"/>
          <w:szCs w:val="21"/>
          <w:u w:val="none" w:color="auto"/>
        </w:rPr>
      </w:pPr>
      <w:r>
        <w:rPr>
          <w:rFonts w:hint="default" w:ascii="Times New Roman" w:hAnsi="Times New Roman" w:eastAsia="宋体" w:cs="Times New Roman"/>
          <w:b/>
          <w:caps w:val="0"/>
          <w:smallCaps w:val="0"/>
          <w:color w:val="auto"/>
          <w:spacing w:val="0"/>
          <w:w w:val="100"/>
          <w:position w:val="0"/>
          <w:szCs w:val="21"/>
          <w:u w:val="none" w:color="auto"/>
          <w:lang w:val="en-US" w:eastAsia="zh-CN"/>
        </w:rPr>
        <w:t>表3.2-6  地表</w:t>
      </w:r>
      <w:r>
        <w:rPr>
          <w:rFonts w:hint="default" w:ascii="Times New Roman" w:hAnsi="Times New Roman" w:eastAsia="宋体" w:cs="Times New Roman"/>
          <w:b/>
          <w:caps w:val="0"/>
          <w:smallCaps w:val="0"/>
          <w:color w:val="auto"/>
          <w:spacing w:val="0"/>
          <w:w w:val="100"/>
          <w:position w:val="0"/>
          <w:szCs w:val="21"/>
          <w:u w:val="none" w:color="auto"/>
        </w:rPr>
        <w:t>水环境质量监测结果表</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6"/>
        <w:gridCol w:w="1341"/>
        <w:gridCol w:w="1131"/>
        <w:gridCol w:w="1231"/>
        <w:gridCol w:w="1173"/>
        <w:gridCol w:w="957"/>
        <w:gridCol w:w="1032"/>
        <w:gridCol w:w="937"/>
      </w:tblGrid>
      <w:tr w14:paraId="2ADB3E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restart"/>
            <w:tcBorders>
              <w:tl2br w:val="nil"/>
              <w:tr2bl w:val="nil"/>
            </w:tcBorders>
            <w:noWrap w:val="0"/>
            <w:vAlign w:val="center"/>
          </w:tcPr>
          <w:p w14:paraId="45EDD823">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bidi="ar-SA"/>
              </w:rPr>
            </w:pPr>
            <w:r>
              <w:rPr>
                <w:rFonts w:hint="default" w:ascii="Times New Roman" w:hAnsi="Times New Roman" w:eastAsia="宋体" w:cs="Times New Roman"/>
                <w:b/>
                <w:bCs/>
                <w:color w:val="auto"/>
                <w:spacing w:val="0"/>
                <w:w w:val="100"/>
                <w:position w:val="0"/>
                <w:sz w:val="21"/>
                <w:szCs w:val="21"/>
                <w:u w:val="none" w:color="auto"/>
                <w:lang w:val="en-US" w:eastAsia="zh-CN" w:bidi="ar-SA"/>
              </w:rPr>
              <w:t>监测</w:t>
            </w:r>
          </w:p>
          <w:p w14:paraId="25567845">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bidi="ar-SA"/>
              </w:rPr>
            </w:pPr>
            <w:r>
              <w:rPr>
                <w:rFonts w:hint="default" w:ascii="Times New Roman" w:hAnsi="Times New Roman" w:eastAsia="宋体" w:cs="Times New Roman"/>
                <w:b/>
                <w:bCs/>
                <w:color w:val="auto"/>
                <w:spacing w:val="0"/>
                <w:w w:val="100"/>
                <w:position w:val="0"/>
                <w:sz w:val="21"/>
                <w:szCs w:val="21"/>
                <w:u w:val="none" w:color="auto"/>
                <w:lang w:val="en-US" w:eastAsia="zh-CN" w:bidi="ar-SA"/>
              </w:rPr>
              <w:t>点位</w:t>
            </w:r>
          </w:p>
        </w:tc>
        <w:tc>
          <w:tcPr>
            <w:tcW w:w="1340" w:type="dxa"/>
            <w:vMerge w:val="restart"/>
            <w:tcBorders>
              <w:tl2br w:val="nil"/>
              <w:tr2bl w:val="nil"/>
            </w:tcBorders>
            <w:noWrap w:val="0"/>
            <w:vAlign w:val="center"/>
          </w:tcPr>
          <w:p w14:paraId="2B0A9155">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bidi="ar-SA"/>
              </w:rPr>
            </w:pPr>
            <w:r>
              <w:rPr>
                <w:rFonts w:hint="default" w:ascii="Times New Roman" w:hAnsi="Times New Roman" w:eastAsia="宋体" w:cs="Times New Roman"/>
                <w:b/>
                <w:bCs/>
                <w:color w:val="auto"/>
                <w:spacing w:val="0"/>
                <w:w w:val="100"/>
                <w:position w:val="0"/>
                <w:sz w:val="21"/>
                <w:szCs w:val="21"/>
                <w:u w:val="none" w:color="auto"/>
                <w:lang w:val="en-US" w:eastAsia="zh-CN" w:bidi="ar-SA"/>
              </w:rPr>
              <w:t>检测因子</w:t>
            </w:r>
          </w:p>
        </w:tc>
        <w:tc>
          <w:tcPr>
            <w:tcW w:w="3532" w:type="dxa"/>
            <w:gridSpan w:val="3"/>
            <w:tcBorders>
              <w:tl2br w:val="nil"/>
              <w:tr2bl w:val="nil"/>
            </w:tcBorders>
            <w:noWrap w:val="0"/>
            <w:vAlign w:val="center"/>
          </w:tcPr>
          <w:p w14:paraId="68C00FAE">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bidi="ar-SA"/>
              </w:rPr>
            </w:pPr>
            <w:r>
              <w:rPr>
                <w:rFonts w:hint="default" w:ascii="Times New Roman" w:hAnsi="Times New Roman" w:eastAsia="宋体" w:cs="Times New Roman"/>
                <w:b/>
                <w:bCs/>
                <w:color w:val="auto"/>
                <w:spacing w:val="0"/>
                <w:w w:val="100"/>
                <w:position w:val="0"/>
                <w:sz w:val="21"/>
                <w:szCs w:val="21"/>
                <w:u w:val="none" w:color="auto"/>
                <w:lang w:val="en-US" w:eastAsia="zh-CN" w:bidi="ar-SA"/>
              </w:rPr>
              <w:t>采样时间及检测结果（单位：</w:t>
            </w:r>
            <w:r>
              <w:rPr>
                <w:rFonts w:hint="default" w:ascii="Times New Roman" w:hAnsi="Times New Roman" w:eastAsia="宋体" w:cs="Times New Roman"/>
                <w:b/>
                <w:bCs/>
                <w:color w:val="auto"/>
                <w:spacing w:val="0"/>
                <w:w w:val="100"/>
                <w:position w:val="0"/>
                <w:sz w:val="21"/>
                <w:szCs w:val="21"/>
                <w:u w:val="none" w:color="auto"/>
                <w:lang w:eastAsia="zh-CN"/>
              </w:rPr>
              <w:t>mg/L，pH无量纲，粪大肠菌群：个</w:t>
            </w:r>
            <w:r>
              <w:rPr>
                <w:rFonts w:hint="default" w:ascii="Times New Roman" w:hAnsi="Times New Roman" w:eastAsia="宋体" w:cs="Times New Roman"/>
                <w:b/>
                <w:bCs/>
                <w:color w:val="auto"/>
                <w:spacing w:val="0"/>
                <w:w w:val="100"/>
                <w:position w:val="0"/>
                <w:sz w:val="21"/>
                <w:szCs w:val="21"/>
                <w:u w:val="none" w:color="auto"/>
                <w:lang w:val="en-US" w:eastAsia="zh-CN"/>
              </w:rPr>
              <w:t>/L，透明度：米，水温：</w:t>
            </w:r>
            <w:r>
              <w:rPr>
                <w:rFonts w:hint="default" w:ascii="Times New Roman" w:hAnsi="Times New Roman" w:cs="Times New Roman" w:eastAsiaTheme="majorEastAsia"/>
                <w:sz w:val="21"/>
                <w:szCs w:val="21"/>
                <w:lang w:val="en-US" w:eastAsia="zh-CN"/>
              </w:rPr>
              <w:t>℃</w:t>
            </w:r>
            <w:r>
              <w:rPr>
                <w:rFonts w:hint="default" w:ascii="Times New Roman" w:hAnsi="Times New Roman" w:eastAsia="宋体" w:cs="Times New Roman"/>
                <w:b/>
                <w:bCs/>
                <w:color w:val="auto"/>
                <w:spacing w:val="0"/>
                <w:w w:val="100"/>
                <w:position w:val="0"/>
                <w:sz w:val="21"/>
                <w:szCs w:val="21"/>
                <w:u w:val="none" w:color="auto"/>
                <w:lang w:val="en-US" w:eastAsia="zh-CN" w:bidi="ar-SA"/>
              </w:rPr>
              <w:t>）</w:t>
            </w:r>
          </w:p>
        </w:tc>
        <w:tc>
          <w:tcPr>
            <w:tcW w:w="956" w:type="dxa"/>
            <w:vMerge w:val="restart"/>
            <w:tcBorders>
              <w:tl2br w:val="nil"/>
              <w:tr2bl w:val="nil"/>
            </w:tcBorders>
            <w:noWrap w:val="0"/>
            <w:vAlign w:val="center"/>
          </w:tcPr>
          <w:p w14:paraId="7120C6E3">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bidi="ar-SA"/>
              </w:rPr>
            </w:pPr>
            <w:r>
              <w:rPr>
                <w:rFonts w:hint="default" w:ascii="Times New Roman" w:hAnsi="Times New Roman" w:eastAsia="宋体" w:cs="Times New Roman"/>
                <w:b/>
                <w:bCs/>
                <w:color w:val="auto"/>
                <w:spacing w:val="0"/>
                <w:w w:val="100"/>
                <w:position w:val="0"/>
                <w:sz w:val="21"/>
                <w:szCs w:val="21"/>
                <w:u w:val="none" w:color="auto"/>
                <w:lang w:val="en-US" w:eastAsia="zh-CN" w:bidi="ar-SA"/>
              </w:rPr>
              <w:t>III类标准限值</w:t>
            </w:r>
          </w:p>
        </w:tc>
        <w:tc>
          <w:tcPr>
            <w:tcW w:w="1031" w:type="dxa"/>
            <w:vMerge w:val="restart"/>
            <w:tcBorders>
              <w:tl2br w:val="nil"/>
              <w:tr2bl w:val="nil"/>
            </w:tcBorders>
            <w:noWrap w:val="0"/>
            <w:vAlign w:val="center"/>
          </w:tcPr>
          <w:p w14:paraId="6E3DEE10">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bidi="ar-SA"/>
              </w:rPr>
            </w:pPr>
            <w:r>
              <w:rPr>
                <w:rFonts w:hint="default" w:ascii="Times New Roman" w:hAnsi="Times New Roman" w:eastAsia="宋体" w:cs="Times New Roman"/>
                <w:b/>
                <w:bCs/>
                <w:color w:val="auto"/>
                <w:spacing w:val="0"/>
                <w:w w:val="100"/>
                <w:position w:val="0"/>
                <w:sz w:val="21"/>
                <w:szCs w:val="21"/>
                <w:u w:val="none" w:color="auto"/>
                <w:lang w:val="en-US" w:eastAsia="zh-CN" w:bidi="ar-SA"/>
              </w:rPr>
              <w:t>最大标准指数</w:t>
            </w:r>
          </w:p>
        </w:tc>
        <w:tc>
          <w:tcPr>
            <w:tcW w:w="936" w:type="dxa"/>
            <w:vMerge w:val="restart"/>
            <w:tcBorders>
              <w:tl2br w:val="nil"/>
              <w:tr2bl w:val="nil"/>
            </w:tcBorders>
            <w:noWrap w:val="0"/>
            <w:vAlign w:val="center"/>
          </w:tcPr>
          <w:p w14:paraId="31CC3135">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bidi="ar-SA"/>
              </w:rPr>
            </w:pPr>
            <w:r>
              <w:rPr>
                <w:rFonts w:hint="default" w:ascii="Times New Roman" w:hAnsi="Times New Roman" w:eastAsia="宋体" w:cs="Times New Roman"/>
                <w:b/>
                <w:bCs/>
                <w:color w:val="auto"/>
                <w:spacing w:val="0"/>
                <w:w w:val="100"/>
                <w:position w:val="0"/>
                <w:sz w:val="21"/>
                <w:szCs w:val="21"/>
                <w:u w:val="none" w:color="auto"/>
                <w:lang w:val="en-US" w:eastAsia="zh-CN" w:bidi="ar-SA"/>
              </w:rPr>
              <w:t>达标</w:t>
            </w:r>
          </w:p>
          <w:p w14:paraId="15460388">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bidi="ar-SA"/>
              </w:rPr>
            </w:pPr>
            <w:r>
              <w:rPr>
                <w:rFonts w:hint="default" w:ascii="Times New Roman" w:hAnsi="Times New Roman" w:eastAsia="宋体" w:cs="Times New Roman"/>
                <w:b/>
                <w:bCs/>
                <w:color w:val="auto"/>
                <w:spacing w:val="0"/>
                <w:w w:val="100"/>
                <w:position w:val="0"/>
                <w:sz w:val="21"/>
                <w:szCs w:val="21"/>
                <w:u w:val="none" w:color="auto"/>
                <w:lang w:val="en-US" w:eastAsia="zh-CN" w:bidi="ar-SA"/>
              </w:rPr>
              <w:t>情况</w:t>
            </w:r>
          </w:p>
        </w:tc>
      </w:tr>
      <w:tr w14:paraId="1F7B6F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071999E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vMerge w:val="continue"/>
            <w:tcBorders>
              <w:tl2br w:val="nil"/>
              <w:tr2bl w:val="nil"/>
            </w:tcBorders>
            <w:noWrap w:val="0"/>
            <w:vAlign w:val="center"/>
          </w:tcPr>
          <w:p w14:paraId="458EF2C0">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bidi="ar-SA"/>
              </w:rPr>
            </w:pPr>
          </w:p>
        </w:tc>
        <w:tc>
          <w:tcPr>
            <w:tcW w:w="1130" w:type="dxa"/>
            <w:tcBorders>
              <w:tl2br w:val="nil"/>
              <w:tr2bl w:val="nil"/>
            </w:tcBorders>
            <w:noWrap w:val="0"/>
            <w:vAlign w:val="center"/>
          </w:tcPr>
          <w:p w14:paraId="2A35FC36">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bidi="ar-SA"/>
              </w:rPr>
            </w:pPr>
            <w:r>
              <w:rPr>
                <w:rFonts w:hint="default" w:ascii="Times New Roman" w:hAnsi="Times New Roman" w:eastAsia="宋体" w:cs="Times New Roman"/>
                <w:b/>
                <w:bCs/>
                <w:color w:val="auto"/>
                <w:spacing w:val="0"/>
                <w:w w:val="100"/>
                <w:position w:val="0"/>
                <w:sz w:val="21"/>
                <w:szCs w:val="21"/>
                <w:u w:val="none" w:color="auto"/>
                <w:lang w:val="en-US" w:eastAsia="zh-CN"/>
              </w:rPr>
              <w:t>2024.5.08</w:t>
            </w:r>
          </w:p>
        </w:tc>
        <w:tc>
          <w:tcPr>
            <w:tcW w:w="1230" w:type="dxa"/>
            <w:tcBorders>
              <w:tl2br w:val="nil"/>
              <w:tr2bl w:val="nil"/>
            </w:tcBorders>
            <w:noWrap w:val="0"/>
            <w:vAlign w:val="center"/>
          </w:tcPr>
          <w:p w14:paraId="1FCD02EE">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bidi="ar-SA"/>
              </w:rPr>
            </w:pPr>
            <w:r>
              <w:rPr>
                <w:rFonts w:hint="default" w:ascii="Times New Roman" w:hAnsi="Times New Roman" w:eastAsia="宋体" w:cs="Times New Roman"/>
                <w:b/>
                <w:bCs/>
                <w:color w:val="auto"/>
                <w:spacing w:val="0"/>
                <w:w w:val="100"/>
                <w:position w:val="0"/>
                <w:sz w:val="21"/>
                <w:szCs w:val="21"/>
                <w:u w:val="none" w:color="auto"/>
                <w:lang w:val="en-US" w:eastAsia="zh-CN"/>
              </w:rPr>
              <w:t>2024.5.09</w:t>
            </w:r>
          </w:p>
        </w:tc>
        <w:tc>
          <w:tcPr>
            <w:tcW w:w="1172" w:type="dxa"/>
            <w:tcBorders>
              <w:tl2br w:val="nil"/>
              <w:tr2bl w:val="nil"/>
            </w:tcBorders>
            <w:noWrap w:val="0"/>
            <w:vAlign w:val="center"/>
          </w:tcPr>
          <w:p w14:paraId="0DFFB1D1">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bidi="ar-SA"/>
              </w:rPr>
            </w:pPr>
            <w:r>
              <w:rPr>
                <w:rFonts w:hint="default" w:ascii="Times New Roman" w:hAnsi="Times New Roman" w:eastAsia="宋体" w:cs="Times New Roman"/>
                <w:b/>
                <w:bCs/>
                <w:color w:val="auto"/>
                <w:spacing w:val="0"/>
                <w:w w:val="100"/>
                <w:position w:val="0"/>
                <w:sz w:val="21"/>
                <w:szCs w:val="21"/>
                <w:u w:val="none" w:color="auto"/>
                <w:lang w:val="en-US" w:eastAsia="zh-CN"/>
              </w:rPr>
              <w:t>2024.5.10</w:t>
            </w:r>
          </w:p>
        </w:tc>
        <w:tc>
          <w:tcPr>
            <w:tcW w:w="956" w:type="dxa"/>
            <w:vMerge w:val="continue"/>
            <w:tcBorders>
              <w:tl2br w:val="nil"/>
              <w:tr2bl w:val="nil"/>
            </w:tcBorders>
            <w:noWrap w:val="0"/>
            <w:vAlign w:val="center"/>
          </w:tcPr>
          <w:p w14:paraId="025AE9BC">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031" w:type="dxa"/>
            <w:vMerge w:val="continue"/>
            <w:tcBorders>
              <w:tl2br w:val="nil"/>
              <w:tr2bl w:val="nil"/>
            </w:tcBorders>
            <w:noWrap w:val="0"/>
            <w:vAlign w:val="center"/>
          </w:tcPr>
          <w:p w14:paraId="3991C8E0">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936" w:type="dxa"/>
            <w:vMerge w:val="continue"/>
            <w:tcBorders>
              <w:tl2br w:val="nil"/>
              <w:tr2bl w:val="nil"/>
            </w:tcBorders>
            <w:noWrap w:val="0"/>
            <w:vAlign w:val="center"/>
          </w:tcPr>
          <w:p w14:paraId="15C1B697">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r>
      <w:tr w14:paraId="62C69E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restart"/>
            <w:tcBorders>
              <w:tl2br w:val="nil"/>
              <w:tr2bl w:val="nil"/>
            </w:tcBorders>
            <w:noWrap w:val="0"/>
            <w:vAlign w:val="center"/>
          </w:tcPr>
          <w:p w14:paraId="232D2E68">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W1水库西侧库尾断面坝址上游约870m</w:t>
            </w:r>
          </w:p>
        </w:tc>
        <w:tc>
          <w:tcPr>
            <w:tcW w:w="1340" w:type="dxa"/>
            <w:tcBorders>
              <w:tl2br w:val="nil"/>
              <w:tr2bl w:val="nil"/>
            </w:tcBorders>
            <w:noWrap w:val="0"/>
            <w:vAlign w:val="center"/>
          </w:tcPr>
          <w:p w14:paraId="39C2B7E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pH值</w:t>
            </w:r>
          </w:p>
        </w:tc>
        <w:tc>
          <w:tcPr>
            <w:tcW w:w="1130" w:type="dxa"/>
            <w:tcBorders>
              <w:tl2br w:val="nil"/>
              <w:tr2bl w:val="nil"/>
            </w:tcBorders>
            <w:noWrap w:val="0"/>
            <w:vAlign w:val="center"/>
          </w:tcPr>
          <w:p w14:paraId="689AAFA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7.0</w:t>
            </w:r>
          </w:p>
        </w:tc>
        <w:tc>
          <w:tcPr>
            <w:tcW w:w="1230" w:type="dxa"/>
            <w:tcBorders>
              <w:tl2br w:val="nil"/>
              <w:tr2bl w:val="nil"/>
            </w:tcBorders>
            <w:noWrap w:val="0"/>
            <w:vAlign w:val="center"/>
          </w:tcPr>
          <w:p w14:paraId="4CE01BE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7.1</w:t>
            </w:r>
          </w:p>
        </w:tc>
        <w:tc>
          <w:tcPr>
            <w:tcW w:w="1172" w:type="dxa"/>
            <w:tcBorders>
              <w:tl2br w:val="nil"/>
              <w:tr2bl w:val="nil"/>
            </w:tcBorders>
            <w:noWrap w:val="0"/>
            <w:vAlign w:val="center"/>
          </w:tcPr>
          <w:p w14:paraId="1B6EB7A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7.2</w:t>
            </w:r>
          </w:p>
        </w:tc>
        <w:tc>
          <w:tcPr>
            <w:tcW w:w="956" w:type="dxa"/>
            <w:tcBorders>
              <w:tl2br w:val="nil"/>
              <w:tr2bl w:val="nil"/>
            </w:tcBorders>
            <w:noWrap w:val="0"/>
            <w:vAlign w:val="center"/>
          </w:tcPr>
          <w:p w14:paraId="35F600AB">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6~9</w:t>
            </w:r>
          </w:p>
        </w:tc>
        <w:tc>
          <w:tcPr>
            <w:tcW w:w="1031" w:type="dxa"/>
            <w:tcBorders>
              <w:tl2br w:val="nil"/>
              <w:tr2bl w:val="nil"/>
            </w:tcBorders>
            <w:noWrap w:val="0"/>
            <w:vAlign w:val="center"/>
          </w:tcPr>
          <w:p w14:paraId="707F9A6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0.100 </w:t>
            </w:r>
          </w:p>
        </w:tc>
        <w:tc>
          <w:tcPr>
            <w:tcW w:w="936" w:type="dxa"/>
            <w:tcBorders>
              <w:tl2br w:val="nil"/>
              <w:tr2bl w:val="nil"/>
            </w:tcBorders>
            <w:noWrap w:val="0"/>
            <w:vAlign w:val="center"/>
          </w:tcPr>
          <w:p w14:paraId="237DE0B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034F76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76BF49B7">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16AD646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水温</w:t>
            </w:r>
          </w:p>
        </w:tc>
        <w:tc>
          <w:tcPr>
            <w:tcW w:w="1130" w:type="dxa"/>
            <w:tcBorders>
              <w:tl2br w:val="nil"/>
              <w:tr2bl w:val="nil"/>
            </w:tcBorders>
            <w:noWrap w:val="0"/>
            <w:vAlign w:val="center"/>
          </w:tcPr>
          <w:p w14:paraId="1890ED3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30.0 </w:t>
            </w:r>
          </w:p>
        </w:tc>
        <w:tc>
          <w:tcPr>
            <w:tcW w:w="1230" w:type="dxa"/>
            <w:tcBorders>
              <w:tl2br w:val="nil"/>
              <w:tr2bl w:val="nil"/>
            </w:tcBorders>
            <w:noWrap w:val="0"/>
            <w:vAlign w:val="center"/>
          </w:tcPr>
          <w:p w14:paraId="273F5E4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28.7</w:t>
            </w:r>
          </w:p>
        </w:tc>
        <w:tc>
          <w:tcPr>
            <w:tcW w:w="1172" w:type="dxa"/>
            <w:tcBorders>
              <w:tl2br w:val="nil"/>
              <w:tr2bl w:val="nil"/>
            </w:tcBorders>
            <w:noWrap w:val="0"/>
            <w:vAlign w:val="center"/>
          </w:tcPr>
          <w:p w14:paraId="6610ABF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22.8</w:t>
            </w:r>
          </w:p>
        </w:tc>
        <w:tc>
          <w:tcPr>
            <w:tcW w:w="956" w:type="dxa"/>
            <w:tcBorders>
              <w:tl2br w:val="nil"/>
              <w:tr2bl w:val="nil"/>
            </w:tcBorders>
            <w:noWrap w:val="0"/>
            <w:vAlign w:val="center"/>
          </w:tcPr>
          <w:p w14:paraId="69133C78">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1031" w:type="dxa"/>
            <w:tcBorders>
              <w:tl2br w:val="nil"/>
              <w:tr2bl w:val="nil"/>
            </w:tcBorders>
            <w:noWrap w:val="0"/>
            <w:vAlign w:val="center"/>
          </w:tcPr>
          <w:p w14:paraId="09F1AF50">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36" w:type="dxa"/>
            <w:tcBorders>
              <w:tl2br w:val="nil"/>
              <w:tr2bl w:val="nil"/>
            </w:tcBorders>
            <w:noWrap w:val="0"/>
            <w:vAlign w:val="center"/>
          </w:tcPr>
          <w:p w14:paraId="1A7650A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r w14:paraId="1C1004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50C7E1C9">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20F7A54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溶解氧</w:t>
            </w:r>
          </w:p>
        </w:tc>
        <w:tc>
          <w:tcPr>
            <w:tcW w:w="1130" w:type="dxa"/>
            <w:tcBorders>
              <w:tl2br w:val="nil"/>
              <w:tr2bl w:val="nil"/>
            </w:tcBorders>
            <w:noWrap w:val="0"/>
            <w:vAlign w:val="center"/>
          </w:tcPr>
          <w:p w14:paraId="7CD6E37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7.56</w:t>
            </w:r>
          </w:p>
        </w:tc>
        <w:tc>
          <w:tcPr>
            <w:tcW w:w="1230" w:type="dxa"/>
            <w:tcBorders>
              <w:tl2br w:val="nil"/>
              <w:tr2bl w:val="nil"/>
            </w:tcBorders>
            <w:noWrap w:val="0"/>
            <w:vAlign w:val="center"/>
          </w:tcPr>
          <w:p w14:paraId="5532941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7.73</w:t>
            </w:r>
          </w:p>
        </w:tc>
        <w:tc>
          <w:tcPr>
            <w:tcW w:w="1172" w:type="dxa"/>
            <w:tcBorders>
              <w:tl2br w:val="nil"/>
              <w:tr2bl w:val="nil"/>
            </w:tcBorders>
            <w:noWrap w:val="0"/>
            <w:vAlign w:val="center"/>
          </w:tcPr>
          <w:p w14:paraId="43B7EAD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8.60</w:t>
            </w:r>
          </w:p>
        </w:tc>
        <w:tc>
          <w:tcPr>
            <w:tcW w:w="956" w:type="dxa"/>
            <w:tcBorders>
              <w:tl2br w:val="nil"/>
              <w:tr2bl w:val="nil"/>
            </w:tcBorders>
            <w:noWrap w:val="0"/>
            <w:vAlign w:val="center"/>
          </w:tcPr>
          <w:p w14:paraId="3D5E0777">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≥5</w:t>
            </w:r>
          </w:p>
        </w:tc>
        <w:tc>
          <w:tcPr>
            <w:tcW w:w="1031" w:type="dxa"/>
            <w:tcBorders>
              <w:tl2br w:val="nil"/>
              <w:tr2bl w:val="nil"/>
            </w:tcBorders>
            <w:noWrap w:val="0"/>
            <w:vAlign w:val="center"/>
          </w:tcPr>
          <w:p w14:paraId="1C01C79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0.661 </w:t>
            </w:r>
          </w:p>
        </w:tc>
        <w:tc>
          <w:tcPr>
            <w:tcW w:w="936" w:type="dxa"/>
            <w:tcBorders>
              <w:tl2br w:val="nil"/>
              <w:tr2bl w:val="nil"/>
            </w:tcBorders>
            <w:noWrap w:val="0"/>
            <w:vAlign w:val="center"/>
          </w:tcPr>
          <w:p w14:paraId="68341C72">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909D1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4E06E6A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749F81E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透明度</w:t>
            </w:r>
          </w:p>
        </w:tc>
        <w:tc>
          <w:tcPr>
            <w:tcW w:w="1130" w:type="dxa"/>
            <w:tcBorders>
              <w:tl2br w:val="nil"/>
              <w:tr2bl w:val="nil"/>
            </w:tcBorders>
            <w:noWrap w:val="0"/>
            <w:vAlign w:val="center"/>
          </w:tcPr>
          <w:p w14:paraId="0CE9565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82</w:t>
            </w:r>
          </w:p>
        </w:tc>
        <w:tc>
          <w:tcPr>
            <w:tcW w:w="1230" w:type="dxa"/>
            <w:tcBorders>
              <w:tl2br w:val="nil"/>
              <w:tr2bl w:val="nil"/>
            </w:tcBorders>
            <w:noWrap w:val="0"/>
            <w:vAlign w:val="center"/>
          </w:tcPr>
          <w:p w14:paraId="2BEACA0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80</w:t>
            </w:r>
          </w:p>
        </w:tc>
        <w:tc>
          <w:tcPr>
            <w:tcW w:w="1172" w:type="dxa"/>
            <w:tcBorders>
              <w:tl2br w:val="nil"/>
              <w:tr2bl w:val="nil"/>
            </w:tcBorders>
            <w:noWrap w:val="0"/>
            <w:vAlign w:val="center"/>
          </w:tcPr>
          <w:p w14:paraId="2B2D132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81</w:t>
            </w:r>
          </w:p>
        </w:tc>
        <w:tc>
          <w:tcPr>
            <w:tcW w:w="956" w:type="dxa"/>
            <w:tcBorders>
              <w:tl2br w:val="nil"/>
              <w:tr2bl w:val="nil"/>
            </w:tcBorders>
            <w:noWrap w:val="0"/>
            <w:vAlign w:val="center"/>
          </w:tcPr>
          <w:p w14:paraId="132B2F5A">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1031" w:type="dxa"/>
            <w:tcBorders>
              <w:tl2br w:val="nil"/>
              <w:tr2bl w:val="nil"/>
            </w:tcBorders>
            <w:noWrap w:val="0"/>
            <w:vAlign w:val="center"/>
          </w:tcPr>
          <w:p w14:paraId="62D0FFBE">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36" w:type="dxa"/>
            <w:tcBorders>
              <w:tl2br w:val="nil"/>
              <w:tr2bl w:val="nil"/>
            </w:tcBorders>
            <w:noWrap w:val="0"/>
            <w:vAlign w:val="center"/>
          </w:tcPr>
          <w:p w14:paraId="22BAF37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r w14:paraId="1894FE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748216E4">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0BD5290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高锰酸盐指数</w:t>
            </w:r>
          </w:p>
        </w:tc>
        <w:tc>
          <w:tcPr>
            <w:tcW w:w="1130" w:type="dxa"/>
            <w:tcBorders>
              <w:tl2br w:val="nil"/>
              <w:tr2bl w:val="nil"/>
            </w:tcBorders>
            <w:noWrap w:val="0"/>
            <w:vAlign w:val="center"/>
          </w:tcPr>
          <w:p w14:paraId="53DC253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1.8</w:t>
            </w:r>
          </w:p>
        </w:tc>
        <w:tc>
          <w:tcPr>
            <w:tcW w:w="1230" w:type="dxa"/>
            <w:tcBorders>
              <w:tl2br w:val="nil"/>
              <w:tr2bl w:val="nil"/>
            </w:tcBorders>
            <w:noWrap w:val="0"/>
            <w:vAlign w:val="center"/>
          </w:tcPr>
          <w:p w14:paraId="3F238B5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1.8</w:t>
            </w:r>
          </w:p>
        </w:tc>
        <w:tc>
          <w:tcPr>
            <w:tcW w:w="1172" w:type="dxa"/>
            <w:tcBorders>
              <w:tl2br w:val="nil"/>
              <w:tr2bl w:val="nil"/>
            </w:tcBorders>
            <w:noWrap w:val="0"/>
            <w:vAlign w:val="center"/>
          </w:tcPr>
          <w:p w14:paraId="4A053B2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1.7</w:t>
            </w:r>
          </w:p>
        </w:tc>
        <w:tc>
          <w:tcPr>
            <w:tcW w:w="956" w:type="dxa"/>
            <w:tcBorders>
              <w:tl2br w:val="nil"/>
              <w:tr2bl w:val="nil"/>
            </w:tcBorders>
            <w:noWrap w:val="0"/>
            <w:vAlign w:val="center"/>
          </w:tcPr>
          <w:p w14:paraId="34CACE26">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6</w:t>
            </w:r>
          </w:p>
        </w:tc>
        <w:tc>
          <w:tcPr>
            <w:tcW w:w="1031" w:type="dxa"/>
            <w:tcBorders>
              <w:tl2br w:val="nil"/>
              <w:tr2bl w:val="nil"/>
            </w:tcBorders>
            <w:noWrap w:val="0"/>
            <w:vAlign w:val="center"/>
          </w:tcPr>
          <w:p w14:paraId="4E8E4CB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0.300 </w:t>
            </w:r>
          </w:p>
        </w:tc>
        <w:tc>
          <w:tcPr>
            <w:tcW w:w="936" w:type="dxa"/>
            <w:tcBorders>
              <w:tl2br w:val="nil"/>
              <w:tr2bl w:val="nil"/>
            </w:tcBorders>
            <w:noWrap w:val="0"/>
            <w:vAlign w:val="center"/>
          </w:tcPr>
          <w:p w14:paraId="1E868A2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EA910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3B273AB2">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6D0C452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氨氮</w:t>
            </w:r>
          </w:p>
        </w:tc>
        <w:tc>
          <w:tcPr>
            <w:tcW w:w="1130" w:type="dxa"/>
            <w:tcBorders>
              <w:tl2br w:val="nil"/>
              <w:tr2bl w:val="nil"/>
            </w:tcBorders>
            <w:noWrap w:val="0"/>
            <w:vAlign w:val="center"/>
          </w:tcPr>
          <w:p w14:paraId="1C73BDE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0.11 </w:t>
            </w:r>
          </w:p>
        </w:tc>
        <w:tc>
          <w:tcPr>
            <w:tcW w:w="1230" w:type="dxa"/>
            <w:tcBorders>
              <w:tl2br w:val="nil"/>
              <w:tr2bl w:val="nil"/>
            </w:tcBorders>
            <w:noWrap w:val="0"/>
            <w:vAlign w:val="center"/>
          </w:tcPr>
          <w:p w14:paraId="5DA5B09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0.11</w:t>
            </w:r>
          </w:p>
        </w:tc>
        <w:tc>
          <w:tcPr>
            <w:tcW w:w="1172" w:type="dxa"/>
            <w:tcBorders>
              <w:tl2br w:val="nil"/>
              <w:tr2bl w:val="nil"/>
            </w:tcBorders>
            <w:noWrap w:val="0"/>
            <w:vAlign w:val="center"/>
          </w:tcPr>
          <w:p w14:paraId="0994C85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0.12</w:t>
            </w:r>
          </w:p>
        </w:tc>
        <w:tc>
          <w:tcPr>
            <w:tcW w:w="956" w:type="dxa"/>
            <w:tcBorders>
              <w:tl2br w:val="nil"/>
              <w:tr2bl w:val="nil"/>
            </w:tcBorders>
            <w:noWrap w:val="0"/>
            <w:vAlign w:val="center"/>
          </w:tcPr>
          <w:p w14:paraId="6053F5B7">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7950804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0.120 </w:t>
            </w:r>
          </w:p>
        </w:tc>
        <w:tc>
          <w:tcPr>
            <w:tcW w:w="936" w:type="dxa"/>
            <w:tcBorders>
              <w:tl2br w:val="nil"/>
              <w:tr2bl w:val="nil"/>
            </w:tcBorders>
            <w:noWrap w:val="0"/>
            <w:vAlign w:val="center"/>
          </w:tcPr>
          <w:p w14:paraId="34FF88C2">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7FC79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2B0FB396">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24B7DBA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总磷</w:t>
            </w:r>
          </w:p>
        </w:tc>
        <w:tc>
          <w:tcPr>
            <w:tcW w:w="1130" w:type="dxa"/>
            <w:tcBorders>
              <w:tl2br w:val="nil"/>
              <w:tr2bl w:val="nil"/>
            </w:tcBorders>
            <w:noWrap w:val="0"/>
            <w:vAlign w:val="center"/>
          </w:tcPr>
          <w:p w14:paraId="4C87862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0.04</w:t>
            </w:r>
          </w:p>
        </w:tc>
        <w:tc>
          <w:tcPr>
            <w:tcW w:w="1230" w:type="dxa"/>
            <w:tcBorders>
              <w:tl2br w:val="nil"/>
              <w:tr2bl w:val="nil"/>
            </w:tcBorders>
            <w:noWrap w:val="0"/>
            <w:vAlign w:val="center"/>
          </w:tcPr>
          <w:p w14:paraId="24FDFEC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0.04</w:t>
            </w:r>
          </w:p>
        </w:tc>
        <w:tc>
          <w:tcPr>
            <w:tcW w:w="1172" w:type="dxa"/>
            <w:tcBorders>
              <w:tl2br w:val="nil"/>
              <w:tr2bl w:val="nil"/>
            </w:tcBorders>
            <w:noWrap w:val="0"/>
            <w:vAlign w:val="center"/>
          </w:tcPr>
          <w:p w14:paraId="3F42792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0.03</w:t>
            </w:r>
          </w:p>
        </w:tc>
        <w:tc>
          <w:tcPr>
            <w:tcW w:w="956" w:type="dxa"/>
            <w:tcBorders>
              <w:tl2br w:val="nil"/>
              <w:tr2bl w:val="nil"/>
            </w:tcBorders>
            <w:noWrap w:val="0"/>
            <w:vAlign w:val="center"/>
          </w:tcPr>
          <w:p w14:paraId="0B524ED3">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31" w:type="dxa"/>
            <w:tcBorders>
              <w:tl2br w:val="nil"/>
              <w:tr2bl w:val="nil"/>
            </w:tcBorders>
            <w:noWrap w:val="0"/>
            <w:vAlign w:val="center"/>
          </w:tcPr>
          <w:p w14:paraId="33E7216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0.800 </w:t>
            </w:r>
          </w:p>
        </w:tc>
        <w:tc>
          <w:tcPr>
            <w:tcW w:w="936" w:type="dxa"/>
            <w:tcBorders>
              <w:tl2br w:val="nil"/>
              <w:tr2bl w:val="nil"/>
            </w:tcBorders>
            <w:noWrap w:val="0"/>
            <w:vAlign w:val="center"/>
          </w:tcPr>
          <w:p w14:paraId="5C9C0B5D">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0C472E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2E1003B3">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3B75FDD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总氮</w:t>
            </w:r>
          </w:p>
        </w:tc>
        <w:tc>
          <w:tcPr>
            <w:tcW w:w="1130" w:type="dxa"/>
            <w:tcBorders>
              <w:tl2br w:val="nil"/>
              <w:tr2bl w:val="nil"/>
            </w:tcBorders>
            <w:noWrap w:val="0"/>
            <w:vAlign w:val="center"/>
          </w:tcPr>
          <w:p w14:paraId="714D862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0.76</w:t>
            </w:r>
          </w:p>
        </w:tc>
        <w:tc>
          <w:tcPr>
            <w:tcW w:w="1230" w:type="dxa"/>
            <w:tcBorders>
              <w:tl2br w:val="nil"/>
              <w:tr2bl w:val="nil"/>
            </w:tcBorders>
            <w:noWrap w:val="0"/>
            <w:vAlign w:val="center"/>
          </w:tcPr>
          <w:p w14:paraId="5478288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0.74</w:t>
            </w:r>
          </w:p>
        </w:tc>
        <w:tc>
          <w:tcPr>
            <w:tcW w:w="1172" w:type="dxa"/>
            <w:tcBorders>
              <w:tl2br w:val="nil"/>
              <w:tr2bl w:val="nil"/>
            </w:tcBorders>
            <w:noWrap w:val="0"/>
            <w:vAlign w:val="center"/>
          </w:tcPr>
          <w:p w14:paraId="03F337C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0.79</w:t>
            </w:r>
          </w:p>
        </w:tc>
        <w:tc>
          <w:tcPr>
            <w:tcW w:w="956" w:type="dxa"/>
            <w:tcBorders>
              <w:tl2br w:val="nil"/>
              <w:tr2bl w:val="nil"/>
            </w:tcBorders>
            <w:noWrap w:val="0"/>
            <w:vAlign w:val="center"/>
          </w:tcPr>
          <w:p w14:paraId="03318118">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0EDD861B">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0.790 </w:t>
            </w:r>
          </w:p>
        </w:tc>
        <w:tc>
          <w:tcPr>
            <w:tcW w:w="936" w:type="dxa"/>
            <w:tcBorders>
              <w:tl2br w:val="nil"/>
              <w:tr2bl w:val="nil"/>
            </w:tcBorders>
            <w:noWrap w:val="0"/>
            <w:vAlign w:val="center"/>
          </w:tcPr>
          <w:p w14:paraId="6E6ACE01">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644F0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16210235">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3EF8D22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化学需氧量</w:t>
            </w:r>
          </w:p>
        </w:tc>
        <w:tc>
          <w:tcPr>
            <w:tcW w:w="1130" w:type="dxa"/>
            <w:tcBorders>
              <w:tl2br w:val="nil"/>
              <w:tr2bl w:val="nil"/>
            </w:tcBorders>
            <w:noWrap w:val="0"/>
            <w:vAlign w:val="center"/>
          </w:tcPr>
          <w:p w14:paraId="5EA385C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13</w:t>
            </w:r>
          </w:p>
        </w:tc>
        <w:tc>
          <w:tcPr>
            <w:tcW w:w="1230" w:type="dxa"/>
            <w:tcBorders>
              <w:tl2br w:val="nil"/>
              <w:tr2bl w:val="nil"/>
            </w:tcBorders>
            <w:noWrap w:val="0"/>
            <w:vAlign w:val="center"/>
          </w:tcPr>
          <w:p w14:paraId="4275305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13</w:t>
            </w:r>
          </w:p>
        </w:tc>
        <w:tc>
          <w:tcPr>
            <w:tcW w:w="1172" w:type="dxa"/>
            <w:tcBorders>
              <w:tl2br w:val="nil"/>
              <w:tr2bl w:val="nil"/>
            </w:tcBorders>
            <w:noWrap w:val="0"/>
            <w:vAlign w:val="center"/>
          </w:tcPr>
          <w:p w14:paraId="2AEA267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14</w:t>
            </w:r>
          </w:p>
        </w:tc>
        <w:tc>
          <w:tcPr>
            <w:tcW w:w="956" w:type="dxa"/>
            <w:tcBorders>
              <w:tl2br w:val="nil"/>
              <w:tr2bl w:val="nil"/>
            </w:tcBorders>
            <w:noWrap w:val="0"/>
            <w:vAlign w:val="center"/>
          </w:tcPr>
          <w:p w14:paraId="04E3EEE3">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20</w:t>
            </w:r>
          </w:p>
        </w:tc>
        <w:tc>
          <w:tcPr>
            <w:tcW w:w="1031" w:type="dxa"/>
            <w:tcBorders>
              <w:tl2br w:val="nil"/>
              <w:tr2bl w:val="nil"/>
            </w:tcBorders>
            <w:noWrap w:val="0"/>
            <w:vAlign w:val="center"/>
          </w:tcPr>
          <w:p w14:paraId="0C9FBE81">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0.700 </w:t>
            </w:r>
          </w:p>
        </w:tc>
        <w:tc>
          <w:tcPr>
            <w:tcW w:w="936" w:type="dxa"/>
            <w:tcBorders>
              <w:tl2br w:val="nil"/>
              <w:tr2bl w:val="nil"/>
            </w:tcBorders>
            <w:noWrap w:val="0"/>
            <w:vAlign w:val="center"/>
          </w:tcPr>
          <w:p w14:paraId="17A685E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F30D5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5DD790F5">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3247EFD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硒</w:t>
            </w:r>
          </w:p>
        </w:tc>
        <w:tc>
          <w:tcPr>
            <w:tcW w:w="1130" w:type="dxa"/>
            <w:tcBorders>
              <w:tl2br w:val="nil"/>
              <w:tr2bl w:val="nil"/>
            </w:tcBorders>
            <w:noWrap w:val="0"/>
            <w:vAlign w:val="center"/>
          </w:tcPr>
          <w:p w14:paraId="56A55F2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0.0004L</w:t>
            </w:r>
          </w:p>
        </w:tc>
        <w:tc>
          <w:tcPr>
            <w:tcW w:w="1230" w:type="dxa"/>
            <w:tcBorders>
              <w:tl2br w:val="nil"/>
              <w:tr2bl w:val="nil"/>
            </w:tcBorders>
            <w:noWrap w:val="0"/>
            <w:vAlign w:val="center"/>
          </w:tcPr>
          <w:p w14:paraId="46B388B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0.0004L</w:t>
            </w:r>
          </w:p>
        </w:tc>
        <w:tc>
          <w:tcPr>
            <w:tcW w:w="1172" w:type="dxa"/>
            <w:tcBorders>
              <w:tl2br w:val="nil"/>
              <w:tr2bl w:val="nil"/>
            </w:tcBorders>
            <w:noWrap w:val="0"/>
            <w:vAlign w:val="center"/>
          </w:tcPr>
          <w:p w14:paraId="0B0CA81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0.0004L</w:t>
            </w:r>
          </w:p>
        </w:tc>
        <w:tc>
          <w:tcPr>
            <w:tcW w:w="956" w:type="dxa"/>
            <w:tcBorders>
              <w:tl2br w:val="nil"/>
              <w:tr2bl w:val="nil"/>
            </w:tcBorders>
            <w:noWrap w:val="0"/>
            <w:vAlign w:val="center"/>
          </w:tcPr>
          <w:p w14:paraId="4DDEA549">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0.01</w:t>
            </w:r>
          </w:p>
        </w:tc>
        <w:tc>
          <w:tcPr>
            <w:tcW w:w="1031" w:type="dxa"/>
            <w:tcBorders>
              <w:tl2br w:val="nil"/>
              <w:tr2bl w:val="nil"/>
            </w:tcBorders>
            <w:noWrap w:val="0"/>
            <w:vAlign w:val="center"/>
          </w:tcPr>
          <w:p w14:paraId="3BA825D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0.040 </w:t>
            </w:r>
          </w:p>
        </w:tc>
        <w:tc>
          <w:tcPr>
            <w:tcW w:w="936" w:type="dxa"/>
            <w:tcBorders>
              <w:tl2br w:val="nil"/>
              <w:tr2bl w:val="nil"/>
            </w:tcBorders>
            <w:noWrap w:val="0"/>
            <w:vAlign w:val="center"/>
          </w:tcPr>
          <w:p w14:paraId="062E7AA3">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334176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60ED6F36">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02C048A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砷</w:t>
            </w:r>
          </w:p>
        </w:tc>
        <w:tc>
          <w:tcPr>
            <w:tcW w:w="1130" w:type="dxa"/>
            <w:tcBorders>
              <w:tl2br w:val="nil"/>
              <w:tr2bl w:val="nil"/>
            </w:tcBorders>
            <w:noWrap w:val="0"/>
            <w:vAlign w:val="center"/>
          </w:tcPr>
          <w:p w14:paraId="070572D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230" w:type="dxa"/>
            <w:tcBorders>
              <w:tl2br w:val="nil"/>
              <w:tr2bl w:val="nil"/>
            </w:tcBorders>
            <w:noWrap w:val="0"/>
            <w:vAlign w:val="center"/>
          </w:tcPr>
          <w:p w14:paraId="4E366F8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172" w:type="dxa"/>
            <w:tcBorders>
              <w:tl2br w:val="nil"/>
              <w:tr2bl w:val="nil"/>
            </w:tcBorders>
            <w:noWrap w:val="0"/>
            <w:vAlign w:val="center"/>
          </w:tcPr>
          <w:p w14:paraId="3555DF5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956" w:type="dxa"/>
            <w:tcBorders>
              <w:tl2br w:val="nil"/>
              <w:tr2bl w:val="nil"/>
            </w:tcBorders>
            <w:noWrap w:val="0"/>
            <w:vAlign w:val="center"/>
          </w:tcPr>
          <w:p w14:paraId="6D6B9FF8">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31" w:type="dxa"/>
            <w:tcBorders>
              <w:tl2br w:val="nil"/>
              <w:tr2bl w:val="nil"/>
            </w:tcBorders>
            <w:noWrap w:val="0"/>
            <w:vAlign w:val="center"/>
          </w:tcPr>
          <w:p w14:paraId="08C56BF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0.006 </w:t>
            </w:r>
          </w:p>
        </w:tc>
        <w:tc>
          <w:tcPr>
            <w:tcW w:w="936" w:type="dxa"/>
            <w:tcBorders>
              <w:tl2br w:val="nil"/>
              <w:tr2bl w:val="nil"/>
            </w:tcBorders>
            <w:noWrap w:val="0"/>
            <w:vAlign w:val="center"/>
          </w:tcPr>
          <w:p w14:paraId="20FAEA8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2F32A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61856AC3">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75FC3D4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汞</w:t>
            </w:r>
          </w:p>
        </w:tc>
        <w:tc>
          <w:tcPr>
            <w:tcW w:w="1130" w:type="dxa"/>
            <w:tcBorders>
              <w:tl2br w:val="nil"/>
              <w:tr2bl w:val="nil"/>
            </w:tcBorders>
            <w:noWrap w:val="0"/>
            <w:vAlign w:val="center"/>
          </w:tcPr>
          <w:p w14:paraId="27E6722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0.00004L</w:t>
            </w:r>
          </w:p>
        </w:tc>
        <w:tc>
          <w:tcPr>
            <w:tcW w:w="1230" w:type="dxa"/>
            <w:tcBorders>
              <w:tl2br w:val="nil"/>
              <w:tr2bl w:val="nil"/>
            </w:tcBorders>
            <w:noWrap w:val="0"/>
            <w:vAlign w:val="center"/>
          </w:tcPr>
          <w:p w14:paraId="7A873D0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0.00004L</w:t>
            </w:r>
          </w:p>
        </w:tc>
        <w:tc>
          <w:tcPr>
            <w:tcW w:w="1172" w:type="dxa"/>
            <w:tcBorders>
              <w:tl2br w:val="nil"/>
              <w:tr2bl w:val="nil"/>
            </w:tcBorders>
            <w:noWrap w:val="0"/>
            <w:vAlign w:val="center"/>
          </w:tcPr>
          <w:p w14:paraId="6EEB37A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0.00004L</w:t>
            </w:r>
          </w:p>
        </w:tc>
        <w:tc>
          <w:tcPr>
            <w:tcW w:w="956" w:type="dxa"/>
            <w:tcBorders>
              <w:tl2br w:val="nil"/>
              <w:tr2bl w:val="nil"/>
            </w:tcBorders>
            <w:noWrap w:val="0"/>
            <w:vAlign w:val="center"/>
          </w:tcPr>
          <w:p w14:paraId="199B1A21">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0.0001</w:t>
            </w:r>
          </w:p>
        </w:tc>
        <w:tc>
          <w:tcPr>
            <w:tcW w:w="1031" w:type="dxa"/>
            <w:tcBorders>
              <w:tl2br w:val="nil"/>
              <w:tr2bl w:val="nil"/>
            </w:tcBorders>
            <w:noWrap w:val="0"/>
            <w:vAlign w:val="center"/>
          </w:tcPr>
          <w:p w14:paraId="60F4CD7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0.400 </w:t>
            </w:r>
          </w:p>
        </w:tc>
        <w:tc>
          <w:tcPr>
            <w:tcW w:w="936" w:type="dxa"/>
            <w:tcBorders>
              <w:tl2br w:val="nil"/>
              <w:tr2bl w:val="nil"/>
            </w:tcBorders>
            <w:noWrap w:val="0"/>
            <w:vAlign w:val="center"/>
          </w:tcPr>
          <w:p w14:paraId="5F917E2D">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F9A9A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233AF143">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12D35D5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镉</w:t>
            </w:r>
          </w:p>
        </w:tc>
        <w:tc>
          <w:tcPr>
            <w:tcW w:w="1130" w:type="dxa"/>
            <w:tcBorders>
              <w:tl2br w:val="nil"/>
              <w:tr2bl w:val="nil"/>
            </w:tcBorders>
            <w:noWrap w:val="0"/>
            <w:vAlign w:val="center"/>
          </w:tcPr>
          <w:p w14:paraId="2519171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0.0001L</w:t>
            </w:r>
          </w:p>
        </w:tc>
        <w:tc>
          <w:tcPr>
            <w:tcW w:w="1230" w:type="dxa"/>
            <w:tcBorders>
              <w:tl2br w:val="nil"/>
              <w:tr2bl w:val="nil"/>
            </w:tcBorders>
            <w:noWrap w:val="0"/>
            <w:vAlign w:val="center"/>
          </w:tcPr>
          <w:p w14:paraId="0CA7C50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0.0001L</w:t>
            </w:r>
          </w:p>
        </w:tc>
        <w:tc>
          <w:tcPr>
            <w:tcW w:w="1172" w:type="dxa"/>
            <w:tcBorders>
              <w:tl2br w:val="nil"/>
              <w:tr2bl w:val="nil"/>
            </w:tcBorders>
            <w:noWrap w:val="0"/>
            <w:vAlign w:val="center"/>
          </w:tcPr>
          <w:p w14:paraId="6FC80C0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0.0001L</w:t>
            </w:r>
          </w:p>
        </w:tc>
        <w:tc>
          <w:tcPr>
            <w:tcW w:w="956" w:type="dxa"/>
            <w:tcBorders>
              <w:tl2br w:val="nil"/>
              <w:tr2bl w:val="nil"/>
            </w:tcBorders>
            <w:noWrap w:val="0"/>
            <w:vAlign w:val="center"/>
          </w:tcPr>
          <w:p w14:paraId="1794F3DD">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0.005</w:t>
            </w:r>
          </w:p>
        </w:tc>
        <w:tc>
          <w:tcPr>
            <w:tcW w:w="1031" w:type="dxa"/>
            <w:tcBorders>
              <w:tl2br w:val="nil"/>
              <w:tr2bl w:val="nil"/>
            </w:tcBorders>
            <w:noWrap w:val="0"/>
            <w:vAlign w:val="center"/>
          </w:tcPr>
          <w:p w14:paraId="4B5A9ECB">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0.020 </w:t>
            </w:r>
          </w:p>
        </w:tc>
        <w:tc>
          <w:tcPr>
            <w:tcW w:w="936" w:type="dxa"/>
            <w:tcBorders>
              <w:tl2br w:val="nil"/>
              <w:tr2bl w:val="nil"/>
            </w:tcBorders>
            <w:noWrap w:val="0"/>
            <w:vAlign w:val="center"/>
          </w:tcPr>
          <w:p w14:paraId="2F46BFA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8367D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66B05AA2">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1B3D761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铅</w:t>
            </w:r>
          </w:p>
        </w:tc>
        <w:tc>
          <w:tcPr>
            <w:tcW w:w="1130" w:type="dxa"/>
            <w:tcBorders>
              <w:tl2br w:val="nil"/>
              <w:tr2bl w:val="nil"/>
            </w:tcBorders>
            <w:noWrap w:val="0"/>
            <w:vAlign w:val="center"/>
          </w:tcPr>
          <w:p w14:paraId="1858CBD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230" w:type="dxa"/>
            <w:tcBorders>
              <w:tl2br w:val="nil"/>
              <w:tr2bl w:val="nil"/>
            </w:tcBorders>
            <w:noWrap w:val="0"/>
            <w:vAlign w:val="center"/>
          </w:tcPr>
          <w:p w14:paraId="07ADB4B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172" w:type="dxa"/>
            <w:tcBorders>
              <w:tl2br w:val="nil"/>
              <w:tr2bl w:val="nil"/>
            </w:tcBorders>
            <w:noWrap w:val="0"/>
            <w:vAlign w:val="center"/>
          </w:tcPr>
          <w:p w14:paraId="0F6828B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956" w:type="dxa"/>
            <w:tcBorders>
              <w:tl2br w:val="nil"/>
              <w:tr2bl w:val="nil"/>
            </w:tcBorders>
            <w:noWrap w:val="0"/>
            <w:vAlign w:val="center"/>
          </w:tcPr>
          <w:p w14:paraId="2924671A">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31" w:type="dxa"/>
            <w:tcBorders>
              <w:tl2br w:val="nil"/>
              <w:tr2bl w:val="nil"/>
            </w:tcBorders>
            <w:noWrap w:val="0"/>
            <w:vAlign w:val="center"/>
          </w:tcPr>
          <w:p w14:paraId="2276B7B3">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0.020 </w:t>
            </w:r>
          </w:p>
        </w:tc>
        <w:tc>
          <w:tcPr>
            <w:tcW w:w="936" w:type="dxa"/>
            <w:tcBorders>
              <w:tl2br w:val="nil"/>
              <w:tr2bl w:val="nil"/>
            </w:tcBorders>
            <w:noWrap w:val="0"/>
            <w:vAlign w:val="center"/>
          </w:tcPr>
          <w:p w14:paraId="7AB8313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DCA4D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7D9A76E9">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71F8522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铜</w:t>
            </w:r>
          </w:p>
        </w:tc>
        <w:tc>
          <w:tcPr>
            <w:tcW w:w="1130" w:type="dxa"/>
            <w:tcBorders>
              <w:tl2br w:val="nil"/>
              <w:tr2bl w:val="nil"/>
            </w:tcBorders>
            <w:noWrap w:val="0"/>
            <w:vAlign w:val="center"/>
          </w:tcPr>
          <w:p w14:paraId="40827E0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230" w:type="dxa"/>
            <w:tcBorders>
              <w:tl2br w:val="nil"/>
              <w:tr2bl w:val="nil"/>
            </w:tcBorders>
            <w:noWrap w:val="0"/>
            <w:vAlign w:val="center"/>
          </w:tcPr>
          <w:p w14:paraId="2092C99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172" w:type="dxa"/>
            <w:tcBorders>
              <w:tl2br w:val="nil"/>
              <w:tr2bl w:val="nil"/>
            </w:tcBorders>
            <w:noWrap w:val="0"/>
            <w:vAlign w:val="center"/>
          </w:tcPr>
          <w:p w14:paraId="226A5A4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956" w:type="dxa"/>
            <w:tcBorders>
              <w:tl2br w:val="nil"/>
              <w:tr2bl w:val="nil"/>
            </w:tcBorders>
            <w:noWrap w:val="0"/>
            <w:vAlign w:val="center"/>
          </w:tcPr>
          <w:p w14:paraId="6F87F85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3E866CF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0.001 </w:t>
            </w:r>
          </w:p>
        </w:tc>
        <w:tc>
          <w:tcPr>
            <w:tcW w:w="936" w:type="dxa"/>
            <w:tcBorders>
              <w:tl2br w:val="nil"/>
              <w:tr2bl w:val="nil"/>
            </w:tcBorders>
            <w:noWrap w:val="0"/>
            <w:vAlign w:val="center"/>
          </w:tcPr>
          <w:p w14:paraId="04E27481">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761D9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6E64318D">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722B5A0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锌</w:t>
            </w:r>
          </w:p>
        </w:tc>
        <w:tc>
          <w:tcPr>
            <w:tcW w:w="1130" w:type="dxa"/>
            <w:tcBorders>
              <w:tl2br w:val="nil"/>
              <w:tr2bl w:val="nil"/>
            </w:tcBorders>
            <w:noWrap w:val="0"/>
            <w:vAlign w:val="center"/>
          </w:tcPr>
          <w:p w14:paraId="15DCF42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230" w:type="dxa"/>
            <w:tcBorders>
              <w:tl2br w:val="nil"/>
              <w:tr2bl w:val="nil"/>
            </w:tcBorders>
            <w:noWrap w:val="0"/>
            <w:vAlign w:val="center"/>
          </w:tcPr>
          <w:p w14:paraId="6690913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172" w:type="dxa"/>
            <w:tcBorders>
              <w:tl2br w:val="nil"/>
              <w:tr2bl w:val="nil"/>
            </w:tcBorders>
            <w:noWrap w:val="0"/>
            <w:vAlign w:val="center"/>
          </w:tcPr>
          <w:p w14:paraId="6AD717C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956" w:type="dxa"/>
            <w:tcBorders>
              <w:tl2br w:val="nil"/>
              <w:tr2bl w:val="nil"/>
            </w:tcBorders>
            <w:noWrap w:val="0"/>
            <w:vAlign w:val="center"/>
          </w:tcPr>
          <w:p w14:paraId="11A57FDB">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57D2C13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0.050 </w:t>
            </w:r>
          </w:p>
        </w:tc>
        <w:tc>
          <w:tcPr>
            <w:tcW w:w="936" w:type="dxa"/>
            <w:tcBorders>
              <w:tl2br w:val="nil"/>
              <w:tr2bl w:val="nil"/>
            </w:tcBorders>
            <w:noWrap w:val="0"/>
            <w:vAlign w:val="center"/>
          </w:tcPr>
          <w:p w14:paraId="03DB9F8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B199C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30DA77DA">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1509C85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铁</w:t>
            </w:r>
          </w:p>
        </w:tc>
        <w:tc>
          <w:tcPr>
            <w:tcW w:w="1130" w:type="dxa"/>
            <w:tcBorders>
              <w:tl2br w:val="nil"/>
              <w:tr2bl w:val="nil"/>
            </w:tcBorders>
            <w:noWrap w:val="0"/>
            <w:vAlign w:val="center"/>
          </w:tcPr>
          <w:p w14:paraId="5AB5006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0.03L</w:t>
            </w:r>
          </w:p>
        </w:tc>
        <w:tc>
          <w:tcPr>
            <w:tcW w:w="1230" w:type="dxa"/>
            <w:tcBorders>
              <w:tl2br w:val="nil"/>
              <w:tr2bl w:val="nil"/>
            </w:tcBorders>
            <w:noWrap w:val="0"/>
            <w:vAlign w:val="center"/>
          </w:tcPr>
          <w:p w14:paraId="448F994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0.03L</w:t>
            </w:r>
          </w:p>
        </w:tc>
        <w:tc>
          <w:tcPr>
            <w:tcW w:w="1172" w:type="dxa"/>
            <w:tcBorders>
              <w:tl2br w:val="nil"/>
              <w:tr2bl w:val="nil"/>
            </w:tcBorders>
            <w:noWrap w:val="0"/>
            <w:vAlign w:val="center"/>
          </w:tcPr>
          <w:p w14:paraId="08E3118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0.03L</w:t>
            </w:r>
          </w:p>
        </w:tc>
        <w:tc>
          <w:tcPr>
            <w:tcW w:w="956" w:type="dxa"/>
            <w:tcBorders>
              <w:tl2br w:val="nil"/>
              <w:tr2bl w:val="nil"/>
            </w:tcBorders>
            <w:noWrap w:val="0"/>
            <w:vAlign w:val="center"/>
          </w:tcPr>
          <w:p w14:paraId="660E36A5">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0.3</w:t>
            </w:r>
          </w:p>
        </w:tc>
        <w:tc>
          <w:tcPr>
            <w:tcW w:w="1031" w:type="dxa"/>
            <w:tcBorders>
              <w:tl2br w:val="nil"/>
              <w:tr2bl w:val="nil"/>
            </w:tcBorders>
            <w:noWrap w:val="0"/>
            <w:vAlign w:val="center"/>
          </w:tcPr>
          <w:p w14:paraId="521EDD1D">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0.100 </w:t>
            </w:r>
          </w:p>
        </w:tc>
        <w:tc>
          <w:tcPr>
            <w:tcW w:w="936" w:type="dxa"/>
            <w:tcBorders>
              <w:tl2br w:val="nil"/>
              <w:tr2bl w:val="nil"/>
            </w:tcBorders>
            <w:noWrap w:val="0"/>
            <w:vAlign w:val="center"/>
          </w:tcPr>
          <w:p w14:paraId="3AAD959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34FF6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325EED0A">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2565209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锰</w:t>
            </w:r>
          </w:p>
        </w:tc>
        <w:tc>
          <w:tcPr>
            <w:tcW w:w="1130" w:type="dxa"/>
            <w:tcBorders>
              <w:tl2br w:val="nil"/>
              <w:tr2bl w:val="nil"/>
            </w:tcBorders>
            <w:noWrap w:val="0"/>
            <w:vAlign w:val="center"/>
          </w:tcPr>
          <w:p w14:paraId="6294E4E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230" w:type="dxa"/>
            <w:tcBorders>
              <w:tl2br w:val="nil"/>
              <w:tr2bl w:val="nil"/>
            </w:tcBorders>
            <w:noWrap w:val="0"/>
            <w:vAlign w:val="center"/>
          </w:tcPr>
          <w:p w14:paraId="74958FE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172" w:type="dxa"/>
            <w:tcBorders>
              <w:tl2br w:val="nil"/>
              <w:tr2bl w:val="nil"/>
            </w:tcBorders>
            <w:noWrap w:val="0"/>
            <w:vAlign w:val="center"/>
          </w:tcPr>
          <w:p w14:paraId="6D301FE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956" w:type="dxa"/>
            <w:tcBorders>
              <w:tl2br w:val="nil"/>
              <w:tr2bl w:val="nil"/>
            </w:tcBorders>
            <w:noWrap w:val="0"/>
            <w:vAlign w:val="center"/>
          </w:tcPr>
          <w:p w14:paraId="6A4FD682">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0.1</w:t>
            </w:r>
          </w:p>
        </w:tc>
        <w:tc>
          <w:tcPr>
            <w:tcW w:w="1031" w:type="dxa"/>
            <w:tcBorders>
              <w:tl2br w:val="nil"/>
              <w:tr2bl w:val="nil"/>
            </w:tcBorders>
            <w:noWrap w:val="0"/>
            <w:vAlign w:val="center"/>
          </w:tcPr>
          <w:p w14:paraId="0FBB759C">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0.100 </w:t>
            </w:r>
          </w:p>
        </w:tc>
        <w:tc>
          <w:tcPr>
            <w:tcW w:w="936" w:type="dxa"/>
            <w:tcBorders>
              <w:tl2br w:val="nil"/>
              <w:tr2bl w:val="nil"/>
            </w:tcBorders>
            <w:noWrap w:val="0"/>
            <w:vAlign w:val="center"/>
          </w:tcPr>
          <w:p w14:paraId="399B2951">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093A50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0E64248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1EEB489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vertAlign w:val="baseline"/>
                <w:lang w:val="en-US" w:eastAsia="zh-CN" w:bidi="ar-SA"/>
              </w:rPr>
            </w:pPr>
            <w:r>
              <w:rPr>
                <w:rFonts w:hint="default" w:ascii="Times New Roman" w:hAnsi="Times New Roman" w:eastAsia="宋体" w:cs="Times New Roman"/>
                <w:sz w:val="21"/>
                <w:szCs w:val="21"/>
                <w:lang w:val="en-US" w:eastAsia="zh-CN"/>
              </w:rPr>
              <w:t>六价铬</w:t>
            </w:r>
          </w:p>
        </w:tc>
        <w:tc>
          <w:tcPr>
            <w:tcW w:w="1130" w:type="dxa"/>
            <w:tcBorders>
              <w:tl2br w:val="nil"/>
              <w:tr2bl w:val="nil"/>
            </w:tcBorders>
            <w:noWrap w:val="0"/>
            <w:vAlign w:val="center"/>
          </w:tcPr>
          <w:p w14:paraId="5C32B8B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1230" w:type="dxa"/>
            <w:tcBorders>
              <w:tl2br w:val="nil"/>
              <w:tr2bl w:val="nil"/>
            </w:tcBorders>
            <w:noWrap w:val="0"/>
            <w:vAlign w:val="center"/>
          </w:tcPr>
          <w:p w14:paraId="178C819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1172" w:type="dxa"/>
            <w:tcBorders>
              <w:tl2br w:val="nil"/>
              <w:tr2bl w:val="nil"/>
            </w:tcBorders>
            <w:noWrap w:val="0"/>
            <w:vAlign w:val="center"/>
          </w:tcPr>
          <w:p w14:paraId="0B3F707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956" w:type="dxa"/>
            <w:tcBorders>
              <w:tl2br w:val="nil"/>
              <w:tr2bl w:val="nil"/>
            </w:tcBorders>
            <w:noWrap w:val="0"/>
            <w:vAlign w:val="center"/>
          </w:tcPr>
          <w:p w14:paraId="6061216C">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31" w:type="dxa"/>
            <w:tcBorders>
              <w:tl2br w:val="nil"/>
              <w:tr2bl w:val="nil"/>
            </w:tcBorders>
            <w:noWrap w:val="0"/>
            <w:vAlign w:val="center"/>
          </w:tcPr>
          <w:p w14:paraId="19EB51D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0.080 </w:t>
            </w:r>
          </w:p>
        </w:tc>
        <w:tc>
          <w:tcPr>
            <w:tcW w:w="936" w:type="dxa"/>
            <w:tcBorders>
              <w:tl2br w:val="nil"/>
              <w:tr2bl w:val="nil"/>
            </w:tcBorders>
            <w:noWrap w:val="0"/>
            <w:vAlign w:val="center"/>
          </w:tcPr>
          <w:p w14:paraId="1FCA2283">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7C2237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03D4505A">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5A647B9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氰化物</w:t>
            </w:r>
          </w:p>
        </w:tc>
        <w:tc>
          <w:tcPr>
            <w:tcW w:w="1130" w:type="dxa"/>
            <w:tcBorders>
              <w:tl2br w:val="nil"/>
              <w:tr2bl w:val="nil"/>
            </w:tcBorders>
            <w:noWrap w:val="0"/>
            <w:vAlign w:val="center"/>
          </w:tcPr>
          <w:p w14:paraId="164EC2C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1230" w:type="dxa"/>
            <w:tcBorders>
              <w:tl2br w:val="nil"/>
              <w:tr2bl w:val="nil"/>
            </w:tcBorders>
            <w:noWrap w:val="0"/>
            <w:vAlign w:val="center"/>
          </w:tcPr>
          <w:p w14:paraId="7139CCC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1172" w:type="dxa"/>
            <w:tcBorders>
              <w:tl2br w:val="nil"/>
              <w:tr2bl w:val="nil"/>
            </w:tcBorders>
            <w:noWrap w:val="0"/>
            <w:vAlign w:val="center"/>
          </w:tcPr>
          <w:p w14:paraId="24440E3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956" w:type="dxa"/>
            <w:tcBorders>
              <w:tl2br w:val="nil"/>
              <w:tr2bl w:val="nil"/>
            </w:tcBorders>
            <w:noWrap w:val="0"/>
            <w:vAlign w:val="center"/>
          </w:tcPr>
          <w:p w14:paraId="6A699EAB">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0.2</w:t>
            </w:r>
          </w:p>
        </w:tc>
        <w:tc>
          <w:tcPr>
            <w:tcW w:w="1031" w:type="dxa"/>
            <w:tcBorders>
              <w:tl2br w:val="nil"/>
              <w:tr2bl w:val="nil"/>
            </w:tcBorders>
            <w:noWrap w:val="0"/>
            <w:vAlign w:val="center"/>
          </w:tcPr>
          <w:p w14:paraId="71D8DB80">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0.020 </w:t>
            </w:r>
          </w:p>
        </w:tc>
        <w:tc>
          <w:tcPr>
            <w:tcW w:w="936" w:type="dxa"/>
            <w:tcBorders>
              <w:tl2br w:val="nil"/>
              <w:tr2bl w:val="nil"/>
            </w:tcBorders>
            <w:noWrap w:val="0"/>
            <w:vAlign w:val="center"/>
          </w:tcPr>
          <w:p w14:paraId="0B8A955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72802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230600C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61B50A9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粪大肠菌群</w:t>
            </w:r>
          </w:p>
        </w:tc>
        <w:tc>
          <w:tcPr>
            <w:tcW w:w="1130" w:type="dxa"/>
            <w:tcBorders>
              <w:tl2br w:val="nil"/>
              <w:tr2bl w:val="nil"/>
            </w:tcBorders>
            <w:noWrap w:val="0"/>
            <w:vAlign w:val="center"/>
          </w:tcPr>
          <w:p w14:paraId="271B4EE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1.6×10</w:t>
            </w:r>
            <w:r>
              <w:rPr>
                <w:rFonts w:hint="default" w:ascii="Times New Roman" w:hAnsi="Times New Roman" w:eastAsia="宋体" w:cs="Times New Roman"/>
                <w:sz w:val="21"/>
                <w:szCs w:val="21"/>
                <w:vertAlign w:val="superscript"/>
                <w:lang w:val="en-US" w:eastAsia="zh-CN"/>
              </w:rPr>
              <w:t>2</w:t>
            </w:r>
          </w:p>
        </w:tc>
        <w:tc>
          <w:tcPr>
            <w:tcW w:w="1230" w:type="dxa"/>
            <w:tcBorders>
              <w:tl2br w:val="nil"/>
              <w:tr2bl w:val="nil"/>
            </w:tcBorders>
            <w:noWrap w:val="0"/>
            <w:vAlign w:val="center"/>
          </w:tcPr>
          <w:p w14:paraId="099678B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1.5×10</w:t>
            </w:r>
            <w:r>
              <w:rPr>
                <w:rFonts w:hint="default" w:ascii="Times New Roman" w:hAnsi="Times New Roman" w:eastAsia="宋体" w:cs="Times New Roman"/>
                <w:sz w:val="21"/>
                <w:szCs w:val="21"/>
                <w:vertAlign w:val="superscript"/>
                <w:lang w:val="en-US" w:eastAsia="zh-CN"/>
              </w:rPr>
              <w:t>2</w:t>
            </w:r>
          </w:p>
        </w:tc>
        <w:tc>
          <w:tcPr>
            <w:tcW w:w="1172" w:type="dxa"/>
            <w:tcBorders>
              <w:tl2br w:val="nil"/>
              <w:tr2bl w:val="nil"/>
            </w:tcBorders>
            <w:noWrap w:val="0"/>
            <w:vAlign w:val="center"/>
          </w:tcPr>
          <w:p w14:paraId="185B2F7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1.4×10</w:t>
            </w:r>
            <w:r>
              <w:rPr>
                <w:rFonts w:hint="default" w:ascii="Times New Roman" w:hAnsi="Times New Roman" w:eastAsia="宋体" w:cs="Times New Roman"/>
                <w:sz w:val="21"/>
                <w:szCs w:val="21"/>
                <w:vertAlign w:val="superscript"/>
                <w:lang w:val="en-US" w:eastAsia="zh-CN"/>
              </w:rPr>
              <w:t>2</w:t>
            </w:r>
          </w:p>
        </w:tc>
        <w:tc>
          <w:tcPr>
            <w:tcW w:w="956" w:type="dxa"/>
            <w:tcBorders>
              <w:tl2br w:val="nil"/>
              <w:tr2bl w:val="nil"/>
            </w:tcBorders>
            <w:noWrap w:val="0"/>
            <w:vAlign w:val="center"/>
          </w:tcPr>
          <w:p w14:paraId="1B2E1A0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10000</w:t>
            </w:r>
          </w:p>
        </w:tc>
        <w:tc>
          <w:tcPr>
            <w:tcW w:w="1031" w:type="dxa"/>
            <w:tcBorders>
              <w:tl2br w:val="nil"/>
              <w:tr2bl w:val="nil"/>
            </w:tcBorders>
            <w:noWrap w:val="0"/>
            <w:vAlign w:val="center"/>
          </w:tcPr>
          <w:p w14:paraId="07FBFF63">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0.016 </w:t>
            </w:r>
          </w:p>
        </w:tc>
        <w:tc>
          <w:tcPr>
            <w:tcW w:w="936" w:type="dxa"/>
            <w:tcBorders>
              <w:tl2br w:val="nil"/>
              <w:tr2bl w:val="nil"/>
            </w:tcBorders>
            <w:noWrap w:val="0"/>
            <w:vAlign w:val="center"/>
          </w:tcPr>
          <w:p w14:paraId="7406DB0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0D1C9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61AD9ABC">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0CEB51D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五日生化需氧量</w:t>
            </w:r>
          </w:p>
        </w:tc>
        <w:tc>
          <w:tcPr>
            <w:tcW w:w="1130" w:type="dxa"/>
            <w:tcBorders>
              <w:tl2br w:val="nil"/>
              <w:tr2bl w:val="nil"/>
            </w:tcBorders>
            <w:noWrap w:val="0"/>
            <w:vAlign w:val="center"/>
          </w:tcPr>
          <w:p w14:paraId="76581CA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3.2</w:t>
            </w:r>
          </w:p>
        </w:tc>
        <w:tc>
          <w:tcPr>
            <w:tcW w:w="1230" w:type="dxa"/>
            <w:tcBorders>
              <w:tl2br w:val="nil"/>
              <w:tr2bl w:val="nil"/>
            </w:tcBorders>
            <w:noWrap w:val="0"/>
            <w:vAlign w:val="center"/>
          </w:tcPr>
          <w:p w14:paraId="5EBF4B1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3.2</w:t>
            </w:r>
          </w:p>
        </w:tc>
        <w:tc>
          <w:tcPr>
            <w:tcW w:w="1172" w:type="dxa"/>
            <w:tcBorders>
              <w:tl2br w:val="nil"/>
              <w:tr2bl w:val="nil"/>
            </w:tcBorders>
            <w:noWrap w:val="0"/>
            <w:vAlign w:val="center"/>
          </w:tcPr>
          <w:p w14:paraId="4115AAF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3.5</w:t>
            </w:r>
          </w:p>
        </w:tc>
        <w:tc>
          <w:tcPr>
            <w:tcW w:w="956" w:type="dxa"/>
            <w:tcBorders>
              <w:tl2br w:val="nil"/>
              <w:tr2bl w:val="nil"/>
            </w:tcBorders>
            <w:noWrap w:val="0"/>
            <w:vAlign w:val="center"/>
          </w:tcPr>
          <w:p w14:paraId="4E90427C">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4</w:t>
            </w:r>
          </w:p>
        </w:tc>
        <w:tc>
          <w:tcPr>
            <w:tcW w:w="1031" w:type="dxa"/>
            <w:tcBorders>
              <w:tl2br w:val="nil"/>
              <w:tr2bl w:val="nil"/>
            </w:tcBorders>
            <w:noWrap w:val="0"/>
            <w:vAlign w:val="center"/>
          </w:tcPr>
          <w:p w14:paraId="3AB8084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0.875 </w:t>
            </w:r>
          </w:p>
        </w:tc>
        <w:tc>
          <w:tcPr>
            <w:tcW w:w="936" w:type="dxa"/>
            <w:tcBorders>
              <w:tl2br w:val="nil"/>
              <w:tr2bl w:val="nil"/>
            </w:tcBorders>
            <w:noWrap w:val="0"/>
            <w:vAlign w:val="center"/>
          </w:tcPr>
          <w:p w14:paraId="65E6A60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2FB77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375F49AA">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5AA906A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氟化物</w:t>
            </w:r>
          </w:p>
        </w:tc>
        <w:tc>
          <w:tcPr>
            <w:tcW w:w="1130" w:type="dxa"/>
            <w:tcBorders>
              <w:tl2br w:val="nil"/>
              <w:tr2bl w:val="nil"/>
            </w:tcBorders>
            <w:noWrap w:val="0"/>
            <w:vAlign w:val="center"/>
          </w:tcPr>
          <w:p w14:paraId="0926338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0.343</w:t>
            </w:r>
          </w:p>
        </w:tc>
        <w:tc>
          <w:tcPr>
            <w:tcW w:w="1230" w:type="dxa"/>
            <w:tcBorders>
              <w:tl2br w:val="nil"/>
              <w:tr2bl w:val="nil"/>
            </w:tcBorders>
            <w:noWrap w:val="0"/>
            <w:vAlign w:val="center"/>
          </w:tcPr>
          <w:p w14:paraId="413F1D1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0.333 </w:t>
            </w:r>
          </w:p>
        </w:tc>
        <w:tc>
          <w:tcPr>
            <w:tcW w:w="1172" w:type="dxa"/>
            <w:tcBorders>
              <w:tl2br w:val="nil"/>
              <w:tr2bl w:val="nil"/>
            </w:tcBorders>
            <w:noWrap w:val="0"/>
            <w:vAlign w:val="center"/>
          </w:tcPr>
          <w:p w14:paraId="7A459E2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0.339 </w:t>
            </w:r>
          </w:p>
        </w:tc>
        <w:tc>
          <w:tcPr>
            <w:tcW w:w="956" w:type="dxa"/>
            <w:tcBorders>
              <w:tl2br w:val="nil"/>
              <w:tr2bl w:val="nil"/>
            </w:tcBorders>
            <w:noWrap w:val="0"/>
            <w:vAlign w:val="center"/>
          </w:tcPr>
          <w:p w14:paraId="199796BF">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6C789EB3">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0.343 </w:t>
            </w:r>
          </w:p>
        </w:tc>
        <w:tc>
          <w:tcPr>
            <w:tcW w:w="936" w:type="dxa"/>
            <w:tcBorders>
              <w:tl2br w:val="nil"/>
              <w:tr2bl w:val="nil"/>
            </w:tcBorders>
            <w:noWrap w:val="0"/>
            <w:vAlign w:val="center"/>
          </w:tcPr>
          <w:p w14:paraId="0D12582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64D4C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06B38351">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6340A8B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氯化物</w:t>
            </w:r>
          </w:p>
        </w:tc>
        <w:tc>
          <w:tcPr>
            <w:tcW w:w="1130" w:type="dxa"/>
            <w:tcBorders>
              <w:tl2br w:val="nil"/>
              <w:tr2bl w:val="nil"/>
            </w:tcBorders>
            <w:noWrap w:val="0"/>
            <w:vAlign w:val="center"/>
          </w:tcPr>
          <w:p w14:paraId="4E84A18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4.98</w:t>
            </w:r>
          </w:p>
        </w:tc>
        <w:tc>
          <w:tcPr>
            <w:tcW w:w="1230" w:type="dxa"/>
            <w:tcBorders>
              <w:tl2br w:val="nil"/>
              <w:tr2bl w:val="nil"/>
            </w:tcBorders>
            <w:noWrap w:val="0"/>
            <w:vAlign w:val="center"/>
          </w:tcPr>
          <w:p w14:paraId="612F1A3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4.95</w:t>
            </w:r>
          </w:p>
        </w:tc>
        <w:tc>
          <w:tcPr>
            <w:tcW w:w="1172" w:type="dxa"/>
            <w:tcBorders>
              <w:tl2br w:val="nil"/>
              <w:tr2bl w:val="nil"/>
            </w:tcBorders>
            <w:noWrap w:val="0"/>
            <w:vAlign w:val="center"/>
          </w:tcPr>
          <w:p w14:paraId="00F693A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4.98</w:t>
            </w:r>
          </w:p>
        </w:tc>
        <w:tc>
          <w:tcPr>
            <w:tcW w:w="956" w:type="dxa"/>
            <w:tcBorders>
              <w:tl2br w:val="nil"/>
              <w:tr2bl w:val="nil"/>
            </w:tcBorders>
            <w:noWrap w:val="0"/>
            <w:vAlign w:val="center"/>
          </w:tcPr>
          <w:p w14:paraId="34356391">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250</w:t>
            </w:r>
          </w:p>
        </w:tc>
        <w:tc>
          <w:tcPr>
            <w:tcW w:w="1031" w:type="dxa"/>
            <w:tcBorders>
              <w:tl2br w:val="nil"/>
              <w:tr2bl w:val="nil"/>
            </w:tcBorders>
            <w:noWrap w:val="0"/>
            <w:vAlign w:val="center"/>
          </w:tcPr>
          <w:p w14:paraId="30E2C43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0.020 </w:t>
            </w:r>
          </w:p>
        </w:tc>
        <w:tc>
          <w:tcPr>
            <w:tcW w:w="936" w:type="dxa"/>
            <w:tcBorders>
              <w:tl2br w:val="nil"/>
              <w:tr2bl w:val="nil"/>
            </w:tcBorders>
            <w:noWrap w:val="0"/>
            <w:vAlign w:val="center"/>
          </w:tcPr>
          <w:p w14:paraId="0AD1C04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889D6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0D87DDB7">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6651EB9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硫酸盐</w:t>
            </w:r>
          </w:p>
        </w:tc>
        <w:tc>
          <w:tcPr>
            <w:tcW w:w="1130" w:type="dxa"/>
            <w:tcBorders>
              <w:tl2br w:val="nil"/>
              <w:tr2bl w:val="nil"/>
            </w:tcBorders>
            <w:noWrap w:val="0"/>
            <w:vAlign w:val="center"/>
          </w:tcPr>
          <w:p w14:paraId="65DD904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15.3</w:t>
            </w:r>
          </w:p>
        </w:tc>
        <w:tc>
          <w:tcPr>
            <w:tcW w:w="1230" w:type="dxa"/>
            <w:tcBorders>
              <w:tl2br w:val="nil"/>
              <w:tr2bl w:val="nil"/>
            </w:tcBorders>
            <w:noWrap w:val="0"/>
            <w:vAlign w:val="center"/>
          </w:tcPr>
          <w:p w14:paraId="7B4EF69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15.3</w:t>
            </w:r>
          </w:p>
        </w:tc>
        <w:tc>
          <w:tcPr>
            <w:tcW w:w="1172" w:type="dxa"/>
            <w:tcBorders>
              <w:tl2br w:val="nil"/>
              <w:tr2bl w:val="nil"/>
            </w:tcBorders>
            <w:noWrap w:val="0"/>
            <w:vAlign w:val="center"/>
          </w:tcPr>
          <w:p w14:paraId="466180F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15.2</w:t>
            </w:r>
          </w:p>
        </w:tc>
        <w:tc>
          <w:tcPr>
            <w:tcW w:w="956" w:type="dxa"/>
            <w:tcBorders>
              <w:tl2br w:val="nil"/>
              <w:tr2bl w:val="nil"/>
            </w:tcBorders>
            <w:noWrap w:val="0"/>
            <w:vAlign w:val="center"/>
          </w:tcPr>
          <w:p w14:paraId="35B9EFEC">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250</w:t>
            </w:r>
          </w:p>
        </w:tc>
        <w:tc>
          <w:tcPr>
            <w:tcW w:w="1031" w:type="dxa"/>
            <w:tcBorders>
              <w:tl2br w:val="nil"/>
              <w:tr2bl w:val="nil"/>
            </w:tcBorders>
            <w:noWrap w:val="0"/>
            <w:vAlign w:val="center"/>
          </w:tcPr>
          <w:p w14:paraId="2B9E994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0.061 </w:t>
            </w:r>
          </w:p>
        </w:tc>
        <w:tc>
          <w:tcPr>
            <w:tcW w:w="936" w:type="dxa"/>
            <w:tcBorders>
              <w:tl2br w:val="nil"/>
              <w:tr2bl w:val="nil"/>
            </w:tcBorders>
            <w:noWrap w:val="0"/>
            <w:vAlign w:val="center"/>
          </w:tcPr>
          <w:p w14:paraId="7E1DAA7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0F2CB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1C913375">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4A3BBA2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硝酸盐</w:t>
            </w:r>
          </w:p>
        </w:tc>
        <w:tc>
          <w:tcPr>
            <w:tcW w:w="1130" w:type="dxa"/>
            <w:tcBorders>
              <w:tl2br w:val="nil"/>
              <w:tr2bl w:val="nil"/>
            </w:tcBorders>
            <w:noWrap w:val="0"/>
            <w:vAlign w:val="center"/>
          </w:tcPr>
          <w:p w14:paraId="1110034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1.98 </w:t>
            </w:r>
          </w:p>
        </w:tc>
        <w:tc>
          <w:tcPr>
            <w:tcW w:w="1230" w:type="dxa"/>
            <w:tcBorders>
              <w:tl2br w:val="nil"/>
              <w:tr2bl w:val="nil"/>
            </w:tcBorders>
            <w:noWrap w:val="0"/>
            <w:vAlign w:val="center"/>
          </w:tcPr>
          <w:p w14:paraId="53DE4C1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1.95 </w:t>
            </w:r>
          </w:p>
        </w:tc>
        <w:tc>
          <w:tcPr>
            <w:tcW w:w="1172" w:type="dxa"/>
            <w:tcBorders>
              <w:tl2br w:val="nil"/>
              <w:tr2bl w:val="nil"/>
            </w:tcBorders>
            <w:noWrap w:val="0"/>
            <w:vAlign w:val="center"/>
          </w:tcPr>
          <w:p w14:paraId="669D376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cs="Times New Roman" w:eastAsiaTheme="majorEastAsia"/>
                <w:sz w:val="21"/>
                <w:szCs w:val="21"/>
                <w:lang w:val="en-US" w:eastAsia="zh-CN"/>
              </w:rPr>
              <w:t>1.95</w:t>
            </w:r>
          </w:p>
        </w:tc>
        <w:tc>
          <w:tcPr>
            <w:tcW w:w="956" w:type="dxa"/>
            <w:tcBorders>
              <w:tl2br w:val="nil"/>
              <w:tr2bl w:val="nil"/>
            </w:tcBorders>
            <w:noWrap w:val="0"/>
            <w:vAlign w:val="center"/>
          </w:tcPr>
          <w:p w14:paraId="18E950D8">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0737E46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0.198 </w:t>
            </w:r>
          </w:p>
        </w:tc>
        <w:tc>
          <w:tcPr>
            <w:tcW w:w="936" w:type="dxa"/>
            <w:tcBorders>
              <w:tl2br w:val="nil"/>
              <w:tr2bl w:val="nil"/>
            </w:tcBorders>
            <w:noWrap w:val="0"/>
            <w:vAlign w:val="center"/>
          </w:tcPr>
          <w:p w14:paraId="654B6AA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2C0A0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3677500A">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3B180F3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石油类</w:t>
            </w:r>
          </w:p>
        </w:tc>
        <w:tc>
          <w:tcPr>
            <w:tcW w:w="1130" w:type="dxa"/>
            <w:tcBorders>
              <w:tl2br w:val="nil"/>
              <w:tr2bl w:val="nil"/>
            </w:tcBorders>
            <w:noWrap w:val="0"/>
            <w:vAlign w:val="center"/>
          </w:tcPr>
          <w:p w14:paraId="3AFDF37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230" w:type="dxa"/>
            <w:tcBorders>
              <w:tl2br w:val="nil"/>
              <w:tr2bl w:val="nil"/>
            </w:tcBorders>
            <w:noWrap w:val="0"/>
            <w:vAlign w:val="center"/>
          </w:tcPr>
          <w:p w14:paraId="5F95B45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172" w:type="dxa"/>
            <w:tcBorders>
              <w:tl2br w:val="nil"/>
              <w:tr2bl w:val="nil"/>
            </w:tcBorders>
            <w:noWrap w:val="0"/>
            <w:vAlign w:val="center"/>
          </w:tcPr>
          <w:p w14:paraId="4BD5E71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FF0000"/>
                <w:spacing w:val="0"/>
                <w:w w:val="100"/>
                <w:position w:val="0"/>
                <w:sz w:val="21"/>
                <w:szCs w:val="21"/>
                <w:u w:val="none" w:color="auto"/>
                <w:lang w:val="en-US" w:eastAsia="zh-CN" w:bidi="ar-SA"/>
              </w:rPr>
            </w:pPr>
            <w:r>
              <w:rPr>
                <w:rFonts w:hint="default" w:ascii="Times New Roman" w:hAnsi="Times New Roman" w:cs="Times New Roman" w:eastAsiaTheme="majorEastAsia"/>
                <w:sz w:val="21"/>
                <w:szCs w:val="21"/>
                <w:lang w:val="en-US" w:eastAsia="zh-CN"/>
              </w:rPr>
              <w:t>0.01L</w:t>
            </w:r>
          </w:p>
        </w:tc>
        <w:tc>
          <w:tcPr>
            <w:tcW w:w="956" w:type="dxa"/>
            <w:tcBorders>
              <w:tl2br w:val="nil"/>
              <w:tr2bl w:val="nil"/>
            </w:tcBorders>
            <w:noWrap w:val="0"/>
            <w:vAlign w:val="center"/>
          </w:tcPr>
          <w:p w14:paraId="0A48CB7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31" w:type="dxa"/>
            <w:tcBorders>
              <w:tl2br w:val="nil"/>
              <w:tr2bl w:val="nil"/>
            </w:tcBorders>
            <w:noWrap w:val="0"/>
            <w:vAlign w:val="center"/>
          </w:tcPr>
          <w:p w14:paraId="2941C21D">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0.200 </w:t>
            </w:r>
          </w:p>
        </w:tc>
        <w:tc>
          <w:tcPr>
            <w:tcW w:w="936" w:type="dxa"/>
            <w:tcBorders>
              <w:tl2br w:val="nil"/>
              <w:tr2bl w:val="nil"/>
            </w:tcBorders>
            <w:noWrap w:val="0"/>
            <w:vAlign w:val="center"/>
          </w:tcPr>
          <w:p w14:paraId="1BF9BDFE">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99792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0A074532">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0683C99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挥发酚</w:t>
            </w:r>
          </w:p>
        </w:tc>
        <w:tc>
          <w:tcPr>
            <w:tcW w:w="1130" w:type="dxa"/>
            <w:tcBorders>
              <w:tl2br w:val="nil"/>
              <w:tr2bl w:val="nil"/>
            </w:tcBorders>
            <w:noWrap w:val="0"/>
            <w:vAlign w:val="center"/>
          </w:tcPr>
          <w:p w14:paraId="32A98FE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230" w:type="dxa"/>
            <w:tcBorders>
              <w:tl2br w:val="nil"/>
              <w:tr2bl w:val="nil"/>
            </w:tcBorders>
            <w:noWrap w:val="0"/>
            <w:vAlign w:val="center"/>
          </w:tcPr>
          <w:p w14:paraId="6026639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172" w:type="dxa"/>
            <w:tcBorders>
              <w:tl2br w:val="nil"/>
              <w:tr2bl w:val="nil"/>
            </w:tcBorders>
            <w:noWrap w:val="0"/>
            <w:vAlign w:val="center"/>
          </w:tcPr>
          <w:p w14:paraId="0F7EC41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FF0000"/>
                <w:spacing w:val="0"/>
                <w:w w:val="100"/>
                <w:position w:val="0"/>
                <w:sz w:val="21"/>
                <w:szCs w:val="21"/>
                <w:u w:val="none" w:color="auto"/>
                <w:lang w:val="en-US" w:eastAsia="zh-CN" w:bidi="ar-SA"/>
              </w:rPr>
            </w:pPr>
            <w:r>
              <w:rPr>
                <w:rFonts w:hint="default" w:ascii="Times New Roman" w:hAnsi="Times New Roman" w:cs="Times New Roman" w:eastAsiaTheme="majorEastAsia"/>
                <w:sz w:val="21"/>
                <w:szCs w:val="21"/>
                <w:lang w:val="en-US" w:eastAsia="zh-CN"/>
              </w:rPr>
              <w:t>0.0003L</w:t>
            </w:r>
          </w:p>
        </w:tc>
        <w:tc>
          <w:tcPr>
            <w:tcW w:w="956" w:type="dxa"/>
            <w:tcBorders>
              <w:tl2br w:val="nil"/>
              <w:tr2bl w:val="nil"/>
            </w:tcBorders>
            <w:noWrap w:val="0"/>
            <w:vAlign w:val="center"/>
          </w:tcPr>
          <w:p w14:paraId="6BC33E56">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0.005</w:t>
            </w:r>
          </w:p>
        </w:tc>
        <w:tc>
          <w:tcPr>
            <w:tcW w:w="1031" w:type="dxa"/>
            <w:tcBorders>
              <w:tl2br w:val="nil"/>
              <w:tr2bl w:val="nil"/>
            </w:tcBorders>
            <w:noWrap w:val="0"/>
            <w:vAlign w:val="center"/>
          </w:tcPr>
          <w:p w14:paraId="71D4E99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0.060 </w:t>
            </w:r>
          </w:p>
        </w:tc>
        <w:tc>
          <w:tcPr>
            <w:tcW w:w="936" w:type="dxa"/>
            <w:tcBorders>
              <w:tl2br w:val="nil"/>
              <w:tr2bl w:val="nil"/>
            </w:tcBorders>
            <w:noWrap w:val="0"/>
            <w:vAlign w:val="center"/>
          </w:tcPr>
          <w:p w14:paraId="1762E52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DD6A7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18349EBA">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38BF54C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阴离子表面活性剂</w:t>
            </w:r>
          </w:p>
        </w:tc>
        <w:tc>
          <w:tcPr>
            <w:tcW w:w="1130" w:type="dxa"/>
            <w:tcBorders>
              <w:tl2br w:val="nil"/>
              <w:tr2bl w:val="nil"/>
            </w:tcBorders>
            <w:noWrap w:val="0"/>
            <w:vAlign w:val="center"/>
          </w:tcPr>
          <w:p w14:paraId="4D1105E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230" w:type="dxa"/>
            <w:tcBorders>
              <w:tl2br w:val="nil"/>
              <w:tr2bl w:val="nil"/>
            </w:tcBorders>
            <w:noWrap w:val="0"/>
            <w:vAlign w:val="center"/>
          </w:tcPr>
          <w:p w14:paraId="4FB7DA9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172" w:type="dxa"/>
            <w:tcBorders>
              <w:tl2br w:val="nil"/>
              <w:tr2bl w:val="nil"/>
            </w:tcBorders>
            <w:noWrap w:val="0"/>
            <w:vAlign w:val="center"/>
          </w:tcPr>
          <w:p w14:paraId="0CCB025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FF0000"/>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956" w:type="dxa"/>
            <w:tcBorders>
              <w:tl2br w:val="nil"/>
              <w:tr2bl w:val="nil"/>
            </w:tcBorders>
            <w:noWrap w:val="0"/>
            <w:vAlign w:val="center"/>
          </w:tcPr>
          <w:p w14:paraId="72E4A165">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0.2</w:t>
            </w:r>
          </w:p>
        </w:tc>
        <w:tc>
          <w:tcPr>
            <w:tcW w:w="1031" w:type="dxa"/>
            <w:tcBorders>
              <w:tl2br w:val="nil"/>
              <w:tr2bl w:val="nil"/>
            </w:tcBorders>
            <w:noWrap w:val="0"/>
            <w:vAlign w:val="center"/>
          </w:tcPr>
          <w:p w14:paraId="7B3726A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0.250 </w:t>
            </w:r>
          </w:p>
        </w:tc>
        <w:tc>
          <w:tcPr>
            <w:tcW w:w="936" w:type="dxa"/>
            <w:tcBorders>
              <w:tl2br w:val="nil"/>
              <w:tr2bl w:val="nil"/>
            </w:tcBorders>
            <w:noWrap w:val="0"/>
            <w:vAlign w:val="center"/>
          </w:tcPr>
          <w:p w14:paraId="100F144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33485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702F8BA7">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2CB1462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硫化物</w:t>
            </w:r>
          </w:p>
        </w:tc>
        <w:tc>
          <w:tcPr>
            <w:tcW w:w="1130" w:type="dxa"/>
            <w:tcBorders>
              <w:tl2br w:val="nil"/>
              <w:tr2bl w:val="nil"/>
            </w:tcBorders>
            <w:noWrap w:val="0"/>
            <w:vAlign w:val="center"/>
          </w:tcPr>
          <w:p w14:paraId="5A63372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230" w:type="dxa"/>
            <w:tcBorders>
              <w:tl2br w:val="nil"/>
              <w:tr2bl w:val="nil"/>
            </w:tcBorders>
            <w:noWrap w:val="0"/>
            <w:vAlign w:val="center"/>
          </w:tcPr>
          <w:p w14:paraId="214C4BC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172" w:type="dxa"/>
            <w:tcBorders>
              <w:tl2br w:val="nil"/>
              <w:tr2bl w:val="nil"/>
            </w:tcBorders>
            <w:noWrap w:val="0"/>
            <w:vAlign w:val="center"/>
          </w:tcPr>
          <w:p w14:paraId="2FF673F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FF0000"/>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956" w:type="dxa"/>
            <w:tcBorders>
              <w:tl2br w:val="nil"/>
              <w:tr2bl w:val="nil"/>
            </w:tcBorders>
            <w:noWrap w:val="0"/>
            <w:vAlign w:val="center"/>
          </w:tcPr>
          <w:p w14:paraId="5E716974">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0.2</w:t>
            </w:r>
          </w:p>
        </w:tc>
        <w:tc>
          <w:tcPr>
            <w:tcW w:w="1031" w:type="dxa"/>
            <w:tcBorders>
              <w:tl2br w:val="nil"/>
              <w:tr2bl w:val="nil"/>
            </w:tcBorders>
            <w:noWrap w:val="0"/>
            <w:vAlign w:val="center"/>
          </w:tcPr>
          <w:p w14:paraId="36AC725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0.050 </w:t>
            </w:r>
          </w:p>
        </w:tc>
        <w:tc>
          <w:tcPr>
            <w:tcW w:w="936" w:type="dxa"/>
            <w:tcBorders>
              <w:tl2br w:val="nil"/>
              <w:tr2bl w:val="nil"/>
            </w:tcBorders>
            <w:noWrap w:val="0"/>
            <w:vAlign w:val="center"/>
          </w:tcPr>
          <w:p w14:paraId="09E06DBE">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A945F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69648560">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3EDC2CC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悬浮物</w:t>
            </w:r>
          </w:p>
        </w:tc>
        <w:tc>
          <w:tcPr>
            <w:tcW w:w="1130" w:type="dxa"/>
            <w:tcBorders>
              <w:tl2br w:val="nil"/>
              <w:tr2bl w:val="nil"/>
            </w:tcBorders>
            <w:noWrap w:val="0"/>
            <w:vAlign w:val="center"/>
          </w:tcPr>
          <w:p w14:paraId="172573C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w:t>
            </w:r>
          </w:p>
        </w:tc>
        <w:tc>
          <w:tcPr>
            <w:tcW w:w="1230" w:type="dxa"/>
            <w:tcBorders>
              <w:tl2br w:val="nil"/>
              <w:tr2bl w:val="nil"/>
            </w:tcBorders>
            <w:noWrap w:val="0"/>
            <w:vAlign w:val="center"/>
          </w:tcPr>
          <w:p w14:paraId="395F528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w:t>
            </w:r>
          </w:p>
        </w:tc>
        <w:tc>
          <w:tcPr>
            <w:tcW w:w="1172" w:type="dxa"/>
            <w:tcBorders>
              <w:tl2br w:val="nil"/>
              <w:tr2bl w:val="nil"/>
            </w:tcBorders>
            <w:noWrap w:val="0"/>
            <w:vAlign w:val="center"/>
          </w:tcPr>
          <w:p w14:paraId="32F1F77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z w:val="21"/>
                <w:szCs w:val="21"/>
                <w:lang w:val="en-US" w:eastAsia="zh-CN"/>
              </w:rPr>
              <w:t>6</w:t>
            </w:r>
          </w:p>
        </w:tc>
        <w:tc>
          <w:tcPr>
            <w:tcW w:w="956" w:type="dxa"/>
            <w:tcBorders>
              <w:tl2br w:val="nil"/>
              <w:tr2bl w:val="nil"/>
            </w:tcBorders>
            <w:noWrap w:val="0"/>
            <w:vAlign w:val="center"/>
          </w:tcPr>
          <w:p w14:paraId="2FB73F72">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1031" w:type="dxa"/>
            <w:tcBorders>
              <w:tl2br w:val="nil"/>
              <w:tr2bl w:val="nil"/>
            </w:tcBorders>
            <w:noWrap w:val="0"/>
            <w:vAlign w:val="center"/>
          </w:tcPr>
          <w:p w14:paraId="6A3D02FC">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36" w:type="dxa"/>
            <w:tcBorders>
              <w:tl2br w:val="nil"/>
              <w:tr2bl w:val="nil"/>
            </w:tcBorders>
            <w:noWrap w:val="0"/>
            <w:vAlign w:val="center"/>
          </w:tcPr>
          <w:p w14:paraId="38BEA662">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r w14:paraId="1033E2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121FDD5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6079833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叶绿素a</w:t>
            </w:r>
          </w:p>
        </w:tc>
        <w:tc>
          <w:tcPr>
            <w:tcW w:w="1130" w:type="dxa"/>
            <w:tcBorders>
              <w:tl2br w:val="nil"/>
              <w:tr2bl w:val="nil"/>
            </w:tcBorders>
            <w:noWrap w:val="0"/>
            <w:vAlign w:val="center"/>
          </w:tcPr>
          <w:p w14:paraId="28930C5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0.32</w:t>
            </w:r>
          </w:p>
        </w:tc>
        <w:tc>
          <w:tcPr>
            <w:tcW w:w="1230" w:type="dxa"/>
            <w:tcBorders>
              <w:tl2br w:val="nil"/>
              <w:tr2bl w:val="nil"/>
            </w:tcBorders>
            <w:noWrap w:val="0"/>
            <w:vAlign w:val="center"/>
          </w:tcPr>
          <w:p w14:paraId="75E2148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0.31</w:t>
            </w:r>
          </w:p>
        </w:tc>
        <w:tc>
          <w:tcPr>
            <w:tcW w:w="1172" w:type="dxa"/>
            <w:tcBorders>
              <w:tl2br w:val="nil"/>
              <w:tr2bl w:val="nil"/>
            </w:tcBorders>
            <w:noWrap w:val="0"/>
            <w:vAlign w:val="center"/>
          </w:tcPr>
          <w:p w14:paraId="1E14E4A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z w:val="21"/>
                <w:szCs w:val="21"/>
                <w:lang w:val="en-US" w:eastAsia="zh-CN"/>
              </w:rPr>
              <w:t>0.33</w:t>
            </w:r>
          </w:p>
        </w:tc>
        <w:tc>
          <w:tcPr>
            <w:tcW w:w="956" w:type="dxa"/>
            <w:tcBorders>
              <w:tl2br w:val="nil"/>
              <w:tr2bl w:val="nil"/>
            </w:tcBorders>
            <w:noWrap w:val="0"/>
            <w:vAlign w:val="center"/>
          </w:tcPr>
          <w:p w14:paraId="50EC3281">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1031" w:type="dxa"/>
            <w:tcBorders>
              <w:tl2br w:val="nil"/>
              <w:tr2bl w:val="nil"/>
            </w:tcBorders>
            <w:noWrap w:val="0"/>
            <w:vAlign w:val="center"/>
          </w:tcPr>
          <w:p w14:paraId="63FF57C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36" w:type="dxa"/>
            <w:tcBorders>
              <w:tl2br w:val="nil"/>
              <w:tr2bl w:val="nil"/>
            </w:tcBorders>
            <w:noWrap w:val="0"/>
            <w:vAlign w:val="center"/>
          </w:tcPr>
          <w:p w14:paraId="012B6E7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r w14:paraId="02137B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restart"/>
            <w:tcBorders>
              <w:tl2br w:val="nil"/>
              <w:tr2bl w:val="nil"/>
            </w:tcBorders>
            <w:noWrap w:val="0"/>
            <w:vAlign w:val="center"/>
          </w:tcPr>
          <w:p w14:paraId="352D5A6C">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napToGrid/>
                <w:kern w:val="2"/>
                <w:sz w:val="21"/>
                <w:szCs w:val="21"/>
                <w:lang w:val="en-US" w:eastAsia="zh-CN" w:bidi="ar-SA"/>
              </w:rPr>
              <w:t>W2水库西南侧库尾断面坝址上游约680m</w:t>
            </w:r>
          </w:p>
        </w:tc>
        <w:tc>
          <w:tcPr>
            <w:tcW w:w="1340" w:type="dxa"/>
            <w:tcBorders>
              <w:tl2br w:val="nil"/>
              <w:tr2bl w:val="nil"/>
            </w:tcBorders>
            <w:noWrap w:val="0"/>
            <w:vAlign w:val="center"/>
          </w:tcPr>
          <w:p w14:paraId="3780C91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pH值</w:t>
            </w:r>
          </w:p>
        </w:tc>
        <w:tc>
          <w:tcPr>
            <w:tcW w:w="1130" w:type="dxa"/>
            <w:tcBorders>
              <w:tl2br w:val="nil"/>
              <w:tr2bl w:val="nil"/>
            </w:tcBorders>
            <w:noWrap w:val="0"/>
            <w:vAlign w:val="center"/>
          </w:tcPr>
          <w:p w14:paraId="233E092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7.1</w:t>
            </w:r>
          </w:p>
        </w:tc>
        <w:tc>
          <w:tcPr>
            <w:tcW w:w="1230" w:type="dxa"/>
            <w:tcBorders>
              <w:tl2br w:val="nil"/>
              <w:tr2bl w:val="nil"/>
            </w:tcBorders>
            <w:noWrap w:val="0"/>
            <w:vAlign w:val="center"/>
          </w:tcPr>
          <w:p w14:paraId="497E811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7.1</w:t>
            </w:r>
          </w:p>
        </w:tc>
        <w:tc>
          <w:tcPr>
            <w:tcW w:w="1172" w:type="dxa"/>
            <w:tcBorders>
              <w:tl2br w:val="nil"/>
              <w:tr2bl w:val="nil"/>
            </w:tcBorders>
            <w:noWrap w:val="0"/>
            <w:vAlign w:val="center"/>
          </w:tcPr>
          <w:p w14:paraId="5D5189B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7.2</w:t>
            </w:r>
          </w:p>
        </w:tc>
        <w:tc>
          <w:tcPr>
            <w:tcW w:w="956" w:type="dxa"/>
            <w:tcBorders>
              <w:tl2br w:val="nil"/>
              <w:tr2bl w:val="nil"/>
            </w:tcBorders>
            <w:noWrap w:val="0"/>
            <w:vAlign w:val="center"/>
          </w:tcPr>
          <w:p w14:paraId="29BA0209">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6~9</w:t>
            </w:r>
          </w:p>
        </w:tc>
        <w:tc>
          <w:tcPr>
            <w:tcW w:w="1031" w:type="dxa"/>
            <w:tcBorders>
              <w:tl2br w:val="nil"/>
              <w:tr2bl w:val="nil"/>
            </w:tcBorders>
            <w:noWrap w:val="0"/>
            <w:vAlign w:val="center"/>
          </w:tcPr>
          <w:p w14:paraId="267C86AE">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0.100 </w:t>
            </w:r>
          </w:p>
        </w:tc>
        <w:tc>
          <w:tcPr>
            <w:tcW w:w="936" w:type="dxa"/>
            <w:tcBorders>
              <w:tl2br w:val="nil"/>
              <w:tr2bl w:val="nil"/>
            </w:tcBorders>
            <w:noWrap w:val="0"/>
            <w:vAlign w:val="center"/>
          </w:tcPr>
          <w:p w14:paraId="441ED91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72CDBC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79B66DB4">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64C33CD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水温</w:t>
            </w:r>
          </w:p>
        </w:tc>
        <w:tc>
          <w:tcPr>
            <w:tcW w:w="1130" w:type="dxa"/>
            <w:tcBorders>
              <w:tl2br w:val="nil"/>
              <w:tr2bl w:val="nil"/>
            </w:tcBorders>
            <w:noWrap w:val="0"/>
            <w:vAlign w:val="center"/>
          </w:tcPr>
          <w:p w14:paraId="0F57227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29.8</w:t>
            </w:r>
          </w:p>
        </w:tc>
        <w:tc>
          <w:tcPr>
            <w:tcW w:w="1230" w:type="dxa"/>
            <w:tcBorders>
              <w:tl2br w:val="nil"/>
              <w:tr2bl w:val="nil"/>
            </w:tcBorders>
            <w:noWrap w:val="0"/>
            <w:vAlign w:val="center"/>
          </w:tcPr>
          <w:p w14:paraId="08E32FC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28.1</w:t>
            </w:r>
          </w:p>
        </w:tc>
        <w:tc>
          <w:tcPr>
            <w:tcW w:w="1172" w:type="dxa"/>
            <w:tcBorders>
              <w:tl2br w:val="nil"/>
              <w:tr2bl w:val="nil"/>
            </w:tcBorders>
            <w:noWrap w:val="0"/>
            <w:vAlign w:val="center"/>
          </w:tcPr>
          <w:p w14:paraId="5FBD47C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22.6</w:t>
            </w:r>
          </w:p>
        </w:tc>
        <w:tc>
          <w:tcPr>
            <w:tcW w:w="956" w:type="dxa"/>
            <w:tcBorders>
              <w:tl2br w:val="nil"/>
              <w:tr2bl w:val="nil"/>
            </w:tcBorders>
            <w:noWrap w:val="0"/>
            <w:vAlign w:val="center"/>
          </w:tcPr>
          <w:p w14:paraId="3C9DB55F">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1031" w:type="dxa"/>
            <w:tcBorders>
              <w:tl2br w:val="nil"/>
              <w:tr2bl w:val="nil"/>
            </w:tcBorders>
            <w:noWrap w:val="0"/>
            <w:vAlign w:val="center"/>
          </w:tcPr>
          <w:p w14:paraId="48CFED63">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36" w:type="dxa"/>
            <w:tcBorders>
              <w:tl2br w:val="nil"/>
              <w:tr2bl w:val="nil"/>
            </w:tcBorders>
            <w:noWrap w:val="0"/>
            <w:vAlign w:val="center"/>
          </w:tcPr>
          <w:p w14:paraId="004BC9D1">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r w14:paraId="27CAA9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2338BFEE">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0E2C547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溶解氧</w:t>
            </w:r>
          </w:p>
        </w:tc>
        <w:tc>
          <w:tcPr>
            <w:tcW w:w="1130" w:type="dxa"/>
            <w:tcBorders>
              <w:tl2br w:val="nil"/>
              <w:tr2bl w:val="nil"/>
            </w:tcBorders>
            <w:noWrap w:val="0"/>
            <w:vAlign w:val="center"/>
          </w:tcPr>
          <w:p w14:paraId="183417B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7.59</w:t>
            </w:r>
          </w:p>
        </w:tc>
        <w:tc>
          <w:tcPr>
            <w:tcW w:w="1230" w:type="dxa"/>
            <w:tcBorders>
              <w:tl2br w:val="nil"/>
              <w:tr2bl w:val="nil"/>
            </w:tcBorders>
            <w:noWrap w:val="0"/>
            <w:vAlign w:val="center"/>
          </w:tcPr>
          <w:p w14:paraId="55FB9FF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7.80</w:t>
            </w:r>
          </w:p>
        </w:tc>
        <w:tc>
          <w:tcPr>
            <w:tcW w:w="1172" w:type="dxa"/>
            <w:tcBorders>
              <w:tl2br w:val="nil"/>
              <w:tr2bl w:val="nil"/>
            </w:tcBorders>
            <w:noWrap w:val="0"/>
            <w:vAlign w:val="center"/>
          </w:tcPr>
          <w:p w14:paraId="018ED57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8.63</w:t>
            </w:r>
          </w:p>
        </w:tc>
        <w:tc>
          <w:tcPr>
            <w:tcW w:w="956" w:type="dxa"/>
            <w:tcBorders>
              <w:tl2br w:val="nil"/>
              <w:tr2bl w:val="nil"/>
            </w:tcBorders>
            <w:noWrap w:val="0"/>
            <w:vAlign w:val="center"/>
          </w:tcPr>
          <w:p w14:paraId="3B90C0EF">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≥5</w:t>
            </w:r>
          </w:p>
        </w:tc>
        <w:tc>
          <w:tcPr>
            <w:tcW w:w="1031" w:type="dxa"/>
            <w:tcBorders>
              <w:tl2br w:val="nil"/>
              <w:tr2bl w:val="nil"/>
            </w:tcBorders>
            <w:noWrap w:val="0"/>
            <w:vAlign w:val="center"/>
          </w:tcPr>
          <w:p w14:paraId="7BD4180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0.659 </w:t>
            </w:r>
          </w:p>
        </w:tc>
        <w:tc>
          <w:tcPr>
            <w:tcW w:w="936" w:type="dxa"/>
            <w:tcBorders>
              <w:tl2br w:val="nil"/>
              <w:tr2bl w:val="nil"/>
            </w:tcBorders>
            <w:noWrap w:val="0"/>
            <w:vAlign w:val="center"/>
          </w:tcPr>
          <w:p w14:paraId="107CB15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D6D17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1492DE14">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3F96DE2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透明度</w:t>
            </w:r>
          </w:p>
        </w:tc>
        <w:tc>
          <w:tcPr>
            <w:tcW w:w="1130" w:type="dxa"/>
            <w:tcBorders>
              <w:tl2br w:val="nil"/>
              <w:tr2bl w:val="nil"/>
            </w:tcBorders>
            <w:noWrap w:val="0"/>
            <w:vAlign w:val="center"/>
          </w:tcPr>
          <w:p w14:paraId="39D0BD9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80</w:t>
            </w:r>
          </w:p>
        </w:tc>
        <w:tc>
          <w:tcPr>
            <w:tcW w:w="1230" w:type="dxa"/>
            <w:tcBorders>
              <w:tl2br w:val="nil"/>
              <w:tr2bl w:val="nil"/>
            </w:tcBorders>
            <w:noWrap w:val="0"/>
            <w:vAlign w:val="center"/>
          </w:tcPr>
          <w:p w14:paraId="0541315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79</w:t>
            </w:r>
          </w:p>
        </w:tc>
        <w:tc>
          <w:tcPr>
            <w:tcW w:w="1172" w:type="dxa"/>
            <w:tcBorders>
              <w:tl2br w:val="nil"/>
              <w:tr2bl w:val="nil"/>
            </w:tcBorders>
            <w:noWrap w:val="0"/>
            <w:vAlign w:val="center"/>
          </w:tcPr>
          <w:p w14:paraId="0F76158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80</w:t>
            </w:r>
          </w:p>
        </w:tc>
        <w:tc>
          <w:tcPr>
            <w:tcW w:w="956" w:type="dxa"/>
            <w:tcBorders>
              <w:tl2br w:val="nil"/>
              <w:tr2bl w:val="nil"/>
            </w:tcBorders>
            <w:noWrap w:val="0"/>
            <w:vAlign w:val="center"/>
          </w:tcPr>
          <w:p w14:paraId="6100CB4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1031" w:type="dxa"/>
            <w:tcBorders>
              <w:tl2br w:val="nil"/>
              <w:tr2bl w:val="nil"/>
            </w:tcBorders>
            <w:noWrap w:val="0"/>
            <w:vAlign w:val="center"/>
          </w:tcPr>
          <w:p w14:paraId="3941EC6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36" w:type="dxa"/>
            <w:tcBorders>
              <w:tl2br w:val="nil"/>
              <w:tr2bl w:val="nil"/>
            </w:tcBorders>
            <w:noWrap w:val="0"/>
            <w:vAlign w:val="center"/>
          </w:tcPr>
          <w:p w14:paraId="3C337B9E">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r w14:paraId="636D3F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48698AB2">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77A3389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高锰酸盐指数</w:t>
            </w:r>
          </w:p>
        </w:tc>
        <w:tc>
          <w:tcPr>
            <w:tcW w:w="1130" w:type="dxa"/>
            <w:tcBorders>
              <w:tl2br w:val="nil"/>
              <w:tr2bl w:val="nil"/>
            </w:tcBorders>
            <w:noWrap w:val="0"/>
            <w:vAlign w:val="center"/>
          </w:tcPr>
          <w:p w14:paraId="55D9E44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1.9</w:t>
            </w:r>
          </w:p>
        </w:tc>
        <w:tc>
          <w:tcPr>
            <w:tcW w:w="1230" w:type="dxa"/>
            <w:tcBorders>
              <w:tl2br w:val="nil"/>
              <w:tr2bl w:val="nil"/>
            </w:tcBorders>
            <w:noWrap w:val="0"/>
            <w:vAlign w:val="center"/>
          </w:tcPr>
          <w:p w14:paraId="77209D0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2.0 </w:t>
            </w:r>
          </w:p>
        </w:tc>
        <w:tc>
          <w:tcPr>
            <w:tcW w:w="1172" w:type="dxa"/>
            <w:tcBorders>
              <w:tl2br w:val="nil"/>
              <w:tr2bl w:val="nil"/>
            </w:tcBorders>
            <w:noWrap w:val="0"/>
            <w:vAlign w:val="center"/>
          </w:tcPr>
          <w:p w14:paraId="0771FE0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1.9</w:t>
            </w:r>
          </w:p>
        </w:tc>
        <w:tc>
          <w:tcPr>
            <w:tcW w:w="956" w:type="dxa"/>
            <w:tcBorders>
              <w:tl2br w:val="nil"/>
              <w:tr2bl w:val="nil"/>
            </w:tcBorders>
            <w:noWrap w:val="0"/>
            <w:vAlign w:val="center"/>
          </w:tcPr>
          <w:p w14:paraId="0A4B20F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6</w:t>
            </w:r>
          </w:p>
        </w:tc>
        <w:tc>
          <w:tcPr>
            <w:tcW w:w="1031" w:type="dxa"/>
            <w:tcBorders>
              <w:tl2br w:val="nil"/>
              <w:tr2bl w:val="nil"/>
            </w:tcBorders>
            <w:noWrap w:val="0"/>
            <w:vAlign w:val="center"/>
          </w:tcPr>
          <w:p w14:paraId="448ADC1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0.333 </w:t>
            </w:r>
          </w:p>
        </w:tc>
        <w:tc>
          <w:tcPr>
            <w:tcW w:w="936" w:type="dxa"/>
            <w:tcBorders>
              <w:tl2br w:val="nil"/>
              <w:tr2bl w:val="nil"/>
            </w:tcBorders>
            <w:noWrap w:val="0"/>
            <w:vAlign w:val="center"/>
          </w:tcPr>
          <w:p w14:paraId="4B3FCA4C">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81A1C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483D8926">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07A1CD5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氨氮</w:t>
            </w:r>
          </w:p>
        </w:tc>
        <w:tc>
          <w:tcPr>
            <w:tcW w:w="1130" w:type="dxa"/>
            <w:tcBorders>
              <w:tl2br w:val="nil"/>
              <w:tr2bl w:val="nil"/>
            </w:tcBorders>
            <w:noWrap w:val="0"/>
            <w:vAlign w:val="center"/>
          </w:tcPr>
          <w:p w14:paraId="5494914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0.11 </w:t>
            </w:r>
          </w:p>
        </w:tc>
        <w:tc>
          <w:tcPr>
            <w:tcW w:w="1230" w:type="dxa"/>
            <w:tcBorders>
              <w:tl2br w:val="nil"/>
              <w:tr2bl w:val="nil"/>
            </w:tcBorders>
            <w:noWrap w:val="0"/>
            <w:vAlign w:val="center"/>
          </w:tcPr>
          <w:p w14:paraId="515AF5D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0.13</w:t>
            </w:r>
          </w:p>
        </w:tc>
        <w:tc>
          <w:tcPr>
            <w:tcW w:w="1172" w:type="dxa"/>
            <w:tcBorders>
              <w:tl2br w:val="nil"/>
              <w:tr2bl w:val="nil"/>
            </w:tcBorders>
            <w:noWrap w:val="0"/>
            <w:vAlign w:val="center"/>
          </w:tcPr>
          <w:p w14:paraId="00C3E1C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0.11</w:t>
            </w:r>
          </w:p>
        </w:tc>
        <w:tc>
          <w:tcPr>
            <w:tcW w:w="956" w:type="dxa"/>
            <w:tcBorders>
              <w:tl2br w:val="nil"/>
              <w:tr2bl w:val="nil"/>
            </w:tcBorders>
            <w:noWrap w:val="0"/>
            <w:vAlign w:val="center"/>
          </w:tcPr>
          <w:p w14:paraId="5F771446">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7977A893">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0.130 </w:t>
            </w:r>
          </w:p>
        </w:tc>
        <w:tc>
          <w:tcPr>
            <w:tcW w:w="936" w:type="dxa"/>
            <w:tcBorders>
              <w:tl2br w:val="nil"/>
              <w:tr2bl w:val="nil"/>
            </w:tcBorders>
            <w:noWrap w:val="0"/>
            <w:vAlign w:val="center"/>
          </w:tcPr>
          <w:p w14:paraId="664D4A8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7A7111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0440EECA">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7502524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总磷</w:t>
            </w:r>
          </w:p>
        </w:tc>
        <w:tc>
          <w:tcPr>
            <w:tcW w:w="1130" w:type="dxa"/>
            <w:tcBorders>
              <w:tl2br w:val="nil"/>
              <w:tr2bl w:val="nil"/>
            </w:tcBorders>
            <w:noWrap w:val="0"/>
            <w:vAlign w:val="center"/>
          </w:tcPr>
          <w:p w14:paraId="1276309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0.03</w:t>
            </w:r>
          </w:p>
        </w:tc>
        <w:tc>
          <w:tcPr>
            <w:tcW w:w="1230" w:type="dxa"/>
            <w:tcBorders>
              <w:tl2br w:val="nil"/>
              <w:tr2bl w:val="nil"/>
            </w:tcBorders>
            <w:noWrap w:val="0"/>
            <w:vAlign w:val="center"/>
          </w:tcPr>
          <w:p w14:paraId="674B02B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w:t>
            </w:r>
          </w:p>
        </w:tc>
        <w:tc>
          <w:tcPr>
            <w:tcW w:w="1172" w:type="dxa"/>
            <w:tcBorders>
              <w:tl2br w:val="nil"/>
              <w:tr2bl w:val="nil"/>
            </w:tcBorders>
            <w:noWrap w:val="0"/>
            <w:vAlign w:val="center"/>
          </w:tcPr>
          <w:p w14:paraId="3721B1E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0.03</w:t>
            </w:r>
          </w:p>
        </w:tc>
        <w:tc>
          <w:tcPr>
            <w:tcW w:w="956" w:type="dxa"/>
            <w:tcBorders>
              <w:tl2br w:val="nil"/>
              <w:tr2bl w:val="nil"/>
            </w:tcBorders>
            <w:noWrap w:val="0"/>
            <w:vAlign w:val="center"/>
          </w:tcPr>
          <w:p w14:paraId="132E3580">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31" w:type="dxa"/>
            <w:tcBorders>
              <w:tl2br w:val="nil"/>
              <w:tr2bl w:val="nil"/>
            </w:tcBorders>
            <w:noWrap w:val="0"/>
            <w:vAlign w:val="center"/>
          </w:tcPr>
          <w:p w14:paraId="2F68F712">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0.600 </w:t>
            </w:r>
          </w:p>
        </w:tc>
        <w:tc>
          <w:tcPr>
            <w:tcW w:w="936" w:type="dxa"/>
            <w:tcBorders>
              <w:tl2br w:val="nil"/>
              <w:tr2bl w:val="nil"/>
            </w:tcBorders>
            <w:noWrap w:val="0"/>
            <w:vAlign w:val="center"/>
          </w:tcPr>
          <w:p w14:paraId="42ACC4BE">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BE4BD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14C91C37">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3C31675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总氮</w:t>
            </w:r>
          </w:p>
        </w:tc>
        <w:tc>
          <w:tcPr>
            <w:tcW w:w="1130" w:type="dxa"/>
            <w:tcBorders>
              <w:tl2br w:val="nil"/>
              <w:tr2bl w:val="nil"/>
            </w:tcBorders>
            <w:noWrap w:val="0"/>
            <w:vAlign w:val="center"/>
          </w:tcPr>
          <w:p w14:paraId="1E37AEB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0.54</w:t>
            </w:r>
          </w:p>
        </w:tc>
        <w:tc>
          <w:tcPr>
            <w:tcW w:w="1230" w:type="dxa"/>
            <w:tcBorders>
              <w:tl2br w:val="nil"/>
              <w:tr2bl w:val="nil"/>
            </w:tcBorders>
            <w:noWrap w:val="0"/>
            <w:vAlign w:val="center"/>
          </w:tcPr>
          <w:p w14:paraId="2D22B47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0.52</w:t>
            </w:r>
          </w:p>
        </w:tc>
        <w:tc>
          <w:tcPr>
            <w:tcW w:w="1172" w:type="dxa"/>
            <w:tcBorders>
              <w:tl2br w:val="nil"/>
              <w:tr2bl w:val="nil"/>
            </w:tcBorders>
            <w:noWrap w:val="0"/>
            <w:vAlign w:val="center"/>
          </w:tcPr>
          <w:p w14:paraId="0472D5C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0.50 </w:t>
            </w:r>
          </w:p>
        </w:tc>
        <w:tc>
          <w:tcPr>
            <w:tcW w:w="956" w:type="dxa"/>
            <w:tcBorders>
              <w:tl2br w:val="nil"/>
              <w:tr2bl w:val="nil"/>
            </w:tcBorders>
            <w:noWrap w:val="0"/>
            <w:vAlign w:val="center"/>
          </w:tcPr>
          <w:p w14:paraId="7D585506">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31E1E28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0.540 </w:t>
            </w:r>
          </w:p>
        </w:tc>
        <w:tc>
          <w:tcPr>
            <w:tcW w:w="936" w:type="dxa"/>
            <w:tcBorders>
              <w:tl2br w:val="nil"/>
              <w:tr2bl w:val="nil"/>
            </w:tcBorders>
            <w:noWrap w:val="0"/>
            <w:vAlign w:val="center"/>
          </w:tcPr>
          <w:p w14:paraId="190FAB9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00B15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1E2DB5DF">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1F2CC3E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化学需氧量</w:t>
            </w:r>
          </w:p>
        </w:tc>
        <w:tc>
          <w:tcPr>
            <w:tcW w:w="1130" w:type="dxa"/>
            <w:tcBorders>
              <w:tl2br w:val="nil"/>
              <w:tr2bl w:val="nil"/>
            </w:tcBorders>
            <w:noWrap w:val="0"/>
            <w:vAlign w:val="center"/>
          </w:tcPr>
          <w:p w14:paraId="365A507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12</w:t>
            </w:r>
          </w:p>
        </w:tc>
        <w:tc>
          <w:tcPr>
            <w:tcW w:w="1230" w:type="dxa"/>
            <w:tcBorders>
              <w:tl2br w:val="nil"/>
              <w:tr2bl w:val="nil"/>
            </w:tcBorders>
            <w:noWrap w:val="0"/>
            <w:vAlign w:val="center"/>
          </w:tcPr>
          <w:p w14:paraId="3E9AAC3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14</w:t>
            </w:r>
          </w:p>
        </w:tc>
        <w:tc>
          <w:tcPr>
            <w:tcW w:w="1172" w:type="dxa"/>
            <w:tcBorders>
              <w:tl2br w:val="nil"/>
              <w:tr2bl w:val="nil"/>
            </w:tcBorders>
            <w:noWrap w:val="0"/>
            <w:vAlign w:val="center"/>
          </w:tcPr>
          <w:p w14:paraId="6DBE581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13</w:t>
            </w:r>
          </w:p>
        </w:tc>
        <w:tc>
          <w:tcPr>
            <w:tcW w:w="956" w:type="dxa"/>
            <w:tcBorders>
              <w:tl2br w:val="nil"/>
              <w:tr2bl w:val="nil"/>
            </w:tcBorders>
            <w:noWrap w:val="0"/>
            <w:vAlign w:val="center"/>
          </w:tcPr>
          <w:p w14:paraId="24AB599C">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20</w:t>
            </w:r>
          </w:p>
        </w:tc>
        <w:tc>
          <w:tcPr>
            <w:tcW w:w="1031" w:type="dxa"/>
            <w:tcBorders>
              <w:tl2br w:val="nil"/>
              <w:tr2bl w:val="nil"/>
            </w:tcBorders>
            <w:noWrap w:val="0"/>
            <w:vAlign w:val="center"/>
          </w:tcPr>
          <w:p w14:paraId="071B7CF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0.700 </w:t>
            </w:r>
          </w:p>
        </w:tc>
        <w:tc>
          <w:tcPr>
            <w:tcW w:w="936" w:type="dxa"/>
            <w:tcBorders>
              <w:tl2br w:val="nil"/>
              <w:tr2bl w:val="nil"/>
            </w:tcBorders>
            <w:noWrap w:val="0"/>
            <w:vAlign w:val="center"/>
          </w:tcPr>
          <w:p w14:paraId="1213893C">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4E5CE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4F98F50A">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5E9B12E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硒</w:t>
            </w:r>
          </w:p>
        </w:tc>
        <w:tc>
          <w:tcPr>
            <w:tcW w:w="1130" w:type="dxa"/>
            <w:tcBorders>
              <w:tl2br w:val="nil"/>
              <w:tr2bl w:val="nil"/>
            </w:tcBorders>
            <w:noWrap w:val="0"/>
            <w:vAlign w:val="center"/>
          </w:tcPr>
          <w:p w14:paraId="6CF3313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0.0004L</w:t>
            </w:r>
          </w:p>
        </w:tc>
        <w:tc>
          <w:tcPr>
            <w:tcW w:w="1230" w:type="dxa"/>
            <w:tcBorders>
              <w:tl2br w:val="nil"/>
              <w:tr2bl w:val="nil"/>
            </w:tcBorders>
            <w:noWrap w:val="0"/>
            <w:vAlign w:val="center"/>
          </w:tcPr>
          <w:p w14:paraId="7541020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0.0004L</w:t>
            </w:r>
          </w:p>
        </w:tc>
        <w:tc>
          <w:tcPr>
            <w:tcW w:w="1172" w:type="dxa"/>
            <w:tcBorders>
              <w:tl2br w:val="nil"/>
              <w:tr2bl w:val="nil"/>
            </w:tcBorders>
            <w:noWrap w:val="0"/>
            <w:vAlign w:val="center"/>
          </w:tcPr>
          <w:p w14:paraId="4C1D36A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0.0004L</w:t>
            </w:r>
          </w:p>
        </w:tc>
        <w:tc>
          <w:tcPr>
            <w:tcW w:w="956" w:type="dxa"/>
            <w:tcBorders>
              <w:tl2br w:val="nil"/>
              <w:tr2bl w:val="nil"/>
            </w:tcBorders>
            <w:noWrap w:val="0"/>
            <w:vAlign w:val="center"/>
          </w:tcPr>
          <w:p w14:paraId="03D09783">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0.01</w:t>
            </w:r>
          </w:p>
        </w:tc>
        <w:tc>
          <w:tcPr>
            <w:tcW w:w="1031" w:type="dxa"/>
            <w:tcBorders>
              <w:tl2br w:val="nil"/>
              <w:tr2bl w:val="nil"/>
            </w:tcBorders>
            <w:noWrap w:val="0"/>
            <w:vAlign w:val="center"/>
          </w:tcPr>
          <w:p w14:paraId="2F5A446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0.040 </w:t>
            </w:r>
          </w:p>
        </w:tc>
        <w:tc>
          <w:tcPr>
            <w:tcW w:w="936" w:type="dxa"/>
            <w:tcBorders>
              <w:tl2br w:val="nil"/>
              <w:tr2bl w:val="nil"/>
            </w:tcBorders>
            <w:noWrap w:val="0"/>
            <w:vAlign w:val="center"/>
          </w:tcPr>
          <w:p w14:paraId="3AEEF99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7F4E02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72BE2023">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758B06A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砷</w:t>
            </w:r>
          </w:p>
        </w:tc>
        <w:tc>
          <w:tcPr>
            <w:tcW w:w="1130" w:type="dxa"/>
            <w:tcBorders>
              <w:tl2br w:val="nil"/>
              <w:tr2bl w:val="nil"/>
            </w:tcBorders>
            <w:noWrap w:val="0"/>
            <w:vAlign w:val="center"/>
          </w:tcPr>
          <w:p w14:paraId="02EE340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230" w:type="dxa"/>
            <w:tcBorders>
              <w:tl2br w:val="nil"/>
              <w:tr2bl w:val="nil"/>
            </w:tcBorders>
            <w:noWrap w:val="0"/>
            <w:vAlign w:val="center"/>
          </w:tcPr>
          <w:p w14:paraId="409B2B7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172" w:type="dxa"/>
            <w:tcBorders>
              <w:tl2br w:val="nil"/>
              <w:tr2bl w:val="nil"/>
            </w:tcBorders>
            <w:noWrap w:val="0"/>
            <w:vAlign w:val="center"/>
          </w:tcPr>
          <w:p w14:paraId="1358070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956" w:type="dxa"/>
            <w:tcBorders>
              <w:tl2br w:val="nil"/>
              <w:tr2bl w:val="nil"/>
            </w:tcBorders>
            <w:noWrap w:val="0"/>
            <w:vAlign w:val="center"/>
          </w:tcPr>
          <w:p w14:paraId="1A585BFA">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31" w:type="dxa"/>
            <w:tcBorders>
              <w:tl2br w:val="nil"/>
              <w:tr2bl w:val="nil"/>
            </w:tcBorders>
            <w:noWrap w:val="0"/>
            <w:vAlign w:val="center"/>
          </w:tcPr>
          <w:p w14:paraId="2EC16330">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0.006 </w:t>
            </w:r>
          </w:p>
        </w:tc>
        <w:tc>
          <w:tcPr>
            <w:tcW w:w="936" w:type="dxa"/>
            <w:tcBorders>
              <w:tl2br w:val="nil"/>
              <w:tr2bl w:val="nil"/>
            </w:tcBorders>
            <w:noWrap w:val="0"/>
            <w:vAlign w:val="center"/>
          </w:tcPr>
          <w:p w14:paraId="7F35342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3052CD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681E421C">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56D5E62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汞</w:t>
            </w:r>
          </w:p>
        </w:tc>
        <w:tc>
          <w:tcPr>
            <w:tcW w:w="1130" w:type="dxa"/>
            <w:tcBorders>
              <w:tl2br w:val="nil"/>
              <w:tr2bl w:val="nil"/>
            </w:tcBorders>
            <w:noWrap w:val="0"/>
            <w:vAlign w:val="center"/>
          </w:tcPr>
          <w:p w14:paraId="7B0ED67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0.00004L</w:t>
            </w:r>
          </w:p>
        </w:tc>
        <w:tc>
          <w:tcPr>
            <w:tcW w:w="1230" w:type="dxa"/>
            <w:tcBorders>
              <w:tl2br w:val="nil"/>
              <w:tr2bl w:val="nil"/>
            </w:tcBorders>
            <w:noWrap w:val="0"/>
            <w:vAlign w:val="center"/>
          </w:tcPr>
          <w:p w14:paraId="531417C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0.00004L</w:t>
            </w:r>
          </w:p>
        </w:tc>
        <w:tc>
          <w:tcPr>
            <w:tcW w:w="1172" w:type="dxa"/>
            <w:tcBorders>
              <w:tl2br w:val="nil"/>
              <w:tr2bl w:val="nil"/>
            </w:tcBorders>
            <w:noWrap w:val="0"/>
            <w:vAlign w:val="center"/>
          </w:tcPr>
          <w:p w14:paraId="543CAA8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0.00004L</w:t>
            </w:r>
          </w:p>
        </w:tc>
        <w:tc>
          <w:tcPr>
            <w:tcW w:w="956" w:type="dxa"/>
            <w:tcBorders>
              <w:tl2br w:val="nil"/>
              <w:tr2bl w:val="nil"/>
            </w:tcBorders>
            <w:noWrap w:val="0"/>
            <w:vAlign w:val="center"/>
          </w:tcPr>
          <w:p w14:paraId="648E39ED">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0.0001</w:t>
            </w:r>
          </w:p>
        </w:tc>
        <w:tc>
          <w:tcPr>
            <w:tcW w:w="1031" w:type="dxa"/>
            <w:tcBorders>
              <w:tl2br w:val="nil"/>
              <w:tr2bl w:val="nil"/>
            </w:tcBorders>
            <w:noWrap w:val="0"/>
            <w:vAlign w:val="center"/>
          </w:tcPr>
          <w:p w14:paraId="20EBE963">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0.400 </w:t>
            </w:r>
          </w:p>
        </w:tc>
        <w:tc>
          <w:tcPr>
            <w:tcW w:w="936" w:type="dxa"/>
            <w:tcBorders>
              <w:tl2br w:val="nil"/>
              <w:tr2bl w:val="nil"/>
            </w:tcBorders>
            <w:noWrap w:val="0"/>
            <w:vAlign w:val="center"/>
          </w:tcPr>
          <w:p w14:paraId="57C3B42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521F0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312A1B69">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096E007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镉</w:t>
            </w:r>
          </w:p>
        </w:tc>
        <w:tc>
          <w:tcPr>
            <w:tcW w:w="1130" w:type="dxa"/>
            <w:tcBorders>
              <w:tl2br w:val="nil"/>
              <w:tr2bl w:val="nil"/>
            </w:tcBorders>
            <w:noWrap w:val="0"/>
            <w:vAlign w:val="center"/>
          </w:tcPr>
          <w:p w14:paraId="182F361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0.0001L</w:t>
            </w:r>
          </w:p>
        </w:tc>
        <w:tc>
          <w:tcPr>
            <w:tcW w:w="1230" w:type="dxa"/>
            <w:tcBorders>
              <w:tl2br w:val="nil"/>
              <w:tr2bl w:val="nil"/>
            </w:tcBorders>
            <w:noWrap w:val="0"/>
            <w:vAlign w:val="center"/>
          </w:tcPr>
          <w:p w14:paraId="430417E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0.0001L</w:t>
            </w:r>
          </w:p>
        </w:tc>
        <w:tc>
          <w:tcPr>
            <w:tcW w:w="1172" w:type="dxa"/>
            <w:tcBorders>
              <w:tl2br w:val="nil"/>
              <w:tr2bl w:val="nil"/>
            </w:tcBorders>
            <w:noWrap w:val="0"/>
            <w:vAlign w:val="center"/>
          </w:tcPr>
          <w:p w14:paraId="06F9D7C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0.0001L</w:t>
            </w:r>
          </w:p>
        </w:tc>
        <w:tc>
          <w:tcPr>
            <w:tcW w:w="956" w:type="dxa"/>
            <w:tcBorders>
              <w:tl2br w:val="nil"/>
              <w:tr2bl w:val="nil"/>
            </w:tcBorders>
            <w:noWrap w:val="0"/>
            <w:vAlign w:val="center"/>
          </w:tcPr>
          <w:p w14:paraId="0626FB13">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0.005</w:t>
            </w:r>
          </w:p>
        </w:tc>
        <w:tc>
          <w:tcPr>
            <w:tcW w:w="1031" w:type="dxa"/>
            <w:tcBorders>
              <w:tl2br w:val="nil"/>
              <w:tr2bl w:val="nil"/>
            </w:tcBorders>
            <w:noWrap w:val="0"/>
            <w:vAlign w:val="center"/>
          </w:tcPr>
          <w:p w14:paraId="260D689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0.020 </w:t>
            </w:r>
          </w:p>
        </w:tc>
        <w:tc>
          <w:tcPr>
            <w:tcW w:w="936" w:type="dxa"/>
            <w:tcBorders>
              <w:tl2br w:val="nil"/>
              <w:tr2bl w:val="nil"/>
            </w:tcBorders>
            <w:noWrap w:val="0"/>
            <w:vAlign w:val="center"/>
          </w:tcPr>
          <w:p w14:paraId="471A35D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3146A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3BDD3DC0">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0E207AB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铅</w:t>
            </w:r>
          </w:p>
        </w:tc>
        <w:tc>
          <w:tcPr>
            <w:tcW w:w="1130" w:type="dxa"/>
            <w:tcBorders>
              <w:tl2br w:val="nil"/>
              <w:tr2bl w:val="nil"/>
            </w:tcBorders>
            <w:noWrap w:val="0"/>
            <w:vAlign w:val="center"/>
          </w:tcPr>
          <w:p w14:paraId="293D916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230" w:type="dxa"/>
            <w:tcBorders>
              <w:tl2br w:val="nil"/>
              <w:tr2bl w:val="nil"/>
            </w:tcBorders>
            <w:noWrap w:val="0"/>
            <w:vAlign w:val="center"/>
          </w:tcPr>
          <w:p w14:paraId="3464210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172" w:type="dxa"/>
            <w:tcBorders>
              <w:tl2br w:val="nil"/>
              <w:tr2bl w:val="nil"/>
            </w:tcBorders>
            <w:noWrap w:val="0"/>
            <w:vAlign w:val="center"/>
          </w:tcPr>
          <w:p w14:paraId="0475DF3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956" w:type="dxa"/>
            <w:tcBorders>
              <w:tl2br w:val="nil"/>
              <w:tr2bl w:val="nil"/>
            </w:tcBorders>
            <w:noWrap w:val="0"/>
            <w:vAlign w:val="center"/>
          </w:tcPr>
          <w:p w14:paraId="62C756A0">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31" w:type="dxa"/>
            <w:tcBorders>
              <w:tl2br w:val="nil"/>
              <w:tr2bl w:val="nil"/>
            </w:tcBorders>
            <w:noWrap w:val="0"/>
            <w:vAlign w:val="center"/>
          </w:tcPr>
          <w:p w14:paraId="778BEB4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0.020 </w:t>
            </w:r>
          </w:p>
        </w:tc>
        <w:tc>
          <w:tcPr>
            <w:tcW w:w="936" w:type="dxa"/>
            <w:tcBorders>
              <w:tl2br w:val="nil"/>
              <w:tr2bl w:val="nil"/>
            </w:tcBorders>
            <w:noWrap w:val="0"/>
            <w:vAlign w:val="center"/>
          </w:tcPr>
          <w:p w14:paraId="6CCD374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0EF30F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6ACD7BB3">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26F23B9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铜</w:t>
            </w:r>
          </w:p>
        </w:tc>
        <w:tc>
          <w:tcPr>
            <w:tcW w:w="1130" w:type="dxa"/>
            <w:tcBorders>
              <w:tl2br w:val="nil"/>
              <w:tr2bl w:val="nil"/>
            </w:tcBorders>
            <w:noWrap w:val="0"/>
            <w:vAlign w:val="center"/>
          </w:tcPr>
          <w:p w14:paraId="60B45FC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230" w:type="dxa"/>
            <w:tcBorders>
              <w:tl2br w:val="nil"/>
              <w:tr2bl w:val="nil"/>
            </w:tcBorders>
            <w:noWrap w:val="0"/>
            <w:vAlign w:val="center"/>
          </w:tcPr>
          <w:p w14:paraId="6BE65F9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172" w:type="dxa"/>
            <w:tcBorders>
              <w:tl2br w:val="nil"/>
              <w:tr2bl w:val="nil"/>
            </w:tcBorders>
            <w:noWrap w:val="0"/>
            <w:vAlign w:val="center"/>
          </w:tcPr>
          <w:p w14:paraId="69A3685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956" w:type="dxa"/>
            <w:tcBorders>
              <w:tl2br w:val="nil"/>
              <w:tr2bl w:val="nil"/>
            </w:tcBorders>
            <w:noWrap w:val="0"/>
            <w:vAlign w:val="center"/>
          </w:tcPr>
          <w:p w14:paraId="09A1103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737CBB0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0.001 </w:t>
            </w:r>
          </w:p>
        </w:tc>
        <w:tc>
          <w:tcPr>
            <w:tcW w:w="936" w:type="dxa"/>
            <w:tcBorders>
              <w:tl2br w:val="nil"/>
              <w:tr2bl w:val="nil"/>
            </w:tcBorders>
            <w:noWrap w:val="0"/>
            <w:vAlign w:val="center"/>
          </w:tcPr>
          <w:p w14:paraId="0604341E">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61D65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169E3CC3">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4F5661C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锌</w:t>
            </w:r>
          </w:p>
        </w:tc>
        <w:tc>
          <w:tcPr>
            <w:tcW w:w="1130" w:type="dxa"/>
            <w:tcBorders>
              <w:tl2br w:val="nil"/>
              <w:tr2bl w:val="nil"/>
            </w:tcBorders>
            <w:noWrap w:val="0"/>
            <w:vAlign w:val="center"/>
          </w:tcPr>
          <w:p w14:paraId="68CAD51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230" w:type="dxa"/>
            <w:tcBorders>
              <w:tl2br w:val="nil"/>
              <w:tr2bl w:val="nil"/>
            </w:tcBorders>
            <w:noWrap w:val="0"/>
            <w:vAlign w:val="center"/>
          </w:tcPr>
          <w:p w14:paraId="5056A29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172" w:type="dxa"/>
            <w:tcBorders>
              <w:tl2br w:val="nil"/>
              <w:tr2bl w:val="nil"/>
            </w:tcBorders>
            <w:noWrap w:val="0"/>
            <w:vAlign w:val="center"/>
          </w:tcPr>
          <w:p w14:paraId="42F6F1C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956" w:type="dxa"/>
            <w:tcBorders>
              <w:tl2br w:val="nil"/>
              <w:tr2bl w:val="nil"/>
            </w:tcBorders>
            <w:noWrap w:val="0"/>
            <w:vAlign w:val="center"/>
          </w:tcPr>
          <w:p w14:paraId="5EC7E28B">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0EFB54F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0.050 </w:t>
            </w:r>
          </w:p>
        </w:tc>
        <w:tc>
          <w:tcPr>
            <w:tcW w:w="936" w:type="dxa"/>
            <w:tcBorders>
              <w:tl2br w:val="nil"/>
              <w:tr2bl w:val="nil"/>
            </w:tcBorders>
            <w:noWrap w:val="0"/>
            <w:vAlign w:val="center"/>
          </w:tcPr>
          <w:p w14:paraId="5A529FF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A3DF4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73585AAC">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442265A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铁</w:t>
            </w:r>
          </w:p>
        </w:tc>
        <w:tc>
          <w:tcPr>
            <w:tcW w:w="1130" w:type="dxa"/>
            <w:tcBorders>
              <w:tl2br w:val="nil"/>
              <w:tr2bl w:val="nil"/>
            </w:tcBorders>
            <w:noWrap w:val="0"/>
            <w:vAlign w:val="center"/>
          </w:tcPr>
          <w:p w14:paraId="7850661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0.03L</w:t>
            </w:r>
          </w:p>
        </w:tc>
        <w:tc>
          <w:tcPr>
            <w:tcW w:w="1230" w:type="dxa"/>
            <w:tcBorders>
              <w:tl2br w:val="nil"/>
              <w:tr2bl w:val="nil"/>
            </w:tcBorders>
            <w:noWrap w:val="0"/>
            <w:vAlign w:val="center"/>
          </w:tcPr>
          <w:p w14:paraId="7DD6064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0.03L</w:t>
            </w:r>
          </w:p>
        </w:tc>
        <w:tc>
          <w:tcPr>
            <w:tcW w:w="1172" w:type="dxa"/>
            <w:tcBorders>
              <w:tl2br w:val="nil"/>
              <w:tr2bl w:val="nil"/>
            </w:tcBorders>
            <w:noWrap w:val="0"/>
            <w:vAlign w:val="center"/>
          </w:tcPr>
          <w:p w14:paraId="105F42F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0.03L</w:t>
            </w:r>
          </w:p>
        </w:tc>
        <w:tc>
          <w:tcPr>
            <w:tcW w:w="956" w:type="dxa"/>
            <w:tcBorders>
              <w:tl2br w:val="nil"/>
              <w:tr2bl w:val="nil"/>
            </w:tcBorders>
            <w:noWrap w:val="0"/>
            <w:vAlign w:val="center"/>
          </w:tcPr>
          <w:p w14:paraId="3CFA4E8A">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0.3</w:t>
            </w:r>
          </w:p>
        </w:tc>
        <w:tc>
          <w:tcPr>
            <w:tcW w:w="1031" w:type="dxa"/>
            <w:tcBorders>
              <w:tl2br w:val="nil"/>
              <w:tr2bl w:val="nil"/>
            </w:tcBorders>
            <w:noWrap w:val="0"/>
            <w:vAlign w:val="center"/>
          </w:tcPr>
          <w:p w14:paraId="324BBCD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0.100 </w:t>
            </w:r>
          </w:p>
        </w:tc>
        <w:tc>
          <w:tcPr>
            <w:tcW w:w="936" w:type="dxa"/>
            <w:tcBorders>
              <w:tl2br w:val="nil"/>
              <w:tr2bl w:val="nil"/>
            </w:tcBorders>
            <w:noWrap w:val="0"/>
            <w:vAlign w:val="center"/>
          </w:tcPr>
          <w:p w14:paraId="3B73CFFB">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24E8A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16894726">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2DC2113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锰</w:t>
            </w:r>
          </w:p>
        </w:tc>
        <w:tc>
          <w:tcPr>
            <w:tcW w:w="1130" w:type="dxa"/>
            <w:tcBorders>
              <w:tl2br w:val="nil"/>
              <w:tr2bl w:val="nil"/>
            </w:tcBorders>
            <w:noWrap w:val="0"/>
            <w:vAlign w:val="center"/>
          </w:tcPr>
          <w:p w14:paraId="57F7369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230" w:type="dxa"/>
            <w:tcBorders>
              <w:tl2br w:val="nil"/>
              <w:tr2bl w:val="nil"/>
            </w:tcBorders>
            <w:noWrap w:val="0"/>
            <w:vAlign w:val="center"/>
          </w:tcPr>
          <w:p w14:paraId="463177D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172" w:type="dxa"/>
            <w:tcBorders>
              <w:tl2br w:val="nil"/>
              <w:tr2bl w:val="nil"/>
            </w:tcBorders>
            <w:noWrap w:val="0"/>
            <w:vAlign w:val="center"/>
          </w:tcPr>
          <w:p w14:paraId="131A849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956" w:type="dxa"/>
            <w:tcBorders>
              <w:tl2br w:val="nil"/>
              <w:tr2bl w:val="nil"/>
            </w:tcBorders>
            <w:noWrap w:val="0"/>
            <w:vAlign w:val="center"/>
          </w:tcPr>
          <w:p w14:paraId="51E73963">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0.1</w:t>
            </w:r>
          </w:p>
        </w:tc>
        <w:tc>
          <w:tcPr>
            <w:tcW w:w="1031" w:type="dxa"/>
            <w:tcBorders>
              <w:tl2br w:val="nil"/>
              <w:tr2bl w:val="nil"/>
            </w:tcBorders>
            <w:noWrap w:val="0"/>
            <w:vAlign w:val="center"/>
          </w:tcPr>
          <w:p w14:paraId="6E3DBAC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0.100 </w:t>
            </w:r>
          </w:p>
        </w:tc>
        <w:tc>
          <w:tcPr>
            <w:tcW w:w="936" w:type="dxa"/>
            <w:tcBorders>
              <w:tl2br w:val="nil"/>
              <w:tr2bl w:val="nil"/>
            </w:tcBorders>
            <w:noWrap w:val="0"/>
            <w:vAlign w:val="center"/>
          </w:tcPr>
          <w:p w14:paraId="384F0332">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F379B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66CB43BF">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419FE4E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vertAlign w:val="baseline"/>
                <w:lang w:val="en-US" w:eastAsia="zh-CN" w:bidi="ar-SA"/>
              </w:rPr>
            </w:pPr>
            <w:r>
              <w:rPr>
                <w:rFonts w:hint="default" w:ascii="Times New Roman" w:hAnsi="Times New Roman" w:eastAsia="宋体" w:cs="Times New Roman"/>
                <w:sz w:val="21"/>
                <w:szCs w:val="21"/>
                <w:lang w:val="en-US" w:eastAsia="zh-CN"/>
              </w:rPr>
              <w:t>六价铬</w:t>
            </w:r>
          </w:p>
        </w:tc>
        <w:tc>
          <w:tcPr>
            <w:tcW w:w="1130" w:type="dxa"/>
            <w:tcBorders>
              <w:tl2br w:val="nil"/>
              <w:tr2bl w:val="nil"/>
            </w:tcBorders>
            <w:noWrap w:val="0"/>
            <w:vAlign w:val="center"/>
          </w:tcPr>
          <w:p w14:paraId="269FC8B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1230" w:type="dxa"/>
            <w:tcBorders>
              <w:tl2br w:val="nil"/>
              <w:tr2bl w:val="nil"/>
            </w:tcBorders>
            <w:noWrap w:val="0"/>
            <w:vAlign w:val="center"/>
          </w:tcPr>
          <w:p w14:paraId="48F7CC9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1172" w:type="dxa"/>
            <w:tcBorders>
              <w:tl2br w:val="nil"/>
              <w:tr2bl w:val="nil"/>
            </w:tcBorders>
            <w:noWrap w:val="0"/>
            <w:vAlign w:val="center"/>
          </w:tcPr>
          <w:p w14:paraId="250EDD5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956" w:type="dxa"/>
            <w:tcBorders>
              <w:tl2br w:val="nil"/>
              <w:tr2bl w:val="nil"/>
            </w:tcBorders>
            <w:noWrap w:val="0"/>
            <w:vAlign w:val="center"/>
          </w:tcPr>
          <w:p w14:paraId="0205B185">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31" w:type="dxa"/>
            <w:tcBorders>
              <w:tl2br w:val="nil"/>
              <w:tr2bl w:val="nil"/>
            </w:tcBorders>
            <w:noWrap w:val="0"/>
            <w:vAlign w:val="center"/>
          </w:tcPr>
          <w:p w14:paraId="236A731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0.080 </w:t>
            </w:r>
          </w:p>
        </w:tc>
        <w:tc>
          <w:tcPr>
            <w:tcW w:w="936" w:type="dxa"/>
            <w:tcBorders>
              <w:tl2br w:val="nil"/>
              <w:tr2bl w:val="nil"/>
            </w:tcBorders>
            <w:noWrap w:val="0"/>
            <w:vAlign w:val="center"/>
          </w:tcPr>
          <w:p w14:paraId="515B7E7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7EB939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722F5938">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669D7E3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氰化物</w:t>
            </w:r>
          </w:p>
        </w:tc>
        <w:tc>
          <w:tcPr>
            <w:tcW w:w="1130" w:type="dxa"/>
            <w:tcBorders>
              <w:tl2br w:val="nil"/>
              <w:tr2bl w:val="nil"/>
            </w:tcBorders>
            <w:noWrap w:val="0"/>
            <w:vAlign w:val="center"/>
          </w:tcPr>
          <w:p w14:paraId="3443E5C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1230" w:type="dxa"/>
            <w:tcBorders>
              <w:tl2br w:val="nil"/>
              <w:tr2bl w:val="nil"/>
            </w:tcBorders>
            <w:noWrap w:val="0"/>
            <w:vAlign w:val="center"/>
          </w:tcPr>
          <w:p w14:paraId="1757600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1172" w:type="dxa"/>
            <w:tcBorders>
              <w:tl2br w:val="nil"/>
              <w:tr2bl w:val="nil"/>
            </w:tcBorders>
            <w:noWrap w:val="0"/>
            <w:vAlign w:val="center"/>
          </w:tcPr>
          <w:p w14:paraId="6DB944B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956" w:type="dxa"/>
            <w:tcBorders>
              <w:tl2br w:val="nil"/>
              <w:tr2bl w:val="nil"/>
            </w:tcBorders>
            <w:noWrap w:val="0"/>
            <w:vAlign w:val="center"/>
          </w:tcPr>
          <w:p w14:paraId="1B0A2DBF">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0.2</w:t>
            </w:r>
          </w:p>
        </w:tc>
        <w:tc>
          <w:tcPr>
            <w:tcW w:w="1031" w:type="dxa"/>
            <w:tcBorders>
              <w:tl2br w:val="nil"/>
              <w:tr2bl w:val="nil"/>
            </w:tcBorders>
            <w:noWrap w:val="0"/>
            <w:vAlign w:val="center"/>
          </w:tcPr>
          <w:p w14:paraId="222BD2A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0.020 </w:t>
            </w:r>
          </w:p>
        </w:tc>
        <w:tc>
          <w:tcPr>
            <w:tcW w:w="936" w:type="dxa"/>
            <w:tcBorders>
              <w:tl2br w:val="nil"/>
              <w:tr2bl w:val="nil"/>
            </w:tcBorders>
            <w:noWrap w:val="0"/>
            <w:vAlign w:val="center"/>
          </w:tcPr>
          <w:p w14:paraId="4D6BC45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13A3E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57088E9B">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1AC21D4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粪大肠菌群</w:t>
            </w:r>
          </w:p>
        </w:tc>
        <w:tc>
          <w:tcPr>
            <w:tcW w:w="1130" w:type="dxa"/>
            <w:tcBorders>
              <w:tl2br w:val="nil"/>
              <w:tr2bl w:val="nil"/>
            </w:tcBorders>
            <w:noWrap w:val="0"/>
            <w:vAlign w:val="center"/>
          </w:tcPr>
          <w:p w14:paraId="6D7FF1C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2.1×10</w:t>
            </w:r>
            <w:r>
              <w:rPr>
                <w:rFonts w:hint="default" w:ascii="Times New Roman" w:hAnsi="Times New Roman" w:eastAsia="宋体" w:cs="Times New Roman"/>
                <w:sz w:val="21"/>
                <w:szCs w:val="21"/>
                <w:vertAlign w:val="superscript"/>
                <w:lang w:val="en-US" w:eastAsia="zh-CN"/>
              </w:rPr>
              <w:t>2</w:t>
            </w:r>
          </w:p>
        </w:tc>
        <w:tc>
          <w:tcPr>
            <w:tcW w:w="1230" w:type="dxa"/>
            <w:tcBorders>
              <w:tl2br w:val="nil"/>
              <w:tr2bl w:val="nil"/>
            </w:tcBorders>
            <w:noWrap w:val="0"/>
            <w:vAlign w:val="center"/>
          </w:tcPr>
          <w:p w14:paraId="1C2D76A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2.3×10</w:t>
            </w:r>
            <w:r>
              <w:rPr>
                <w:rFonts w:hint="default" w:ascii="Times New Roman" w:hAnsi="Times New Roman" w:eastAsia="宋体" w:cs="Times New Roman"/>
                <w:sz w:val="21"/>
                <w:szCs w:val="21"/>
                <w:vertAlign w:val="superscript"/>
                <w:lang w:val="en-US" w:eastAsia="zh-CN"/>
              </w:rPr>
              <w:t>2</w:t>
            </w:r>
          </w:p>
        </w:tc>
        <w:tc>
          <w:tcPr>
            <w:tcW w:w="1172" w:type="dxa"/>
            <w:tcBorders>
              <w:tl2br w:val="nil"/>
              <w:tr2bl w:val="nil"/>
            </w:tcBorders>
            <w:noWrap w:val="0"/>
            <w:vAlign w:val="center"/>
          </w:tcPr>
          <w:p w14:paraId="3CEDAC2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2.2×10</w:t>
            </w:r>
            <w:r>
              <w:rPr>
                <w:rFonts w:hint="default" w:ascii="Times New Roman" w:hAnsi="Times New Roman" w:eastAsia="宋体" w:cs="Times New Roman"/>
                <w:sz w:val="21"/>
                <w:szCs w:val="21"/>
                <w:vertAlign w:val="superscript"/>
                <w:lang w:val="en-US" w:eastAsia="zh-CN"/>
              </w:rPr>
              <w:t>2</w:t>
            </w:r>
          </w:p>
        </w:tc>
        <w:tc>
          <w:tcPr>
            <w:tcW w:w="956" w:type="dxa"/>
            <w:tcBorders>
              <w:tl2br w:val="nil"/>
              <w:tr2bl w:val="nil"/>
            </w:tcBorders>
            <w:noWrap w:val="0"/>
            <w:vAlign w:val="center"/>
          </w:tcPr>
          <w:p w14:paraId="4AE322B8">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10000</w:t>
            </w:r>
          </w:p>
        </w:tc>
        <w:tc>
          <w:tcPr>
            <w:tcW w:w="1031" w:type="dxa"/>
            <w:tcBorders>
              <w:tl2br w:val="nil"/>
              <w:tr2bl w:val="nil"/>
            </w:tcBorders>
            <w:noWrap w:val="0"/>
            <w:vAlign w:val="center"/>
          </w:tcPr>
          <w:p w14:paraId="050B66F2">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0.016 </w:t>
            </w:r>
          </w:p>
        </w:tc>
        <w:tc>
          <w:tcPr>
            <w:tcW w:w="936" w:type="dxa"/>
            <w:tcBorders>
              <w:tl2br w:val="nil"/>
              <w:tr2bl w:val="nil"/>
            </w:tcBorders>
            <w:noWrap w:val="0"/>
            <w:vAlign w:val="center"/>
          </w:tcPr>
          <w:p w14:paraId="38E343E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3107F3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3B7AAC61">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0D947C4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五日生化需氧量</w:t>
            </w:r>
          </w:p>
        </w:tc>
        <w:tc>
          <w:tcPr>
            <w:tcW w:w="1130" w:type="dxa"/>
            <w:tcBorders>
              <w:tl2br w:val="nil"/>
              <w:tr2bl w:val="nil"/>
            </w:tcBorders>
            <w:noWrap w:val="0"/>
            <w:vAlign w:val="center"/>
          </w:tcPr>
          <w:p w14:paraId="552D3AA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3.1</w:t>
            </w:r>
          </w:p>
        </w:tc>
        <w:tc>
          <w:tcPr>
            <w:tcW w:w="1230" w:type="dxa"/>
            <w:tcBorders>
              <w:tl2br w:val="nil"/>
              <w:tr2bl w:val="nil"/>
            </w:tcBorders>
            <w:noWrap w:val="0"/>
            <w:vAlign w:val="center"/>
          </w:tcPr>
          <w:p w14:paraId="5F4BC82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3.6</w:t>
            </w:r>
          </w:p>
        </w:tc>
        <w:tc>
          <w:tcPr>
            <w:tcW w:w="1172" w:type="dxa"/>
            <w:tcBorders>
              <w:tl2br w:val="nil"/>
              <w:tr2bl w:val="nil"/>
            </w:tcBorders>
            <w:noWrap w:val="0"/>
            <w:vAlign w:val="center"/>
          </w:tcPr>
          <w:p w14:paraId="595354F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3.3</w:t>
            </w:r>
          </w:p>
        </w:tc>
        <w:tc>
          <w:tcPr>
            <w:tcW w:w="956" w:type="dxa"/>
            <w:tcBorders>
              <w:tl2br w:val="nil"/>
              <w:tr2bl w:val="nil"/>
            </w:tcBorders>
            <w:noWrap w:val="0"/>
            <w:vAlign w:val="center"/>
          </w:tcPr>
          <w:p w14:paraId="581F6637">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4</w:t>
            </w:r>
          </w:p>
        </w:tc>
        <w:tc>
          <w:tcPr>
            <w:tcW w:w="1031" w:type="dxa"/>
            <w:tcBorders>
              <w:tl2br w:val="nil"/>
              <w:tr2bl w:val="nil"/>
            </w:tcBorders>
            <w:noWrap w:val="0"/>
            <w:vAlign w:val="center"/>
          </w:tcPr>
          <w:p w14:paraId="21FAC181">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0.900 </w:t>
            </w:r>
          </w:p>
        </w:tc>
        <w:tc>
          <w:tcPr>
            <w:tcW w:w="936" w:type="dxa"/>
            <w:tcBorders>
              <w:tl2br w:val="nil"/>
              <w:tr2bl w:val="nil"/>
            </w:tcBorders>
            <w:noWrap w:val="0"/>
            <w:vAlign w:val="center"/>
          </w:tcPr>
          <w:p w14:paraId="6F1635A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7633CE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3A353B8A">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4975F36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氟化物</w:t>
            </w:r>
          </w:p>
        </w:tc>
        <w:tc>
          <w:tcPr>
            <w:tcW w:w="1130" w:type="dxa"/>
            <w:tcBorders>
              <w:tl2br w:val="nil"/>
              <w:tr2bl w:val="nil"/>
            </w:tcBorders>
            <w:noWrap w:val="0"/>
            <w:vAlign w:val="center"/>
          </w:tcPr>
          <w:p w14:paraId="53F638D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0.340 </w:t>
            </w:r>
          </w:p>
        </w:tc>
        <w:tc>
          <w:tcPr>
            <w:tcW w:w="1230" w:type="dxa"/>
            <w:tcBorders>
              <w:tl2br w:val="nil"/>
              <w:tr2bl w:val="nil"/>
            </w:tcBorders>
            <w:noWrap w:val="0"/>
            <w:vAlign w:val="center"/>
          </w:tcPr>
          <w:p w14:paraId="7307779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0.335 </w:t>
            </w:r>
          </w:p>
        </w:tc>
        <w:tc>
          <w:tcPr>
            <w:tcW w:w="1172" w:type="dxa"/>
            <w:tcBorders>
              <w:tl2br w:val="nil"/>
              <w:tr2bl w:val="nil"/>
            </w:tcBorders>
            <w:noWrap w:val="0"/>
            <w:vAlign w:val="center"/>
          </w:tcPr>
          <w:p w14:paraId="7678858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0.330 </w:t>
            </w:r>
          </w:p>
        </w:tc>
        <w:tc>
          <w:tcPr>
            <w:tcW w:w="956" w:type="dxa"/>
            <w:tcBorders>
              <w:tl2br w:val="nil"/>
              <w:tr2bl w:val="nil"/>
            </w:tcBorders>
            <w:noWrap w:val="0"/>
            <w:vAlign w:val="center"/>
          </w:tcPr>
          <w:p w14:paraId="3D15A662">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0D29EEC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0.340 </w:t>
            </w:r>
          </w:p>
        </w:tc>
        <w:tc>
          <w:tcPr>
            <w:tcW w:w="936" w:type="dxa"/>
            <w:tcBorders>
              <w:tl2br w:val="nil"/>
              <w:tr2bl w:val="nil"/>
            </w:tcBorders>
            <w:noWrap w:val="0"/>
            <w:vAlign w:val="center"/>
          </w:tcPr>
          <w:p w14:paraId="6F83D7B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DC607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47253F37">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443433A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氯化物</w:t>
            </w:r>
          </w:p>
        </w:tc>
        <w:tc>
          <w:tcPr>
            <w:tcW w:w="1130" w:type="dxa"/>
            <w:tcBorders>
              <w:tl2br w:val="nil"/>
              <w:tr2bl w:val="nil"/>
            </w:tcBorders>
            <w:noWrap w:val="0"/>
            <w:vAlign w:val="center"/>
          </w:tcPr>
          <w:p w14:paraId="0C59BC1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5.00 </w:t>
            </w:r>
          </w:p>
        </w:tc>
        <w:tc>
          <w:tcPr>
            <w:tcW w:w="1230" w:type="dxa"/>
            <w:tcBorders>
              <w:tl2br w:val="nil"/>
              <w:tr2bl w:val="nil"/>
            </w:tcBorders>
            <w:noWrap w:val="0"/>
            <w:vAlign w:val="center"/>
          </w:tcPr>
          <w:p w14:paraId="2D761E6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4.99</w:t>
            </w:r>
          </w:p>
        </w:tc>
        <w:tc>
          <w:tcPr>
            <w:tcW w:w="1172" w:type="dxa"/>
            <w:tcBorders>
              <w:tl2br w:val="nil"/>
              <w:tr2bl w:val="nil"/>
            </w:tcBorders>
            <w:noWrap w:val="0"/>
            <w:vAlign w:val="center"/>
          </w:tcPr>
          <w:p w14:paraId="069B71B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5.00 </w:t>
            </w:r>
          </w:p>
        </w:tc>
        <w:tc>
          <w:tcPr>
            <w:tcW w:w="956" w:type="dxa"/>
            <w:tcBorders>
              <w:tl2br w:val="nil"/>
              <w:tr2bl w:val="nil"/>
            </w:tcBorders>
            <w:noWrap w:val="0"/>
            <w:vAlign w:val="center"/>
          </w:tcPr>
          <w:p w14:paraId="1E3F429F">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250</w:t>
            </w:r>
          </w:p>
        </w:tc>
        <w:tc>
          <w:tcPr>
            <w:tcW w:w="1031" w:type="dxa"/>
            <w:tcBorders>
              <w:tl2br w:val="nil"/>
              <w:tr2bl w:val="nil"/>
            </w:tcBorders>
            <w:noWrap w:val="0"/>
            <w:vAlign w:val="center"/>
          </w:tcPr>
          <w:p w14:paraId="3BB5CBF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0.020 </w:t>
            </w:r>
          </w:p>
        </w:tc>
        <w:tc>
          <w:tcPr>
            <w:tcW w:w="936" w:type="dxa"/>
            <w:tcBorders>
              <w:tl2br w:val="nil"/>
              <w:tr2bl w:val="nil"/>
            </w:tcBorders>
            <w:noWrap w:val="0"/>
            <w:vAlign w:val="center"/>
          </w:tcPr>
          <w:p w14:paraId="7C675B5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89EA2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2E20C86D">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34DB8A3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硫酸盐</w:t>
            </w:r>
          </w:p>
        </w:tc>
        <w:tc>
          <w:tcPr>
            <w:tcW w:w="1130" w:type="dxa"/>
            <w:tcBorders>
              <w:tl2br w:val="nil"/>
              <w:tr2bl w:val="nil"/>
            </w:tcBorders>
            <w:noWrap w:val="0"/>
            <w:vAlign w:val="center"/>
          </w:tcPr>
          <w:p w14:paraId="5EB28F2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15.4</w:t>
            </w:r>
          </w:p>
        </w:tc>
        <w:tc>
          <w:tcPr>
            <w:tcW w:w="1230" w:type="dxa"/>
            <w:tcBorders>
              <w:tl2br w:val="nil"/>
              <w:tr2bl w:val="nil"/>
            </w:tcBorders>
            <w:noWrap w:val="0"/>
            <w:vAlign w:val="center"/>
          </w:tcPr>
          <w:p w14:paraId="6A8A15A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15.3</w:t>
            </w:r>
          </w:p>
        </w:tc>
        <w:tc>
          <w:tcPr>
            <w:tcW w:w="1172" w:type="dxa"/>
            <w:tcBorders>
              <w:tl2br w:val="nil"/>
              <w:tr2bl w:val="nil"/>
            </w:tcBorders>
            <w:noWrap w:val="0"/>
            <w:vAlign w:val="center"/>
          </w:tcPr>
          <w:p w14:paraId="4C3BA28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14.9</w:t>
            </w:r>
          </w:p>
        </w:tc>
        <w:tc>
          <w:tcPr>
            <w:tcW w:w="956" w:type="dxa"/>
            <w:tcBorders>
              <w:tl2br w:val="nil"/>
              <w:tr2bl w:val="nil"/>
            </w:tcBorders>
            <w:noWrap w:val="0"/>
            <w:vAlign w:val="center"/>
          </w:tcPr>
          <w:p w14:paraId="08D20067">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250</w:t>
            </w:r>
          </w:p>
        </w:tc>
        <w:tc>
          <w:tcPr>
            <w:tcW w:w="1031" w:type="dxa"/>
            <w:tcBorders>
              <w:tl2br w:val="nil"/>
              <w:tr2bl w:val="nil"/>
            </w:tcBorders>
            <w:noWrap w:val="0"/>
            <w:vAlign w:val="center"/>
          </w:tcPr>
          <w:p w14:paraId="74F945D1">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0.062 </w:t>
            </w:r>
          </w:p>
        </w:tc>
        <w:tc>
          <w:tcPr>
            <w:tcW w:w="936" w:type="dxa"/>
            <w:tcBorders>
              <w:tl2br w:val="nil"/>
              <w:tr2bl w:val="nil"/>
            </w:tcBorders>
            <w:noWrap w:val="0"/>
            <w:vAlign w:val="center"/>
          </w:tcPr>
          <w:p w14:paraId="0A01C56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C952E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4785E329">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7B29C51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硝酸盐</w:t>
            </w:r>
          </w:p>
        </w:tc>
        <w:tc>
          <w:tcPr>
            <w:tcW w:w="1130" w:type="dxa"/>
            <w:tcBorders>
              <w:tl2br w:val="nil"/>
              <w:tr2bl w:val="nil"/>
            </w:tcBorders>
            <w:noWrap w:val="0"/>
            <w:vAlign w:val="center"/>
          </w:tcPr>
          <w:p w14:paraId="79BD8BF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2.04 </w:t>
            </w:r>
          </w:p>
        </w:tc>
        <w:tc>
          <w:tcPr>
            <w:tcW w:w="1230" w:type="dxa"/>
            <w:tcBorders>
              <w:tl2br w:val="nil"/>
              <w:tr2bl w:val="nil"/>
            </w:tcBorders>
            <w:noWrap w:val="0"/>
            <w:vAlign w:val="center"/>
          </w:tcPr>
          <w:p w14:paraId="3981F98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2.01 </w:t>
            </w:r>
          </w:p>
        </w:tc>
        <w:tc>
          <w:tcPr>
            <w:tcW w:w="1172" w:type="dxa"/>
            <w:tcBorders>
              <w:tl2br w:val="nil"/>
              <w:tr2bl w:val="nil"/>
            </w:tcBorders>
            <w:noWrap w:val="0"/>
            <w:vAlign w:val="center"/>
          </w:tcPr>
          <w:p w14:paraId="25F1281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2.00 </w:t>
            </w:r>
          </w:p>
        </w:tc>
        <w:tc>
          <w:tcPr>
            <w:tcW w:w="956" w:type="dxa"/>
            <w:tcBorders>
              <w:tl2br w:val="nil"/>
              <w:tr2bl w:val="nil"/>
            </w:tcBorders>
            <w:noWrap w:val="0"/>
            <w:vAlign w:val="center"/>
          </w:tcPr>
          <w:p w14:paraId="3F7D7DE8">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01773DBD">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0.204 </w:t>
            </w:r>
          </w:p>
        </w:tc>
        <w:tc>
          <w:tcPr>
            <w:tcW w:w="936" w:type="dxa"/>
            <w:tcBorders>
              <w:tl2br w:val="nil"/>
              <w:tr2bl w:val="nil"/>
            </w:tcBorders>
            <w:noWrap w:val="0"/>
            <w:vAlign w:val="center"/>
          </w:tcPr>
          <w:p w14:paraId="7D62775D">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7F85D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790BAF6A">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7701BF7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石油类</w:t>
            </w:r>
          </w:p>
        </w:tc>
        <w:tc>
          <w:tcPr>
            <w:tcW w:w="1130" w:type="dxa"/>
            <w:tcBorders>
              <w:tl2br w:val="nil"/>
              <w:tr2bl w:val="nil"/>
            </w:tcBorders>
            <w:noWrap w:val="0"/>
            <w:vAlign w:val="center"/>
          </w:tcPr>
          <w:p w14:paraId="341C7F0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230" w:type="dxa"/>
            <w:tcBorders>
              <w:tl2br w:val="nil"/>
              <w:tr2bl w:val="nil"/>
            </w:tcBorders>
            <w:noWrap w:val="0"/>
            <w:vAlign w:val="center"/>
          </w:tcPr>
          <w:p w14:paraId="47B269D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172" w:type="dxa"/>
            <w:tcBorders>
              <w:tl2br w:val="nil"/>
              <w:tr2bl w:val="nil"/>
            </w:tcBorders>
            <w:noWrap w:val="0"/>
            <w:vAlign w:val="center"/>
          </w:tcPr>
          <w:p w14:paraId="27EBAFD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956" w:type="dxa"/>
            <w:tcBorders>
              <w:tl2br w:val="nil"/>
              <w:tr2bl w:val="nil"/>
            </w:tcBorders>
            <w:noWrap w:val="0"/>
            <w:vAlign w:val="center"/>
          </w:tcPr>
          <w:p w14:paraId="1E880E8A">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31" w:type="dxa"/>
            <w:tcBorders>
              <w:tl2br w:val="nil"/>
              <w:tr2bl w:val="nil"/>
            </w:tcBorders>
            <w:noWrap w:val="0"/>
            <w:vAlign w:val="center"/>
          </w:tcPr>
          <w:p w14:paraId="7D5167F2">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0.200 </w:t>
            </w:r>
          </w:p>
        </w:tc>
        <w:tc>
          <w:tcPr>
            <w:tcW w:w="936" w:type="dxa"/>
            <w:tcBorders>
              <w:tl2br w:val="nil"/>
              <w:tr2bl w:val="nil"/>
            </w:tcBorders>
            <w:noWrap w:val="0"/>
            <w:vAlign w:val="center"/>
          </w:tcPr>
          <w:p w14:paraId="78F68A1E">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581E5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1F0A9A18">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26E2CBC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挥发酚</w:t>
            </w:r>
          </w:p>
        </w:tc>
        <w:tc>
          <w:tcPr>
            <w:tcW w:w="1130" w:type="dxa"/>
            <w:tcBorders>
              <w:tl2br w:val="nil"/>
              <w:tr2bl w:val="nil"/>
            </w:tcBorders>
            <w:noWrap w:val="0"/>
            <w:vAlign w:val="center"/>
          </w:tcPr>
          <w:p w14:paraId="2835828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230" w:type="dxa"/>
            <w:tcBorders>
              <w:tl2br w:val="nil"/>
              <w:tr2bl w:val="nil"/>
            </w:tcBorders>
            <w:noWrap w:val="0"/>
            <w:vAlign w:val="center"/>
          </w:tcPr>
          <w:p w14:paraId="284916C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172" w:type="dxa"/>
            <w:tcBorders>
              <w:tl2br w:val="nil"/>
              <w:tr2bl w:val="nil"/>
            </w:tcBorders>
            <w:noWrap w:val="0"/>
            <w:vAlign w:val="center"/>
          </w:tcPr>
          <w:p w14:paraId="73313CF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956" w:type="dxa"/>
            <w:tcBorders>
              <w:tl2br w:val="nil"/>
              <w:tr2bl w:val="nil"/>
            </w:tcBorders>
            <w:noWrap w:val="0"/>
            <w:vAlign w:val="center"/>
          </w:tcPr>
          <w:p w14:paraId="334DCC6F">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0.005</w:t>
            </w:r>
          </w:p>
        </w:tc>
        <w:tc>
          <w:tcPr>
            <w:tcW w:w="1031" w:type="dxa"/>
            <w:tcBorders>
              <w:tl2br w:val="nil"/>
              <w:tr2bl w:val="nil"/>
            </w:tcBorders>
            <w:noWrap w:val="0"/>
            <w:vAlign w:val="center"/>
          </w:tcPr>
          <w:p w14:paraId="7B04A58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0.060 </w:t>
            </w:r>
          </w:p>
        </w:tc>
        <w:tc>
          <w:tcPr>
            <w:tcW w:w="936" w:type="dxa"/>
            <w:tcBorders>
              <w:tl2br w:val="nil"/>
              <w:tr2bl w:val="nil"/>
            </w:tcBorders>
            <w:noWrap w:val="0"/>
            <w:vAlign w:val="center"/>
          </w:tcPr>
          <w:p w14:paraId="3F870C2D">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80AE3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01106411">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109B558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阴离子表面活性剂</w:t>
            </w:r>
          </w:p>
        </w:tc>
        <w:tc>
          <w:tcPr>
            <w:tcW w:w="1130" w:type="dxa"/>
            <w:tcBorders>
              <w:tl2br w:val="nil"/>
              <w:tr2bl w:val="nil"/>
            </w:tcBorders>
            <w:noWrap w:val="0"/>
            <w:vAlign w:val="center"/>
          </w:tcPr>
          <w:p w14:paraId="384C8ED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230" w:type="dxa"/>
            <w:tcBorders>
              <w:tl2br w:val="nil"/>
              <w:tr2bl w:val="nil"/>
            </w:tcBorders>
            <w:noWrap w:val="0"/>
            <w:vAlign w:val="center"/>
          </w:tcPr>
          <w:p w14:paraId="208866A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172" w:type="dxa"/>
            <w:tcBorders>
              <w:tl2br w:val="nil"/>
              <w:tr2bl w:val="nil"/>
            </w:tcBorders>
            <w:noWrap w:val="0"/>
            <w:vAlign w:val="center"/>
          </w:tcPr>
          <w:p w14:paraId="62CEEB2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956" w:type="dxa"/>
            <w:tcBorders>
              <w:tl2br w:val="nil"/>
              <w:tr2bl w:val="nil"/>
            </w:tcBorders>
            <w:noWrap w:val="0"/>
            <w:vAlign w:val="center"/>
          </w:tcPr>
          <w:p w14:paraId="633C3D9F">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0.2</w:t>
            </w:r>
          </w:p>
        </w:tc>
        <w:tc>
          <w:tcPr>
            <w:tcW w:w="1031" w:type="dxa"/>
            <w:tcBorders>
              <w:tl2br w:val="nil"/>
              <w:tr2bl w:val="nil"/>
            </w:tcBorders>
            <w:noWrap w:val="0"/>
            <w:vAlign w:val="center"/>
          </w:tcPr>
          <w:p w14:paraId="6579AD9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0.250 </w:t>
            </w:r>
          </w:p>
        </w:tc>
        <w:tc>
          <w:tcPr>
            <w:tcW w:w="936" w:type="dxa"/>
            <w:tcBorders>
              <w:tl2br w:val="nil"/>
              <w:tr2bl w:val="nil"/>
            </w:tcBorders>
            <w:noWrap w:val="0"/>
            <w:vAlign w:val="center"/>
          </w:tcPr>
          <w:p w14:paraId="2C386612">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7173A4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248BE547">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43503D1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硫化物</w:t>
            </w:r>
          </w:p>
        </w:tc>
        <w:tc>
          <w:tcPr>
            <w:tcW w:w="1130" w:type="dxa"/>
            <w:tcBorders>
              <w:tl2br w:val="nil"/>
              <w:tr2bl w:val="nil"/>
            </w:tcBorders>
            <w:noWrap w:val="0"/>
            <w:vAlign w:val="center"/>
          </w:tcPr>
          <w:p w14:paraId="084695F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230" w:type="dxa"/>
            <w:tcBorders>
              <w:tl2br w:val="nil"/>
              <w:tr2bl w:val="nil"/>
            </w:tcBorders>
            <w:noWrap w:val="0"/>
            <w:vAlign w:val="center"/>
          </w:tcPr>
          <w:p w14:paraId="1610093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172" w:type="dxa"/>
            <w:tcBorders>
              <w:tl2br w:val="nil"/>
              <w:tr2bl w:val="nil"/>
            </w:tcBorders>
            <w:noWrap w:val="0"/>
            <w:vAlign w:val="center"/>
          </w:tcPr>
          <w:p w14:paraId="04E71C9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956" w:type="dxa"/>
            <w:tcBorders>
              <w:tl2br w:val="nil"/>
              <w:tr2bl w:val="nil"/>
            </w:tcBorders>
            <w:noWrap w:val="0"/>
            <w:vAlign w:val="center"/>
          </w:tcPr>
          <w:p w14:paraId="79324AE4">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0.2</w:t>
            </w:r>
          </w:p>
        </w:tc>
        <w:tc>
          <w:tcPr>
            <w:tcW w:w="1031" w:type="dxa"/>
            <w:tcBorders>
              <w:tl2br w:val="nil"/>
              <w:tr2bl w:val="nil"/>
            </w:tcBorders>
            <w:noWrap w:val="0"/>
            <w:vAlign w:val="center"/>
          </w:tcPr>
          <w:p w14:paraId="2E9CDEAE">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0.050 </w:t>
            </w:r>
          </w:p>
        </w:tc>
        <w:tc>
          <w:tcPr>
            <w:tcW w:w="936" w:type="dxa"/>
            <w:tcBorders>
              <w:tl2br w:val="nil"/>
              <w:tr2bl w:val="nil"/>
            </w:tcBorders>
            <w:noWrap w:val="0"/>
            <w:vAlign w:val="center"/>
          </w:tcPr>
          <w:p w14:paraId="7DD0E95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0BD245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51FF02AF">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63F2C4C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悬浮物</w:t>
            </w:r>
          </w:p>
        </w:tc>
        <w:tc>
          <w:tcPr>
            <w:tcW w:w="1130" w:type="dxa"/>
            <w:tcBorders>
              <w:tl2br w:val="nil"/>
              <w:tr2bl w:val="nil"/>
            </w:tcBorders>
            <w:noWrap w:val="0"/>
            <w:vAlign w:val="center"/>
          </w:tcPr>
          <w:p w14:paraId="70B5D77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12</w:t>
            </w:r>
          </w:p>
        </w:tc>
        <w:tc>
          <w:tcPr>
            <w:tcW w:w="1230" w:type="dxa"/>
            <w:tcBorders>
              <w:tl2br w:val="nil"/>
              <w:tr2bl w:val="nil"/>
            </w:tcBorders>
            <w:noWrap w:val="0"/>
            <w:vAlign w:val="center"/>
          </w:tcPr>
          <w:p w14:paraId="61C3D68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11</w:t>
            </w:r>
          </w:p>
        </w:tc>
        <w:tc>
          <w:tcPr>
            <w:tcW w:w="1172" w:type="dxa"/>
            <w:tcBorders>
              <w:tl2br w:val="nil"/>
              <w:tr2bl w:val="nil"/>
            </w:tcBorders>
            <w:noWrap w:val="0"/>
            <w:vAlign w:val="center"/>
          </w:tcPr>
          <w:p w14:paraId="15BEB9B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12</w:t>
            </w:r>
          </w:p>
        </w:tc>
        <w:tc>
          <w:tcPr>
            <w:tcW w:w="956" w:type="dxa"/>
            <w:tcBorders>
              <w:tl2br w:val="nil"/>
              <w:tr2bl w:val="nil"/>
            </w:tcBorders>
            <w:noWrap w:val="0"/>
            <w:vAlign w:val="center"/>
          </w:tcPr>
          <w:p w14:paraId="4D021AE1">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1031" w:type="dxa"/>
            <w:tcBorders>
              <w:tl2br w:val="nil"/>
              <w:tr2bl w:val="nil"/>
            </w:tcBorders>
            <w:noWrap w:val="0"/>
            <w:vAlign w:val="center"/>
          </w:tcPr>
          <w:p w14:paraId="50FAC0C3">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36" w:type="dxa"/>
            <w:tcBorders>
              <w:tl2br w:val="nil"/>
              <w:tr2bl w:val="nil"/>
            </w:tcBorders>
            <w:noWrap w:val="0"/>
            <w:vAlign w:val="center"/>
          </w:tcPr>
          <w:p w14:paraId="56AAD672">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r w14:paraId="5ADBA8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30F8F008">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458AF1D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叶绿素a</w:t>
            </w:r>
          </w:p>
        </w:tc>
        <w:tc>
          <w:tcPr>
            <w:tcW w:w="1130" w:type="dxa"/>
            <w:tcBorders>
              <w:tl2br w:val="nil"/>
              <w:tr2bl w:val="nil"/>
            </w:tcBorders>
            <w:noWrap w:val="0"/>
            <w:vAlign w:val="center"/>
          </w:tcPr>
          <w:p w14:paraId="62CDA2D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0.31</w:t>
            </w:r>
          </w:p>
        </w:tc>
        <w:tc>
          <w:tcPr>
            <w:tcW w:w="1230" w:type="dxa"/>
            <w:tcBorders>
              <w:tl2br w:val="nil"/>
              <w:tr2bl w:val="nil"/>
            </w:tcBorders>
            <w:noWrap w:val="0"/>
            <w:vAlign w:val="center"/>
          </w:tcPr>
          <w:p w14:paraId="2156A51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0.31</w:t>
            </w:r>
          </w:p>
        </w:tc>
        <w:tc>
          <w:tcPr>
            <w:tcW w:w="1172" w:type="dxa"/>
            <w:tcBorders>
              <w:tl2br w:val="nil"/>
              <w:tr2bl w:val="nil"/>
            </w:tcBorders>
            <w:noWrap w:val="0"/>
            <w:vAlign w:val="center"/>
          </w:tcPr>
          <w:p w14:paraId="4222FCD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0.32</w:t>
            </w:r>
          </w:p>
        </w:tc>
        <w:tc>
          <w:tcPr>
            <w:tcW w:w="956" w:type="dxa"/>
            <w:tcBorders>
              <w:tl2br w:val="nil"/>
              <w:tr2bl w:val="nil"/>
            </w:tcBorders>
            <w:noWrap w:val="0"/>
            <w:vAlign w:val="center"/>
          </w:tcPr>
          <w:p w14:paraId="71316155">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1031" w:type="dxa"/>
            <w:tcBorders>
              <w:tl2br w:val="nil"/>
              <w:tr2bl w:val="nil"/>
            </w:tcBorders>
            <w:noWrap w:val="0"/>
            <w:vAlign w:val="center"/>
          </w:tcPr>
          <w:p w14:paraId="3403CBEB">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36" w:type="dxa"/>
            <w:tcBorders>
              <w:tl2br w:val="nil"/>
              <w:tr2bl w:val="nil"/>
            </w:tcBorders>
            <w:noWrap w:val="0"/>
            <w:vAlign w:val="center"/>
          </w:tcPr>
          <w:p w14:paraId="2008D93E">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r w14:paraId="6C2029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restart"/>
            <w:tcBorders>
              <w:tl2br w:val="nil"/>
              <w:tr2bl w:val="nil"/>
            </w:tcBorders>
            <w:noWrap w:val="0"/>
            <w:vAlign w:val="center"/>
          </w:tcPr>
          <w:p w14:paraId="24932A6F">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napToGrid/>
                <w:kern w:val="2"/>
                <w:sz w:val="21"/>
                <w:szCs w:val="21"/>
                <w:lang w:val="en-US" w:eastAsia="zh-CN" w:bidi="ar-SA"/>
              </w:rPr>
              <w:t>W3水库库区中心断面坝址上游约500m</w:t>
            </w:r>
          </w:p>
        </w:tc>
        <w:tc>
          <w:tcPr>
            <w:tcW w:w="1340" w:type="dxa"/>
            <w:tcBorders>
              <w:tl2br w:val="nil"/>
              <w:tr2bl w:val="nil"/>
            </w:tcBorders>
            <w:noWrap w:val="0"/>
            <w:vAlign w:val="center"/>
          </w:tcPr>
          <w:p w14:paraId="66D594F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pH值</w:t>
            </w:r>
          </w:p>
        </w:tc>
        <w:tc>
          <w:tcPr>
            <w:tcW w:w="1130" w:type="dxa"/>
            <w:tcBorders>
              <w:tl2br w:val="nil"/>
              <w:tr2bl w:val="nil"/>
            </w:tcBorders>
            <w:noWrap w:val="0"/>
            <w:vAlign w:val="center"/>
          </w:tcPr>
          <w:p w14:paraId="5B52A38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7.1</w:t>
            </w:r>
          </w:p>
        </w:tc>
        <w:tc>
          <w:tcPr>
            <w:tcW w:w="1230" w:type="dxa"/>
            <w:tcBorders>
              <w:tl2br w:val="nil"/>
              <w:tr2bl w:val="nil"/>
            </w:tcBorders>
            <w:noWrap w:val="0"/>
            <w:vAlign w:val="center"/>
          </w:tcPr>
          <w:p w14:paraId="46F2470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7.2</w:t>
            </w:r>
          </w:p>
        </w:tc>
        <w:tc>
          <w:tcPr>
            <w:tcW w:w="1172" w:type="dxa"/>
            <w:tcBorders>
              <w:tl2br w:val="nil"/>
              <w:tr2bl w:val="nil"/>
            </w:tcBorders>
            <w:noWrap w:val="0"/>
            <w:vAlign w:val="center"/>
          </w:tcPr>
          <w:p w14:paraId="409326D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7.3</w:t>
            </w:r>
          </w:p>
        </w:tc>
        <w:tc>
          <w:tcPr>
            <w:tcW w:w="956" w:type="dxa"/>
            <w:tcBorders>
              <w:tl2br w:val="nil"/>
              <w:tr2bl w:val="nil"/>
            </w:tcBorders>
            <w:noWrap w:val="0"/>
            <w:vAlign w:val="center"/>
          </w:tcPr>
          <w:p w14:paraId="01FB6375">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6~9</w:t>
            </w:r>
          </w:p>
        </w:tc>
        <w:tc>
          <w:tcPr>
            <w:tcW w:w="1031" w:type="dxa"/>
            <w:tcBorders>
              <w:tl2br w:val="nil"/>
              <w:tr2bl w:val="nil"/>
            </w:tcBorders>
            <w:noWrap w:val="0"/>
            <w:vAlign w:val="center"/>
          </w:tcPr>
          <w:p w14:paraId="5A7BA85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0.150 </w:t>
            </w:r>
          </w:p>
        </w:tc>
        <w:tc>
          <w:tcPr>
            <w:tcW w:w="936" w:type="dxa"/>
            <w:tcBorders>
              <w:tl2br w:val="nil"/>
              <w:tr2bl w:val="nil"/>
            </w:tcBorders>
            <w:noWrap w:val="0"/>
            <w:vAlign w:val="center"/>
          </w:tcPr>
          <w:p w14:paraId="35EDEC5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71F0A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5B3A206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4CD0985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水温</w:t>
            </w:r>
          </w:p>
        </w:tc>
        <w:tc>
          <w:tcPr>
            <w:tcW w:w="1130" w:type="dxa"/>
            <w:tcBorders>
              <w:tl2br w:val="nil"/>
              <w:tr2bl w:val="nil"/>
            </w:tcBorders>
            <w:noWrap w:val="0"/>
            <w:vAlign w:val="center"/>
          </w:tcPr>
          <w:p w14:paraId="40E1C2A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29.1</w:t>
            </w:r>
          </w:p>
        </w:tc>
        <w:tc>
          <w:tcPr>
            <w:tcW w:w="1230" w:type="dxa"/>
            <w:tcBorders>
              <w:tl2br w:val="nil"/>
              <w:tr2bl w:val="nil"/>
            </w:tcBorders>
            <w:noWrap w:val="0"/>
            <w:vAlign w:val="center"/>
          </w:tcPr>
          <w:p w14:paraId="386DF78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27.8</w:t>
            </w:r>
          </w:p>
        </w:tc>
        <w:tc>
          <w:tcPr>
            <w:tcW w:w="1172" w:type="dxa"/>
            <w:tcBorders>
              <w:tl2br w:val="nil"/>
              <w:tr2bl w:val="nil"/>
            </w:tcBorders>
            <w:noWrap w:val="0"/>
            <w:vAlign w:val="center"/>
          </w:tcPr>
          <w:p w14:paraId="54DA2FD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22.3</w:t>
            </w:r>
          </w:p>
        </w:tc>
        <w:tc>
          <w:tcPr>
            <w:tcW w:w="956" w:type="dxa"/>
            <w:tcBorders>
              <w:tl2br w:val="nil"/>
              <w:tr2bl w:val="nil"/>
            </w:tcBorders>
            <w:noWrap w:val="0"/>
            <w:vAlign w:val="center"/>
          </w:tcPr>
          <w:p w14:paraId="10A01500">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1031" w:type="dxa"/>
            <w:tcBorders>
              <w:tl2br w:val="nil"/>
              <w:tr2bl w:val="nil"/>
            </w:tcBorders>
            <w:noWrap w:val="0"/>
            <w:vAlign w:val="center"/>
          </w:tcPr>
          <w:p w14:paraId="183D7EF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36" w:type="dxa"/>
            <w:tcBorders>
              <w:tl2br w:val="nil"/>
              <w:tr2bl w:val="nil"/>
            </w:tcBorders>
            <w:noWrap w:val="0"/>
            <w:vAlign w:val="center"/>
          </w:tcPr>
          <w:p w14:paraId="3C4D73B2">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r w14:paraId="3724EB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5233B445">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413F220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溶解氧</w:t>
            </w:r>
          </w:p>
        </w:tc>
        <w:tc>
          <w:tcPr>
            <w:tcW w:w="1130" w:type="dxa"/>
            <w:tcBorders>
              <w:tl2br w:val="nil"/>
              <w:tr2bl w:val="nil"/>
            </w:tcBorders>
            <w:noWrap w:val="0"/>
            <w:vAlign w:val="center"/>
          </w:tcPr>
          <w:p w14:paraId="254DBAA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7.68</w:t>
            </w:r>
          </w:p>
        </w:tc>
        <w:tc>
          <w:tcPr>
            <w:tcW w:w="1230" w:type="dxa"/>
            <w:tcBorders>
              <w:tl2br w:val="nil"/>
              <w:tr2bl w:val="nil"/>
            </w:tcBorders>
            <w:noWrap w:val="0"/>
            <w:vAlign w:val="center"/>
          </w:tcPr>
          <w:p w14:paraId="4E75271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7.86</w:t>
            </w:r>
          </w:p>
        </w:tc>
        <w:tc>
          <w:tcPr>
            <w:tcW w:w="1172" w:type="dxa"/>
            <w:tcBorders>
              <w:tl2br w:val="nil"/>
              <w:tr2bl w:val="nil"/>
            </w:tcBorders>
            <w:noWrap w:val="0"/>
            <w:vAlign w:val="center"/>
          </w:tcPr>
          <w:p w14:paraId="0CDACFA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8.69</w:t>
            </w:r>
          </w:p>
        </w:tc>
        <w:tc>
          <w:tcPr>
            <w:tcW w:w="956" w:type="dxa"/>
            <w:tcBorders>
              <w:tl2br w:val="nil"/>
              <w:tr2bl w:val="nil"/>
            </w:tcBorders>
            <w:noWrap w:val="0"/>
            <w:vAlign w:val="center"/>
          </w:tcPr>
          <w:p w14:paraId="2AC808CF">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≥5</w:t>
            </w:r>
          </w:p>
        </w:tc>
        <w:tc>
          <w:tcPr>
            <w:tcW w:w="1031" w:type="dxa"/>
            <w:tcBorders>
              <w:tl2br w:val="nil"/>
              <w:tr2bl w:val="nil"/>
            </w:tcBorders>
            <w:noWrap w:val="0"/>
            <w:vAlign w:val="center"/>
          </w:tcPr>
          <w:p w14:paraId="4E6CE86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0.651 </w:t>
            </w:r>
          </w:p>
        </w:tc>
        <w:tc>
          <w:tcPr>
            <w:tcW w:w="936" w:type="dxa"/>
            <w:tcBorders>
              <w:tl2br w:val="nil"/>
              <w:tr2bl w:val="nil"/>
            </w:tcBorders>
            <w:noWrap w:val="0"/>
            <w:vAlign w:val="center"/>
          </w:tcPr>
          <w:p w14:paraId="13A44FA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099C8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4F51B102">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1F4FC53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透明度</w:t>
            </w:r>
          </w:p>
        </w:tc>
        <w:tc>
          <w:tcPr>
            <w:tcW w:w="1130" w:type="dxa"/>
            <w:tcBorders>
              <w:tl2br w:val="nil"/>
              <w:tr2bl w:val="nil"/>
            </w:tcBorders>
            <w:noWrap w:val="0"/>
            <w:vAlign w:val="center"/>
          </w:tcPr>
          <w:p w14:paraId="47283BA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85</w:t>
            </w:r>
          </w:p>
        </w:tc>
        <w:tc>
          <w:tcPr>
            <w:tcW w:w="1230" w:type="dxa"/>
            <w:tcBorders>
              <w:tl2br w:val="nil"/>
              <w:tr2bl w:val="nil"/>
            </w:tcBorders>
            <w:noWrap w:val="0"/>
            <w:vAlign w:val="center"/>
          </w:tcPr>
          <w:p w14:paraId="04E6ECC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85</w:t>
            </w:r>
          </w:p>
        </w:tc>
        <w:tc>
          <w:tcPr>
            <w:tcW w:w="1172" w:type="dxa"/>
            <w:tcBorders>
              <w:tl2br w:val="nil"/>
              <w:tr2bl w:val="nil"/>
            </w:tcBorders>
            <w:noWrap w:val="0"/>
            <w:vAlign w:val="center"/>
          </w:tcPr>
          <w:p w14:paraId="5833721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84</w:t>
            </w:r>
          </w:p>
        </w:tc>
        <w:tc>
          <w:tcPr>
            <w:tcW w:w="956" w:type="dxa"/>
            <w:tcBorders>
              <w:tl2br w:val="nil"/>
              <w:tr2bl w:val="nil"/>
            </w:tcBorders>
            <w:noWrap w:val="0"/>
            <w:vAlign w:val="center"/>
          </w:tcPr>
          <w:p w14:paraId="142110D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1031" w:type="dxa"/>
            <w:tcBorders>
              <w:tl2br w:val="nil"/>
              <w:tr2bl w:val="nil"/>
            </w:tcBorders>
            <w:noWrap w:val="0"/>
            <w:vAlign w:val="center"/>
          </w:tcPr>
          <w:p w14:paraId="7801568E">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36" w:type="dxa"/>
            <w:tcBorders>
              <w:tl2br w:val="nil"/>
              <w:tr2bl w:val="nil"/>
            </w:tcBorders>
            <w:noWrap w:val="0"/>
            <w:vAlign w:val="center"/>
          </w:tcPr>
          <w:p w14:paraId="7BFEB9BC">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r w14:paraId="6E540D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7D6444B3">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7EBB060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高锰酸盐指数</w:t>
            </w:r>
          </w:p>
        </w:tc>
        <w:tc>
          <w:tcPr>
            <w:tcW w:w="1130" w:type="dxa"/>
            <w:tcBorders>
              <w:tl2br w:val="nil"/>
              <w:tr2bl w:val="nil"/>
            </w:tcBorders>
            <w:noWrap w:val="0"/>
            <w:vAlign w:val="center"/>
          </w:tcPr>
          <w:p w14:paraId="04A2DC4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1.7</w:t>
            </w:r>
          </w:p>
        </w:tc>
        <w:tc>
          <w:tcPr>
            <w:tcW w:w="1230" w:type="dxa"/>
            <w:tcBorders>
              <w:tl2br w:val="nil"/>
              <w:tr2bl w:val="nil"/>
            </w:tcBorders>
            <w:noWrap w:val="0"/>
            <w:vAlign w:val="center"/>
          </w:tcPr>
          <w:p w14:paraId="098087D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1.6</w:t>
            </w:r>
          </w:p>
        </w:tc>
        <w:tc>
          <w:tcPr>
            <w:tcW w:w="1172" w:type="dxa"/>
            <w:tcBorders>
              <w:tl2br w:val="nil"/>
              <w:tr2bl w:val="nil"/>
            </w:tcBorders>
            <w:noWrap w:val="0"/>
            <w:vAlign w:val="center"/>
          </w:tcPr>
          <w:p w14:paraId="6DB2471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1.8</w:t>
            </w:r>
          </w:p>
        </w:tc>
        <w:tc>
          <w:tcPr>
            <w:tcW w:w="956" w:type="dxa"/>
            <w:tcBorders>
              <w:tl2br w:val="nil"/>
              <w:tr2bl w:val="nil"/>
            </w:tcBorders>
            <w:noWrap w:val="0"/>
            <w:vAlign w:val="center"/>
          </w:tcPr>
          <w:p w14:paraId="3F631794">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6</w:t>
            </w:r>
          </w:p>
        </w:tc>
        <w:tc>
          <w:tcPr>
            <w:tcW w:w="1031" w:type="dxa"/>
            <w:tcBorders>
              <w:tl2br w:val="nil"/>
              <w:tr2bl w:val="nil"/>
            </w:tcBorders>
            <w:noWrap w:val="0"/>
            <w:vAlign w:val="center"/>
          </w:tcPr>
          <w:p w14:paraId="447B499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0.300 </w:t>
            </w:r>
          </w:p>
        </w:tc>
        <w:tc>
          <w:tcPr>
            <w:tcW w:w="936" w:type="dxa"/>
            <w:tcBorders>
              <w:tl2br w:val="nil"/>
              <w:tr2bl w:val="nil"/>
            </w:tcBorders>
            <w:noWrap w:val="0"/>
            <w:vAlign w:val="center"/>
          </w:tcPr>
          <w:p w14:paraId="275AA4F2">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ECD06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674A459B">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26A1C9B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氨氮</w:t>
            </w:r>
          </w:p>
        </w:tc>
        <w:tc>
          <w:tcPr>
            <w:tcW w:w="1130" w:type="dxa"/>
            <w:tcBorders>
              <w:tl2br w:val="nil"/>
              <w:tr2bl w:val="nil"/>
            </w:tcBorders>
            <w:noWrap w:val="0"/>
            <w:vAlign w:val="center"/>
          </w:tcPr>
          <w:p w14:paraId="666A6B6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0.11 </w:t>
            </w:r>
          </w:p>
        </w:tc>
        <w:tc>
          <w:tcPr>
            <w:tcW w:w="1230" w:type="dxa"/>
            <w:tcBorders>
              <w:tl2br w:val="nil"/>
              <w:tr2bl w:val="nil"/>
            </w:tcBorders>
            <w:noWrap w:val="0"/>
            <w:vAlign w:val="center"/>
          </w:tcPr>
          <w:p w14:paraId="460E5A0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0.12</w:t>
            </w:r>
          </w:p>
        </w:tc>
        <w:tc>
          <w:tcPr>
            <w:tcW w:w="1172" w:type="dxa"/>
            <w:tcBorders>
              <w:tl2br w:val="nil"/>
              <w:tr2bl w:val="nil"/>
            </w:tcBorders>
            <w:noWrap w:val="0"/>
            <w:vAlign w:val="center"/>
          </w:tcPr>
          <w:p w14:paraId="323825F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0.12</w:t>
            </w:r>
          </w:p>
        </w:tc>
        <w:tc>
          <w:tcPr>
            <w:tcW w:w="956" w:type="dxa"/>
            <w:tcBorders>
              <w:tl2br w:val="nil"/>
              <w:tr2bl w:val="nil"/>
            </w:tcBorders>
            <w:noWrap w:val="0"/>
            <w:vAlign w:val="center"/>
          </w:tcPr>
          <w:p w14:paraId="3E36E6D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303EF71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0.120 </w:t>
            </w:r>
          </w:p>
        </w:tc>
        <w:tc>
          <w:tcPr>
            <w:tcW w:w="936" w:type="dxa"/>
            <w:tcBorders>
              <w:tl2br w:val="nil"/>
              <w:tr2bl w:val="nil"/>
            </w:tcBorders>
            <w:noWrap w:val="0"/>
            <w:vAlign w:val="center"/>
          </w:tcPr>
          <w:p w14:paraId="5BBC6F52">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10468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76D9C464">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4BE8983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总磷</w:t>
            </w:r>
          </w:p>
        </w:tc>
        <w:tc>
          <w:tcPr>
            <w:tcW w:w="1130" w:type="dxa"/>
            <w:tcBorders>
              <w:tl2br w:val="nil"/>
              <w:tr2bl w:val="nil"/>
            </w:tcBorders>
            <w:noWrap w:val="0"/>
            <w:vAlign w:val="center"/>
          </w:tcPr>
          <w:p w14:paraId="0EF7A13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0.04</w:t>
            </w:r>
          </w:p>
        </w:tc>
        <w:tc>
          <w:tcPr>
            <w:tcW w:w="1230" w:type="dxa"/>
            <w:tcBorders>
              <w:tl2br w:val="nil"/>
              <w:tr2bl w:val="nil"/>
            </w:tcBorders>
            <w:noWrap w:val="0"/>
            <w:vAlign w:val="center"/>
          </w:tcPr>
          <w:p w14:paraId="2082DA6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0.03</w:t>
            </w:r>
          </w:p>
        </w:tc>
        <w:tc>
          <w:tcPr>
            <w:tcW w:w="1172" w:type="dxa"/>
            <w:tcBorders>
              <w:tl2br w:val="nil"/>
              <w:tr2bl w:val="nil"/>
            </w:tcBorders>
            <w:noWrap w:val="0"/>
            <w:vAlign w:val="center"/>
          </w:tcPr>
          <w:p w14:paraId="2CE48FD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0.02</w:t>
            </w:r>
          </w:p>
        </w:tc>
        <w:tc>
          <w:tcPr>
            <w:tcW w:w="956" w:type="dxa"/>
            <w:tcBorders>
              <w:tl2br w:val="nil"/>
              <w:tr2bl w:val="nil"/>
            </w:tcBorders>
            <w:noWrap w:val="0"/>
            <w:vAlign w:val="center"/>
          </w:tcPr>
          <w:p w14:paraId="717AC368">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31" w:type="dxa"/>
            <w:tcBorders>
              <w:tl2br w:val="nil"/>
              <w:tr2bl w:val="nil"/>
            </w:tcBorders>
            <w:noWrap w:val="0"/>
            <w:vAlign w:val="center"/>
          </w:tcPr>
          <w:p w14:paraId="6551C51D">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0.800 </w:t>
            </w:r>
          </w:p>
        </w:tc>
        <w:tc>
          <w:tcPr>
            <w:tcW w:w="936" w:type="dxa"/>
            <w:tcBorders>
              <w:tl2br w:val="nil"/>
              <w:tr2bl w:val="nil"/>
            </w:tcBorders>
            <w:noWrap w:val="0"/>
            <w:vAlign w:val="center"/>
          </w:tcPr>
          <w:p w14:paraId="386E41C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10BD0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7D74776C">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470F3F7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总氮</w:t>
            </w:r>
          </w:p>
        </w:tc>
        <w:tc>
          <w:tcPr>
            <w:tcW w:w="1130" w:type="dxa"/>
            <w:tcBorders>
              <w:tl2br w:val="nil"/>
              <w:tr2bl w:val="nil"/>
            </w:tcBorders>
            <w:noWrap w:val="0"/>
            <w:vAlign w:val="center"/>
          </w:tcPr>
          <w:p w14:paraId="6AD2526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0.83</w:t>
            </w:r>
          </w:p>
        </w:tc>
        <w:tc>
          <w:tcPr>
            <w:tcW w:w="1230" w:type="dxa"/>
            <w:tcBorders>
              <w:tl2br w:val="nil"/>
              <w:tr2bl w:val="nil"/>
            </w:tcBorders>
            <w:noWrap w:val="0"/>
            <w:vAlign w:val="center"/>
          </w:tcPr>
          <w:p w14:paraId="73E6290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0.88</w:t>
            </w:r>
          </w:p>
        </w:tc>
        <w:tc>
          <w:tcPr>
            <w:tcW w:w="1172" w:type="dxa"/>
            <w:tcBorders>
              <w:tl2br w:val="nil"/>
              <w:tr2bl w:val="nil"/>
            </w:tcBorders>
            <w:noWrap w:val="0"/>
            <w:vAlign w:val="center"/>
          </w:tcPr>
          <w:p w14:paraId="25C6E27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0.85</w:t>
            </w:r>
          </w:p>
        </w:tc>
        <w:tc>
          <w:tcPr>
            <w:tcW w:w="956" w:type="dxa"/>
            <w:tcBorders>
              <w:tl2br w:val="nil"/>
              <w:tr2bl w:val="nil"/>
            </w:tcBorders>
            <w:noWrap w:val="0"/>
            <w:vAlign w:val="center"/>
          </w:tcPr>
          <w:p w14:paraId="5C2BF8E4">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1B7D6C1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0.880 </w:t>
            </w:r>
          </w:p>
        </w:tc>
        <w:tc>
          <w:tcPr>
            <w:tcW w:w="936" w:type="dxa"/>
            <w:tcBorders>
              <w:tl2br w:val="nil"/>
              <w:tr2bl w:val="nil"/>
            </w:tcBorders>
            <w:noWrap w:val="0"/>
            <w:vAlign w:val="center"/>
          </w:tcPr>
          <w:p w14:paraId="171C06E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0C5682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71ED4823">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306DD30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化学需氧量</w:t>
            </w:r>
          </w:p>
        </w:tc>
        <w:tc>
          <w:tcPr>
            <w:tcW w:w="1130" w:type="dxa"/>
            <w:tcBorders>
              <w:tl2br w:val="nil"/>
              <w:tr2bl w:val="nil"/>
            </w:tcBorders>
            <w:noWrap w:val="0"/>
            <w:vAlign w:val="center"/>
          </w:tcPr>
          <w:p w14:paraId="3536BB7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13</w:t>
            </w:r>
          </w:p>
        </w:tc>
        <w:tc>
          <w:tcPr>
            <w:tcW w:w="1230" w:type="dxa"/>
            <w:tcBorders>
              <w:tl2br w:val="nil"/>
              <w:tr2bl w:val="nil"/>
            </w:tcBorders>
            <w:noWrap w:val="0"/>
            <w:vAlign w:val="center"/>
          </w:tcPr>
          <w:p w14:paraId="5148CAF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12</w:t>
            </w:r>
          </w:p>
        </w:tc>
        <w:tc>
          <w:tcPr>
            <w:tcW w:w="1172" w:type="dxa"/>
            <w:tcBorders>
              <w:tl2br w:val="nil"/>
              <w:tr2bl w:val="nil"/>
            </w:tcBorders>
            <w:noWrap w:val="0"/>
            <w:vAlign w:val="center"/>
          </w:tcPr>
          <w:p w14:paraId="00CBD09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11</w:t>
            </w:r>
          </w:p>
        </w:tc>
        <w:tc>
          <w:tcPr>
            <w:tcW w:w="956" w:type="dxa"/>
            <w:tcBorders>
              <w:tl2br w:val="nil"/>
              <w:tr2bl w:val="nil"/>
            </w:tcBorders>
            <w:noWrap w:val="0"/>
            <w:vAlign w:val="center"/>
          </w:tcPr>
          <w:p w14:paraId="321A59F7">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20</w:t>
            </w:r>
          </w:p>
        </w:tc>
        <w:tc>
          <w:tcPr>
            <w:tcW w:w="1031" w:type="dxa"/>
            <w:tcBorders>
              <w:tl2br w:val="nil"/>
              <w:tr2bl w:val="nil"/>
            </w:tcBorders>
            <w:noWrap w:val="0"/>
            <w:vAlign w:val="center"/>
          </w:tcPr>
          <w:p w14:paraId="22F8D5B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0.650 </w:t>
            </w:r>
          </w:p>
        </w:tc>
        <w:tc>
          <w:tcPr>
            <w:tcW w:w="936" w:type="dxa"/>
            <w:tcBorders>
              <w:tl2br w:val="nil"/>
              <w:tr2bl w:val="nil"/>
            </w:tcBorders>
            <w:noWrap w:val="0"/>
            <w:vAlign w:val="center"/>
          </w:tcPr>
          <w:p w14:paraId="24F7EF9D">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4EC35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518AD735">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0E93E03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硒</w:t>
            </w:r>
          </w:p>
        </w:tc>
        <w:tc>
          <w:tcPr>
            <w:tcW w:w="1130" w:type="dxa"/>
            <w:tcBorders>
              <w:tl2br w:val="nil"/>
              <w:tr2bl w:val="nil"/>
            </w:tcBorders>
            <w:noWrap w:val="0"/>
            <w:vAlign w:val="center"/>
          </w:tcPr>
          <w:p w14:paraId="15C4A0D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0.0004L</w:t>
            </w:r>
          </w:p>
        </w:tc>
        <w:tc>
          <w:tcPr>
            <w:tcW w:w="1230" w:type="dxa"/>
            <w:tcBorders>
              <w:tl2br w:val="nil"/>
              <w:tr2bl w:val="nil"/>
            </w:tcBorders>
            <w:noWrap w:val="0"/>
            <w:vAlign w:val="center"/>
          </w:tcPr>
          <w:p w14:paraId="1963C69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0.0004L</w:t>
            </w:r>
          </w:p>
        </w:tc>
        <w:tc>
          <w:tcPr>
            <w:tcW w:w="1172" w:type="dxa"/>
            <w:tcBorders>
              <w:tl2br w:val="nil"/>
              <w:tr2bl w:val="nil"/>
            </w:tcBorders>
            <w:noWrap w:val="0"/>
            <w:vAlign w:val="center"/>
          </w:tcPr>
          <w:p w14:paraId="404A988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0.0004L</w:t>
            </w:r>
          </w:p>
        </w:tc>
        <w:tc>
          <w:tcPr>
            <w:tcW w:w="956" w:type="dxa"/>
            <w:tcBorders>
              <w:tl2br w:val="nil"/>
              <w:tr2bl w:val="nil"/>
            </w:tcBorders>
            <w:noWrap w:val="0"/>
            <w:vAlign w:val="center"/>
          </w:tcPr>
          <w:p w14:paraId="5F3971FB">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0.01</w:t>
            </w:r>
          </w:p>
        </w:tc>
        <w:tc>
          <w:tcPr>
            <w:tcW w:w="1031" w:type="dxa"/>
            <w:tcBorders>
              <w:tl2br w:val="nil"/>
              <w:tr2bl w:val="nil"/>
            </w:tcBorders>
            <w:noWrap w:val="0"/>
            <w:vAlign w:val="center"/>
          </w:tcPr>
          <w:p w14:paraId="7C59C960">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0.040 </w:t>
            </w:r>
          </w:p>
        </w:tc>
        <w:tc>
          <w:tcPr>
            <w:tcW w:w="936" w:type="dxa"/>
            <w:tcBorders>
              <w:tl2br w:val="nil"/>
              <w:tr2bl w:val="nil"/>
            </w:tcBorders>
            <w:noWrap w:val="0"/>
            <w:vAlign w:val="center"/>
          </w:tcPr>
          <w:p w14:paraId="3DEBC27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A06CB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192AE517">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565D445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砷</w:t>
            </w:r>
          </w:p>
        </w:tc>
        <w:tc>
          <w:tcPr>
            <w:tcW w:w="1130" w:type="dxa"/>
            <w:tcBorders>
              <w:tl2br w:val="nil"/>
              <w:tr2bl w:val="nil"/>
            </w:tcBorders>
            <w:noWrap w:val="0"/>
            <w:vAlign w:val="center"/>
          </w:tcPr>
          <w:p w14:paraId="0ACEBBD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230" w:type="dxa"/>
            <w:tcBorders>
              <w:tl2br w:val="nil"/>
              <w:tr2bl w:val="nil"/>
            </w:tcBorders>
            <w:noWrap w:val="0"/>
            <w:vAlign w:val="center"/>
          </w:tcPr>
          <w:p w14:paraId="6564CE7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172" w:type="dxa"/>
            <w:tcBorders>
              <w:tl2br w:val="nil"/>
              <w:tr2bl w:val="nil"/>
            </w:tcBorders>
            <w:noWrap w:val="0"/>
            <w:vAlign w:val="center"/>
          </w:tcPr>
          <w:p w14:paraId="2EC7FFF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956" w:type="dxa"/>
            <w:tcBorders>
              <w:tl2br w:val="nil"/>
              <w:tr2bl w:val="nil"/>
            </w:tcBorders>
            <w:noWrap w:val="0"/>
            <w:vAlign w:val="center"/>
          </w:tcPr>
          <w:p w14:paraId="05A83740">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31" w:type="dxa"/>
            <w:tcBorders>
              <w:tl2br w:val="nil"/>
              <w:tr2bl w:val="nil"/>
            </w:tcBorders>
            <w:noWrap w:val="0"/>
            <w:vAlign w:val="center"/>
          </w:tcPr>
          <w:p w14:paraId="4148ACF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0.006 </w:t>
            </w:r>
          </w:p>
        </w:tc>
        <w:tc>
          <w:tcPr>
            <w:tcW w:w="936" w:type="dxa"/>
            <w:tcBorders>
              <w:tl2br w:val="nil"/>
              <w:tr2bl w:val="nil"/>
            </w:tcBorders>
            <w:noWrap w:val="0"/>
            <w:vAlign w:val="center"/>
          </w:tcPr>
          <w:p w14:paraId="4D596361">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5B1D4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6666AA00">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105C08C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汞</w:t>
            </w:r>
          </w:p>
        </w:tc>
        <w:tc>
          <w:tcPr>
            <w:tcW w:w="1130" w:type="dxa"/>
            <w:tcBorders>
              <w:tl2br w:val="nil"/>
              <w:tr2bl w:val="nil"/>
            </w:tcBorders>
            <w:noWrap w:val="0"/>
            <w:vAlign w:val="center"/>
          </w:tcPr>
          <w:p w14:paraId="4DEF425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0.00004L</w:t>
            </w:r>
          </w:p>
        </w:tc>
        <w:tc>
          <w:tcPr>
            <w:tcW w:w="1230" w:type="dxa"/>
            <w:tcBorders>
              <w:tl2br w:val="nil"/>
              <w:tr2bl w:val="nil"/>
            </w:tcBorders>
            <w:noWrap w:val="0"/>
            <w:vAlign w:val="center"/>
          </w:tcPr>
          <w:p w14:paraId="1F1D9DD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0.00004L</w:t>
            </w:r>
          </w:p>
        </w:tc>
        <w:tc>
          <w:tcPr>
            <w:tcW w:w="1172" w:type="dxa"/>
            <w:tcBorders>
              <w:tl2br w:val="nil"/>
              <w:tr2bl w:val="nil"/>
            </w:tcBorders>
            <w:noWrap w:val="0"/>
            <w:vAlign w:val="center"/>
          </w:tcPr>
          <w:p w14:paraId="72E5034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0.00004L</w:t>
            </w:r>
          </w:p>
        </w:tc>
        <w:tc>
          <w:tcPr>
            <w:tcW w:w="956" w:type="dxa"/>
            <w:tcBorders>
              <w:tl2br w:val="nil"/>
              <w:tr2bl w:val="nil"/>
            </w:tcBorders>
            <w:noWrap w:val="0"/>
            <w:vAlign w:val="center"/>
          </w:tcPr>
          <w:p w14:paraId="418B5FB1">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0.0001</w:t>
            </w:r>
          </w:p>
        </w:tc>
        <w:tc>
          <w:tcPr>
            <w:tcW w:w="1031" w:type="dxa"/>
            <w:tcBorders>
              <w:tl2br w:val="nil"/>
              <w:tr2bl w:val="nil"/>
            </w:tcBorders>
            <w:noWrap w:val="0"/>
            <w:vAlign w:val="center"/>
          </w:tcPr>
          <w:p w14:paraId="5EBC41E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0.400 </w:t>
            </w:r>
          </w:p>
        </w:tc>
        <w:tc>
          <w:tcPr>
            <w:tcW w:w="936" w:type="dxa"/>
            <w:tcBorders>
              <w:tl2br w:val="nil"/>
              <w:tr2bl w:val="nil"/>
            </w:tcBorders>
            <w:noWrap w:val="0"/>
            <w:vAlign w:val="center"/>
          </w:tcPr>
          <w:p w14:paraId="5D356E1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37B37F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677FC6D4">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6B1F721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镉</w:t>
            </w:r>
          </w:p>
        </w:tc>
        <w:tc>
          <w:tcPr>
            <w:tcW w:w="1130" w:type="dxa"/>
            <w:tcBorders>
              <w:tl2br w:val="nil"/>
              <w:tr2bl w:val="nil"/>
            </w:tcBorders>
            <w:noWrap w:val="0"/>
            <w:vAlign w:val="center"/>
          </w:tcPr>
          <w:p w14:paraId="37BB300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0.0001L</w:t>
            </w:r>
          </w:p>
        </w:tc>
        <w:tc>
          <w:tcPr>
            <w:tcW w:w="1230" w:type="dxa"/>
            <w:tcBorders>
              <w:tl2br w:val="nil"/>
              <w:tr2bl w:val="nil"/>
            </w:tcBorders>
            <w:noWrap w:val="0"/>
            <w:vAlign w:val="center"/>
          </w:tcPr>
          <w:p w14:paraId="714CDBD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0.0001L</w:t>
            </w:r>
          </w:p>
        </w:tc>
        <w:tc>
          <w:tcPr>
            <w:tcW w:w="1172" w:type="dxa"/>
            <w:tcBorders>
              <w:tl2br w:val="nil"/>
              <w:tr2bl w:val="nil"/>
            </w:tcBorders>
            <w:noWrap w:val="0"/>
            <w:vAlign w:val="center"/>
          </w:tcPr>
          <w:p w14:paraId="472C90C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0.0001L</w:t>
            </w:r>
          </w:p>
        </w:tc>
        <w:tc>
          <w:tcPr>
            <w:tcW w:w="956" w:type="dxa"/>
            <w:tcBorders>
              <w:tl2br w:val="nil"/>
              <w:tr2bl w:val="nil"/>
            </w:tcBorders>
            <w:noWrap w:val="0"/>
            <w:vAlign w:val="center"/>
          </w:tcPr>
          <w:p w14:paraId="163800F3">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0.005</w:t>
            </w:r>
          </w:p>
        </w:tc>
        <w:tc>
          <w:tcPr>
            <w:tcW w:w="1031" w:type="dxa"/>
            <w:tcBorders>
              <w:tl2br w:val="nil"/>
              <w:tr2bl w:val="nil"/>
            </w:tcBorders>
            <w:noWrap w:val="0"/>
            <w:vAlign w:val="center"/>
          </w:tcPr>
          <w:p w14:paraId="39B387DB">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0.020 </w:t>
            </w:r>
          </w:p>
        </w:tc>
        <w:tc>
          <w:tcPr>
            <w:tcW w:w="936" w:type="dxa"/>
            <w:tcBorders>
              <w:tl2br w:val="nil"/>
              <w:tr2bl w:val="nil"/>
            </w:tcBorders>
            <w:noWrap w:val="0"/>
            <w:vAlign w:val="center"/>
          </w:tcPr>
          <w:p w14:paraId="797A442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7E7A8D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3D83F74C">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2B167BA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铅</w:t>
            </w:r>
          </w:p>
        </w:tc>
        <w:tc>
          <w:tcPr>
            <w:tcW w:w="1130" w:type="dxa"/>
            <w:tcBorders>
              <w:tl2br w:val="nil"/>
              <w:tr2bl w:val="nil"/>
            </w:tcBorders>
            <w:noWrap w:val="0"/>
            <w:vAlign w:val="center"/>
          </w:tcPr>
          <w:p w14:paraId="0D70CB0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230" w:type="dxa"/>
            <w:tcBorders>
              <w:tl2br w:val="nil"/>
              <w:tr2bl w:val="nil"/>
            </w:tcBorders>
            <w:noWrap w:val="0"/>
            <w:vAlign w:val="center"/>
          </w:tcPr>
          <w:p w14:paraId="3D0579B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172" w:type="dxa"/>
            <w:tcBorders>
              <w:tl2br w:val="nil"/>
              <w:tr2bl w:val="nil"/>
            </w:tcBorders>
            <w:noWrap w:val="0"/>
            <w:vAlign w:val="center"/>
          </w:tcPr>
          <w:p w14:paraId="386CA67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956" w:type="dxa"/>
            <w:tcBorders>
              <w:tl2br w:val="nil"/>
              <w:tr2bl w:val="nil"/>
            </w:tcBorders>
            <w:noWrap w:val="0"/>
            <w:vAlign w:val="center"/>
          </w:tcPr>
          <w:p w14:paraId="4EE694BB">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31" w:type="dxa"/>
            <w:tcBorders>
              <w:tl2br w:val="nil"/>
              <w:tr2bl w:val="nil"/>
            </w:tcBorders>
            <w:noWrap w:val="0"/>
            <w:vAlign w:val="center"/>
          </w:tcPr>
          <w:p w14:paraId="121025B3">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0.020 </w:t>
            </w:r>
          </w:p>
        </w:tc>
        <w:tc>
          <w:tcPr>
            <w:tcW w:w="936" w:type="dxa"/>
            <w:tcBorders>
              <w:tl2br w:val="nil"/>
              <w:tr2bl w:val="nil"/>
            </w:tcBorders>
            <w:noWrap w:val="0"/>
            <w:vAlign w:val="center"/>
          </w:tcPr>
          <w:p w14:paraId="67D8FF6D">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796370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4864AD25">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0B27260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铜</w:t>
            </w:r>
          </w:p>
        </w:tc>
        <w:tc>
          <w:tcPr>
            <w:tcW w:w="1130" w:type="dxa"/>
            <w:tcBorders>
              <w:tl2br w:val="nil"/>
              <w:tr2bl w:val="nil"/>
            </w:tcBorders>
            <w:noWrap w:val="0"/>
            <w:vAlign w:val="center"/>
          </w:tcPr>
          <w:p w14:paraId="6D67DAF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230" w:type="dxa"/>
            <w:tcBorders>
              <w:tl2br w:val="nil"/>
              <w:tr2bl w:val="nil"/>
            </w:tcBorders>
            <w:noWrap w:val="0"/>
            <w:vAlign w:val="center"/>
          </w:tcPr>
          <w:p w14:paraId="6332E74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172" w:type="dxa"/>
            <w:tcBorders>
              <w:tl2br w:val="nil"/>
              <w:tr2bl w:val="nil"/>
            </w:tcBorders>
            <w:noWrap w:val="0"/>
            <w:vAlign w:val="center"/>
          </w:tcPr>
          <w:p w14:paraId="1CC1B7B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956" w:type="dxa"/>
            <w:tcBorders>
              <w:tl2br w:val="nil"/>
              <w:tr2bl w:val="nil"/>
            </w:tcBorders>
            <w:noWrap w:val="0"/>
            <w:vAlign w:val="center"/>
          </w:tcPr>
          <w:p w14:paraId="337A4773">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234CC76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0.001 </w:t>
            </w:r>
          </w:p>
        </w:tc>
        <w:tc>
          <w:tcPr>
            <w:tcW w:w="936" w:type="dxa"/>
            <w:tcBorders>
              <w:tl2br w:val="nil"/>
              <w:tr2bl w:val="nil"/>
            </w:tcBorders>
            <w:noWrap w:val="0"/>
            <w:vAlign w:val="center"/>
          </w:tcPr>
          <w:p w14:paraId="10D079F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2D186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08743A02">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60C4499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锌</w:t>
            </w:r>
          </w:p>
        </w:tc>
        <w:tc>
          <w:tcPr>
            <w:tcW w:w="1130" w:type="dxa"/>
            <w:tcBorders>
              <w:tl2br w:val="nil"/>
              <w:tr2bl w:val="nil"/>
            </w:tcBorders>
            <w:noWrap w:val="0"/>
            <w:vAlign w:val="center"/>
          </w:tcPr>
          <w:p w14:paraId="6667693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230" w:type="dxa"/>
            <w:tcBorders>
              <w:tl2br w:val="nil"/>
              <w:tr2bl w:val="nil"/>
            </w:tcBorders>
            <w:noWrap w:val="0"/>
            <w:vAlign w:val="center"/>
          </w:tcPr>
          <w:p w14:paraId="453F861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172" w:type="dxa"/>
            <w:tcBorders>
              <w:tl2br w:val="nil"/>
              <w:tr2bl w:val="nil"/>
            </w:tcBorders>
            <w:noWrap w:val="0"/>
            <w:vAlign w:val="center"/>
          </w:tcPr>
          <w:p w14:paraId="202B34C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956" w:type="dxa"/>
            <w:tcBorders>
              <w:tl2br w:val="nil"/>
              <w:tr2bl w:val="nil"/>
            </w:tcBorders>
            <w:noWrap w:val="0"/>
            <w:vAlign w:val="center"/>
          </w:tcPr>
          <w:p w14:paraId="4171A4A5">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01B305A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0.050 </w:t>
            </w:r>
          </w:p>
        </w:tc>
        <w:tc>
          <w:tcPr>
            <w:tcW w:w="936" w:type="dxa"/>
            <w:tcBorders>
              <w:tl2br w:val="nil"/>
              <w:tr2bl w:val="nil"/>
            </w:tcBorders>
            <w:noWrap w:val="0"/>
            <w:vAlign w:val="center"/>
          </w:tcPr>
          <w:p w14:paraId="2A70B1D3">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66CEC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6E4C0414">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2C5177D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铁</w:t>
            </w:r>
          </w:p>
        </w:tc>
        <w:tc>
          <w:tcPr>
            <w:tcW w:w="1130" w:type="dxa"/>
            <w:tcBorders>
              <w:tl2br w:val="nil"/>
              <w:tr2bl w:val="nil"/>
            </w:tcBorders>
            <w:noWrap w:val="0"/>
            <w:vAlign w:val="center"/>
          </w:tcPr>
          <w:p w14:paraId="4EB9EBE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0.03L</w:t>
            </w:r>
          </w:p>
        </w:tc>
        <w:tc>
          <w:tcPr>
            <w:tcW w:w="1230" w:type="dxa"/>
            <w:tcBorders>
              <w:tl2br w:val="nil"/>
              <w:tr2bl w:val="nil"/>
            </w:tcBorders>
            <w:noWrap w:val="0"/>
            <w:vAlign w:val="center"/>
          </w:tcPr>
          <w:p w14:paraId="11CA59D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0.03L</w:t>
            </w:r>
          </w:p>
        </w:tc>
        <w:tc>
          <w:tcPr>
            <w:tcW w:w="1172" w:type="dxa"/>
            <w:tcBorders>
              <w:tl2br w:val="nil"/>
              <w:tr2bl w:val="nil"/>
            </w:tcBorders>
            <w:noWrap w:val="0"/>
            <w:vAlign w:val="center"/>
          </w:tcPr>
          <w:p w14:paraId="6AAE0A7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0.03L</w:t>
            </w:r>
          </w:p>
        </w:tc>
        <w:tc>
          <w:tcPr>
            <w:tcW w:w="956" w:type="dxa"/>
            <w:tcBorders>
              <w:tl2br w:val="nil"/>
              <w:tr2bl w:val="nil"/>
            </w:tcBorders>
            <w:noWrap w:val="0"/>
            <w:vAlign w:val="center"/>
          </w:tcPr>
          <w:p w14:paraId="4A80F309">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0.3</w:t>
            </w:r>
          </w:p>
        </w:tc>
        <w:tc>
          <w:tcPr>
            <w:tcW w:w="1031" w:type="dxa"/>
            <w:tcBorders>
              <w:tl2br w:val="nil"/>
              <w:tr2bl w:val="nil"/>
            </w:tcBorders>
            <w:noWrap w:val="0"/>
            <w:vAlign w:val="center"/>
          </w:tcPr>
          <w:p w14:paraId="575B6C30">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0.100 </w:t>
            </w:r>
          </w:p>
        </w:tc>
        <w:tc>
          <w:tcPr>
            <w:tcW w:w="936" w:type="dxa"/>
            <w:tcBorders>
              <w:tl2br w:val="nil"/>
              <w:tr2bl w:val="nil"/>
            </w:tcBorders>
            <w:noWrap w:val="0"/>
            <w:vAlign w:val="center"/>
          </w:tcPr>
          <w:p w14:paraId="0B8675AB">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E7CDF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2FEEDB1F">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40BA251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锰</w:t>
            </w:r>
          </w:p>
        </w:tc>
        <w:tc>
          <w:tcPr>
            <w:tcW w:w="1130" w:type="dxa"/>
            <w:tcBorders>
              <w:tl2br w:val="nil"/>
              <w:tr2bl w:val="nil"/>
            </w:tcBorders>
            <w:noWrap w:val="0"/>
            <w:vAlign w:val="center"/>
          </w:tcPr>
          <w:p w14:paraId="4666FE3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230" w:type="dxa"/>
            <w:tcBorders>
              <w:tl2br w:val="nil"/>
              <w:tr2bl w:val="nil"/>
            </w:tcBorders>
            <w:noWrap w:val="0"/>
            <w:vAlign w:val="center"/>
          </w:tcPr>
          <w:p w14:paraId="52516C0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172" w:type="dxa"/>
            <w:tcBorders>
              <w:tl2br w:val="nil"/>
              <w:tr2bl w:val="nil"/>
            </w:tcBorders>
            <w:noWrap w:val="0"/>
            <w:vAlign w:val="center"/>
          </w:tcPr>
          <w:p w14:paraId="149F995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956" w:type="dxa"/>
            <w:tcBorders>
              <w:tl2br w:val="nil"/>
              <w:tr2bl w:val="nil"/>
            </w:tcBorders>
            <w:noWrap w:val="0"/>
            <w:vAlign w:val="center"/>
          </w:tcPr>
          <w:p w14:paraId="3F62AEE8">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0.1</w:t>
            </w:r>
          </w:p>
        </w:tc>
        <w:tc>
          <w:tcPr>
            <w:tcW w:w="1031" w:type="dxa"/>
            <w:tcBorders>
              <w:tl2br w:val="nil"/>
              <w:tr2bl w:val="nil"/>
            </w:tcBorders>
            <w:noWrap w:val="0"/>
            <w:vAlign w:val="center"/>
          </w:tcPr>
          <w:p w14:paraId="19C7930E">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0.100 </w:t>
            </w:r>
          </w:p>
        </w:tc>
        <w:tc>
          <w:tcPr>
            <w:tcW w:w="936" w:type="dxa"/>
            <w:tcBorders>
              <w:tl2br w:val="nil"/>
              <w:tr2bl w:val="nil"/>
            </w:tcBorders>
            <w:noWrap w:val="0"/>
            <w:vAlign w:val="center"/>
          </w:tcPr>
          <w:p w14:paraId="30F412D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35F6D1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1A232E2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724DCD7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vertAlign w:val="baseline"/>
                <w:lang w:val="en-US" w:eastAsia="zh-CN" w:bidi="ar-SA"/>
              </w:rPr>
            </w:pPr>
            <w:r>
              <w:rPr>
                <w:rFonts w:hint="default" w:ascii="Times New Roman" w:hAnsi="Times New Roman" w:eastAsia="宋体" w:cs="Times New Roman"/>
                <w:sz w:val="21"/>
                <w:szCs w:val="21"/>
                <w:lang w:val="en-US" w:eastAsia="zh-CN"/>
              </w:rPr>
              <w:t>六价铬</w:t>
            </w:r>
          </w:p>
        </w:tc>
        <w:tc>
          <w:tcPr>
            <w:tcW w:w="1130" w:type="dxa"/>
            <w:tcBorders>
              <w:tl2br w:val="nil"/>
              <w:tr2bl w:val="nil"/>
            </w:tcBorders>
            <w:noWrap w:val="0"/>
            <w:vAlign w:val="center"/>
          </w:tcPr>
          <w:p w14:paraId="13E2A68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1230" w:type="dxa"/>
            <w:tcBorders>
              <w:tl2br w:val="nil"/>
              <w:tr2bl w:val="nil"/>
            </w:tcBorders>
            <w:noWrap w:val="0"/>
            <w:vAlign w:val="center"/>
          </w:tcPr>
          <w:p w14:paraId="50EB941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1172" w:type="dxa"/>
            <w:tcBorders>
              <w:tl2br w:val="nil"/>
              <w:tr2bl w:val="nil"/>
            </w:tcBorders>
            <w:noWrap w:val="0"/>
            <w:vAlign w:val="center"/>
          </w:tcPr>
          <w:p w14:paraId="14BD698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956" w:type="dxa"/>
            <w:tcBorders>
              <w:tl2br w:val="nil"/>
              <w:tr2bl w:val="nil"/>
            </w:tcBorders>
            <w:noWrap w:val="0"/>
            <w:vAlign w:val="center"/>
          </w:tcPr>
          <w:p w14:paraId="3CCAA090">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31" w:type="dxa"/>
            <w:tcBorders>
              <w:tl2br w:val="nil"/>
              <w:tr2bl w:val="nil"/>
            </w:tcBorders>
            <w:noWrap w:val="0"/>
            <w:vAlign w:val="center"/>
          </w:tcPr>
          <w:p w14:paraId="263895E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0.080 </w:t>
            </w:r>
          </w:p>
        </w:tc>
        <w:tc>
          <w:tcPr>
            <w:tcW w:w="936" w:type="dxa"/>
            <w:tcBorders>
              <w:tl2br w:val="nil"/>
              <w:tr2bl w:val="nil"/>
            </w:tcBorders>
            <w:noWrap w:val="0"/>
            <w:vAlign w:val="center"/>
          </w:tcPr>
          <w:p w14:paraId="3AB7D73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0DFAE7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255044F8">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641D2E6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氰化物</w:t>
            </w:r>
          </w:p>
        </w:tc>
        <w:tc>
          <w:tcPr>
            <w:tcW w:w="1130" w:type="dxa"/>
            <w:tcBorders>
              <w:tl2br w:val="nil"/>
              <w:tr2bl w:val="nil"/>
            </w:tcBorders>
            <w:noWrap w:val="0"/>
            <w:vAlign w:val="center"/>
          </w:tcPr>
          <w:p w14:paraId="520A6A5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1230" w:type="dxa"/>
            <w:tcBorders>
              <w:tl2br w:val="nil"/>
              <w:tr2bl w:val="nil"/>
            </w:tcBorders>
            <w:noWrap w:val="0"/>
            <w:vAlign w:val="center"/>
          </w:tcPr>
          <w:p w14:paraId="111BCFD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1172" w:type="dxa"/>
            <w:tcBorders>
              <w:tl2br w:val="nil"/>
              <w:tr2bl w:val="nil"/>
            </w:tcBorders>
            <w:noWrap w:val="0"/>
            <w:vAlign w:val="center"/>
          </w:tcPr>
          <w:p w14:paraId="1C2B82A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0.004L</w:t>
            </w:r>
          </w:p>
        </w:tc>
        <w:tc>
          <w:tcPr>
            <w:tcW w:w="956" w:type="dxa"/>
            <w:tcBorders>
              <w:tl2br w:val="nil"/>
              <w:tr2bl w:val="nil"/>
            </w:tcBorders>
            <w:noWrap w:val="0"/>
            <w:vAlign w:val="center"/>
          </w:tcPr>
          <w:p w14:paraId="13F90F53">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0.2</w:t>
            </w:r>
          </w:p>
        </w:tc>
        <w:tc>
          <w:tcPr>
            <w:tcW w:w="1031" w:type="dxa"/>
            <w:tcBorders>
              <w:tl2br w:val="nil"/>
              <w:tr2bl w:val="nil"/>
            </w:tcBorders>
            <w:noWrap w:val="0"/>
            <w:vAlign w:val="center"/>
          </w:tcPr>
          <w:p w14:paraId="40A49B2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0.020 </w:t>
            </w:r>
          </w:p>
        </w:tc>
        <w:tc>
          <w:tcPr>
            <w:tcW w:w="936" w:type="dxa"/>
            <w:tcBorders>
              <w:tl2br w:val="nil"/>
              <w:tr2bl w:val="nil"/>
            </w:tcBorders>
            <w:noWrap w:val="0"/>
            <w:vAlign w:val="center"/>
          </w:tcPr>
          <w:p w14:paraId="14AC257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759A36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5EDF0753">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72E3B30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粪大肠菌群</w:t>
            </w:r>
          </w:p>
        </w:tc>
        <w:tc>
          <w:tcPr>
            <w:tcW w:w="1130" w:type="dxa"/>
            <w:tcBorders>
              <w:tl2br w:val="nil"/>
              <w:tr2bl w:val="nil"/>
            </w:tcBorders>
            <w:noWrap w:val="0"/>
            <w:vAlign w:val="center"/>
          </w:tcPr>
          <w:p w14:paraId="480EC53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1.3×10</w:t>
            </w:r>
            <w:r>
              <w:rPr>
                <w:rFonts w:hint="default" w:ascii="Times New Roman" w:hAnsi="Times New Roman" w:eastAsia="宋体" w:cs="Times New Roman"/>
                <w:sz w:val="21"/>
                <w:szCs w:val="21"/>
                <w:vertAlign w:val="superscript"/>
                <w:lang w:val="en-US" w:eastAsia="zh-CN"/>
              </w:rPr>
              <w:t>2</w:t>
            </w:r>
          </w:p>
        </w:tc>
        <w:tc>
          <w:tcPr>
            <w:tcW w:w="1230" w:type="dxa"/>
            <w:tcBorders>
              <w:tl2br w:val="nil"/>
              <w:tr2bl w:val="nil"/>
            </w:tcBorders>
            <w:noWrap w:val="0"/>
            <w:vAlign w:val="center"/>
          </w:tcPr>
          <w:p w14:paraId="76D8ECF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1.4×10</w:t>
            </w:r>
            <w:r>
              <w:rPr>
                <w:rFonts w:hint="default" w:ascii="Times New Roman" w:hAnsi="Times New Roman" w:eastAsia="宋体" w:cs="Times New Roman"/>
                <w:sz w:val="21"/>
                <w:szCs w:val="21"/>
                <w:vertAlign w:val="superscript"/>
                <w:lang w:val="en-US" w:eastAsia="zh-CN"/>
              </w:rPr>
              <w:t>2</w:t>
            </w:r>
          </w:p>
        </w:tc>
        <w:tc>
          <w:tcPr>
            <w:tcW w:w="1172" w:type="dxa"/>
            <w:tcBorders>
              <w:tl2br w:val="nil"/>
              <w:tr2bl w:val="nil"/>
            </w:tcBorders>
            <w:noWrap w:val="0"/>
            <w:vAlign w:val="center"/>
          </w:tcPr>
          <w:p w14:paraId="1EB653F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1.2×10</w:t>
            </w:r>
            <w:r>
              <w:rPr>
                <w:rFonts w:hint="default" w:ascii="Times New Roman" w:hAnsi="Times New Roman" w:eastAsia="宋体" w:cs="Times New Roman"/>
                <w:sz w:val="21"/>
                <w:szCs w:val="21"/>
                <w:vertAlign w:val="superscript"/>
                <w:lang w:val="en-US" w:eastAsia="zh-CN"/>
              </w:rPr>
              <w:t>2</w:t>
            </w:r>
          </w:p>
        </w:tc>
        <w:tc>
          <w:tcPr>
            <w:tcW w:w="956" w:type="dxa"/>
            <w:tcBorders>
              <w:tl2br w:val="nil"/>
              <w:tr2bl w:val="nil"/>
            </w:tcBorders>
            <w:noWrap w:val="0"/>
            <w:vAlign w:val="center"/>
          </w:tcPr>
          <w:p w14:paraId="4D38B311">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10000</w:t>
            </w:r>
          </w:p>
        </w:tc>
        <w:tc>
          <w:tcPr>
            <w:tcW w:w="1031" w:type="dxa"/>
            <w:tcBorders>
              <w:tl2br w:val="nil"/>
              <w:tr2bl w:val="nil"/>
            </w:tcBorders>
            <w:noWrap w:val="0"/>
            <w:vAlign w:val="center"/>
          </w:tcPr>
          <w:p w14:paraId="247951E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0.016 </w:t>
            </w:r>
          </w:p>
        </w:tc>
        <w:tc>
          <w:tcPr>
            <w:tcW w:w="936" w:type="dxa"/>
            <w:tcBorders>
              <w:tl2br w:val="nil"/>
              <w:tr2bl w:val="nil"/>
            </w:tcBorders>
            <w:noWrap w:val="0"/>
            <w:vAlign w:val="center"/>
          </w:tcPr>
          <w:p w14:paraId="507A47DC">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FD528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59D58168">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1EC9C7D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五日生化需氧量</w:t>
            </w:r>
          </w:p>
        </w:tc>
        <w:tc>
          <w:tcPr>
            <w:tcW w:w="1130" w:type="dxa"/>
            <w:tcBorders>
              <w:tl2br w:val="nil"/>
              <w:tr2bl w:val="nil"/>
            </w:tcBorders>
            <w:noWrap w:val="0"/>
            <w:vAlign w:val="center"/>
          </w:tcPr>
          <w:p w14:paraId="2783D5C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3.2</w:t>
            </w:r>
          </w:p>
        </w:tc>
        <w:tc>
          <w:tcPr>
            <w:tcW w:w="1230" w:type="dxa"/>
            <w:tcBorders>
              <w:tl2br w:val="nil"/>
              <w:tr2bl w:val="nil"/>
            </w:tcBorders>
            <w:noWrap w:val="0"/>
            <w:vAlign w:val="center"/>
          </w:tcPr>
          <w:p w14:paraId="086167C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3.1</w:t>
            </w:r>
          </w:p>
        </w:tc>
        <w:tc>
          <w:tcPr>
            <w:tcW w:w="1172" w:type="dxa"/>
            <w:tcBorders>
              <w:tl2br w:val="nil"/>
              <w:tr2bl w:val="nil"/>
            </w:tcBorders>
            <w:noWrap w:val="0"/>
            <w:vAlign w:val="center"/>
          </w:tcPr>
          <w:p w14:paraId="66A0BBB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3.3</w:t>
            </w:r>
          </w:p>
        </w:tc>
        <w:tc>
          <w:tcPr>
            <w:tcW w:w="956" w:type="dxa"/>
            <w:tcBorders>
              <w:tl2br w:val="nil"/>
              <w:tr2bl w:val="nil"/>
            </w:tcBorders>
            <w:noWrap w:val="0"/>
            <w:vAlign w:val="center"/>
          </w:tcPr>
          <w:p w14:paraId="33721A4C">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4</w:t>
            </w:r>
          </w:p>
        </w:tc>
        <w:tc>
          <w:tcPr>
            <w:tcW w:w="1031" w:type="dxa"/>
            <w:tcBorders>
              <w:tl2br w:val="nil"/>
              <w:tr2bl w:val="nil"/>
            </w:tcBorders>
            <w:noWrap w:val="0"/>
            <w:vAlign w:val="center"/>
          </w:tcPr>
          <w:p w14:paraId="33AC7503">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0.825 </w:t>
            </w:r>
          </w:p>
        </w:tc>
        <w:tc>
          <w:tcPr>
            <w:tcW w:w="936" w:type="dxa"/>
            <w:tcBorders>
              <w:tl2br w:val="nil"/>
              <w:tr2bl w:val="nil"/>
            </w:tcBorders>
            <w:noWrap w:val="0"/>
            <w:vAlign w:val="center"/>
          </w:tcPr>
          <w:p w14:paraId="0982A65B">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5FAA2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149E254C">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194E68C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氟化物</w:t>
            </w:r>
          </w:p>
        </w:tc>
        <w:tc>
          <w:tcPr>
            <w:tcW w:w="1130" w:type="dxa"/>
            <w:tcBorders>
              <w:tl2br w:val="nil"/>
              <w:tr2bl w:val="nil"/>
            </w:tcBorders>
            <w:noWrap w:val="0"/>
            <w:vAlign w:val="center"/>
          </w:tcPr>
          <w:p w14:paraId="199E254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0.342</w:t>
            </w:r>
          </w:p>
        </w:tc>
        <w:tc>
          <w:tcPr>
            <w:tcW w:w="1230" w:type="dxa"/>
            <w:tcBorders>
              <w:tl2br w:val="nil"/>
              <w:tr2bl w:val="nil"/>
            </w:tcBorders>
            <w:noWrap w:val="0"/>
            <w:vAlign w:val="center"/>
          </w:tcPr>
          <w:p w14:paraId="1A9547B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0.332 </w:t>
            </w:r>
          </w:p>
        </w:tc>
        <w:tc>
          <w:tcPr>
            <w:tcW w:w="1172" w:type="dxa"/>
            <w:tcBorders>
              <w:tl2br w:val="nil"/>
              <w:tr2bl w:val="nil"/>
            </w:tcBorders>
            <w:noWrap w:val="0"/>
            <w:vAlign w:val="center"/>
          </w:tcPr>
          <w:p w14:paraId="6F627A9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0.334 </w:t>
            </w:r>
          </w:p>
        </w:tc>
        <w:tc>
          <w:tcPr>
            <w:tcW w:w="956" w:type="dxa"/>
            <w:tcBorders>
              <w:tl2br w:val="nil"/>
              <w:tr2bl w:val="nil"/>
            </w:tcBorders>
            <w:noWrap w:val="0"/>
            <w:vAlign w:val="center"/>
          </w:tcPr>
          <w:p w14:paraId="0C7CDBAD">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28C2C76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0.342 </w:t>
            </w:r>
          </w:p>
        </w:tc>
        <w:tc>
          <w:tcPr>
            <w:tcW w:w="936" w:type="dxa"/>
            <w:tcBorders>
              <w:tl2br w:val="nil"/>
              <w:tr2bl w:val="nil"/>
            </w:tcBorders>
            <w:noWrap w:val="0"/>
            <w:vAlign w:val="center"/>
          </w:tcPr>
          <w:p w14:paraId="2C90509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AF7FC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6A20A8D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04B06BC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氯化物</w:t>
            </w:r>
          </w:p>
        </w:tc>
        <w:tc>
          <w:tcPr>
            <w:tcW w:w="1130" w:type="dxa"/>
            <w:tcBorders>
              <w:tl2br w:val="nil"/>
              <w:tr2bl w:val="nil"/>
            </w:tcBorders>
            <w:noWrap w:val="0"/>
            <w:vAlign w:val="center"/>
          </w:tcPr>
          <w:p w14:paraId="0F86BF9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5.01</w:t>
            </w:r>
          </w:p>
        </w:tc>
        <w:tc>
          <w:tcPr>
            <w:tcW w:w="1230" w:type="dxa"/>
            <w:tcBorders>
              <w:tl2br w:val="nil"/>
              <w:tr2bl w:val="nil"/>
            </w:tcBorders>
            <w:noWrap w:val="0"/>
            <w:vAlign w:val="center"/>
          </w:tcPr>
          <w:p w14:paraId="1526EA5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4.99</w:t>
            </w:r>
          </w:p>
        </w:tc>
        <w:tc>
          <w:tcPr>
            <w:tcW w:w="1172" w:type="dxa"/>
            <w:tcBorders>
              <w:tl2br w:val="nil"/>
              <w:tr2bl w:val="nil"/>
            </w:tcBorders>
            <w:noWrap w:val="0"/>
            <w:vAlign w:val="center"/>
          </w:tcPr>
          <w:p w14:paraId="7DA815E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5.00 </w:t>
            </w:r>
          </w:p>
        </w:tc>
        <w:tc>
          <w:tcPr>
            <w:tcW w:w="956" w:type="dxa"/>
            <w:tcBorders>
              <w:tl2br w:val="nil"/>
              <w:tr2bl w:val="nil"/>
            </w:tcBorders>
            <w:noWrap w:val="0"/>
            <w:vAlign w:val="center"/>
          </w:tcPr>
          <w:p w14:paraId="5DD0BC3C">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250</w:t>
            </w:r>
          </w:p>
        </w:tc>
        <w:tc>
          <w:tcPr>
            <w:tcW w:w="1031" w:type="dxa"/>
            <w:tcBorders>
              <w:tl2br w:val="nil"/>
              <w:tr2bl w:val="nil"/>
            </w:tcBorders>
            <w:noWrap w:val="0"/>
            <w:vAlign w:val="center"/>
          </w:tcPr>
          <w:p w14:paraId="5E7D81D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0.020 </w:t>
            </w:r>
          </w:p>
        </w:tc>
        <w:tc>
          <w:tcPr>
            <w:tcW w:w="936" w:type="dxa"/>
            <w:tcBorders>
              <w:tl2br w:val="nil"/>
              <w:tr2bl w:val="nil"/>
            </w:tcBorders>
            <w:noWrap w:val="0"/>
            <w:vAlign w:val="center"/>
          </w:tcPr>
          <w:p w14:paraId="6B04F9A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7A0E2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16403E21">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78B7233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硫酸盐</w:t>
            </w:r>
          </w:p>
        </w:tc>
        <w:tc>
          <w:tcPr>
            <w:tcW w:w="1130" w:type="dxa"/>
            <w:tcBorders>
              <w:tl2br w:val="nil"/>
              <w:tr2bl w:val="nil"/>
            </w:tcBorders>
            <w:noWrap w:val="0"/>
            <w:vAlign w:val="center"/>
          </w:tcPr>
          <w:p w14:paraId="03834C1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15.5</w:t>
            </w:r>
          </w:p>
        </w:tc>
        <w:tc>
          <w:tcPr>
            <w:tcW w:w="1230" w:type="dxa"/>
            <w:tcBorders>
              <w:tl2br w:val="nil"/>
              <w:tr2bl w:val="nil"/>
            </w:tcBorders>
            <w:noWrap w:val="0"/>
            <w:vAlign w:val="center"/>
          </w:tcPr>
          <w:p w14:paraId="61E8B81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15.4</w:t>
            </w:r>
          </w:p>
        </w:tc>
        <w:tc>
          <w:tcPr>
            <w:tcW w:w="1172" w:type="dxa"/>
            <w:tcBorders>
              <w:tl2br w:val="nil"/>
              <w:tr2bl w:val="nil"/>
            </w:tcBorders>
            <w:noWrap w:val="0"/>
            <w:vAlign w:val="center"/>
          </w:tcPr>
          <w:p w14:paraId="1F36545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15.4</w:t>
            </w:r>
          </w:p>
        </w:tc>
        <w:tc>
          <w:tcPr>
            <w:tcW w:w="956" w:type="dxa"/>
            <w:tcBorders>
              <w:tl2br w:val="nil"/>
              <w:tr2bl w:val="nil"/>
            </w:tcBorders>
            <w:noWrap w:val="0"/>
            <w:vAlign w:val="center"/>
          </w:tcPr>
          <w:p w14:paraId="1F2BFACB">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250</w:t>
            </w:r>
          </w:p>
        </w:tc>
        <w:tc>
          <w:tcPr>
            <w:tcW w:w="1031" w:type="dxa"/>
            <w:tcBorders>
              <w:tl2br w:val="nil"/>
              <w:tr2bl w:val="nil"/>
            </w:tcBorders>
            <w:noWrap w:val="0"/>
            <w:vAlign w:val="center"/>
          </w:tcPr>
          <w:p w14:paraId="0BA7B34C">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0.062 </w:t>
            </w:r>
          </w:p>
        </w:tc>
        <w:tc>
          <w:tcPr>
            <w:tcW w:w="936" w:type="dxa"/>
            <w:tcBorders>
              <w:tl2br w:val="nil"/>
              <w:tr2bl w:val="nil"/>
            </w:tcBorders>
            <w:noWrap w:val="0"/>
            <w:vAlign w:val="center"/>
          </w:tcPr>
          <w:p w14:paraId="79A22EBE">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BC0FE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49878BAC">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7735BA6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硝酸盐</w:t>
            </w:r>
          </w:p>
        </w:tc>
        <w:tc>
          <w:tcPr>
            <w:tcW w:w="1130" w:type="dxa"/>
            <w:tcBorders>
              <w:tl2br w:val="nil"/>
              <w:tr2bl w:val="nil"/>
            </w:tcBorders>
            <w:noWrap w:val="0"/>
            <w:vAlign w:val="center"/>
          </w:tcPr>
          <w:p w14:paraId="4797CF4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2.02 </w:t>
            </w:r>
          </w:p>
        </w:tc>
        <w:tc>
          <w:tcPr>
            <w:tcW w:w="1230" w:type="dxa"/>
            <w:tcBorders>
              <w:tl2br w:val="nil"/>
              <w:tr2bl w:val="nil"/>
            </w:tcBorders>
            <w:noWrap w:val="0"/>
            <w:vAlign w:val="center"/>
          </w:tcPr>
          <w:p w14:paraId="5458B44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1.97 </w:t>
            </w:r>
          </w:p>
        </w:tc>
        <w:tc>
          <w:tcPr>
            <w:tcW w:w="1172" w:type="dxa"/>
            <w:tcBorders>
              <w:tl2br w:val="nil"/>
              <w:tr2bl w:val="nil"/>
            </w:tcBorders>
            <w:noWrap w:val="0"/>
            <w:vAlign w:val="center"/>
          </w:tcPr>
          <w:p w14:paraId="34B63AF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1.99 </w:t>
            </w:r>
          </w:p>
        </w:tc>
        <w:tc>
          <w:tcPr>
            <w:tcW w:w="956" w:type="dxa"/>
            <w:tcBorders>
              <w:tl2br w:val="nil"/>
              <w:tr2bl w:val="nil"/>
            </w:tcBorders>
            <w:noWrap w:val="0"/>
            <w:vAlign w:val="center"/>
          </w:tcPr>
          <w:p w14:paraId="35627D6F">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31" w:type="dxa"/>
            <w:tcBorders>
              <w:tl2br w:val="nil"/>
              <w:tr2bl w:val="nil"/>
            </w:tcBorders>
            <w:noWrap w:val="0"/>
            <w:vAlign w:val="center"/>
          </w:tcPr>
          <w:p w14:paraId="0640908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0.202 </w:t>
            </w:r>
          </w:p>
        </w:tc>
        <w:tc>
          <w:tcPr>
            <w:tcW w:w="936" w:type="dxa"/>
            <w:tcBorders>
              <w:tl2br w:val="nil"/>
              <w:tr2bl w:val="nil"/>
            </w:tcBorders>
            <w:noWrap w:val="0"/>
            <w:vAlign w:val="center"/>
          </w:tcPr>
          <w:p w14:paraId="472356EC">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D31D4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1420D58A">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37DA45B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石油类</w:t>
            </w:r>
          </w:p>
        </w:tc>
        <w:tc>
          <w:tcPr>
            <w:tcW w:w="1130" w:type="dxa"/>
            <w:tcBorders>
              <w:tl2br w:val="nil"/>
              <w:tr2bl w:val="nil"/>
            </w:tcBorders>
            <w:noWrap w:val="0"/>
            <w:vAlign w:val="center"/>
          </w:tcPr>
          <w:p w14:paraId="1CC1225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230" w:type="dxa"/>
            <w:tcBorders>
              <w:tl2br w:val="nil"/>
              <w:tr2bl w:val="nil"/>
            </w:tcBorders>
            <w:noWrap w:val="0"/>
            <w:vAlign w:val="center"/>
          </w:tcPr>
          <w:p w14:paraId="6BCE3E4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172" w:type="dxa"/>
            <w:tcBorders>
              <w:tl2br w:val="nil"/>
              <w:tr2bl w:val="nil"/>
            </w:tcBorders>
            <w:noWrap w:val="0"/>
            <w:vAlign w:val="center"/>
          </w:tcPr>
          <w:p w14:paraId="5059E36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956" w:type="dxa"/>
            <w:tcBorders>
              <w:tl2br w:val="nil"/>
              <w:tr2bl w:val="nil"/>
            </w:tcBorders>
            <w:noWrap w:val="0"/>
            <w:vAlign w:val="center"/>
          </w:tcPr>
          <w:p w14:paraId="12CD8448">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31" w:type="dxa"/>
            <w:tcBorders>
              <w:tl2br w:val="nil"/>
              <w:tr2bl w:val="nil"/>
            </w:tcBorders>
            <w:noWrap w:val="0"/>
            <w:vAlign w:val="center"/>
          </w:tcPr>
          <w:p w14:paraId="260E83AB">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0.200 </w:t>
            </w:r>
          </w:p>
        </w:tc>
        <w:tc>
          <w:tcPr>
            <w:tcW w:w="936" w:type="dxa"/>
            <w:tcBorders>
              <w:tl2br w:val="nil"/>
              <w:tr2bl w:val="nil"/>
            </w:tcBorders>
            <w:noWrap w:val="0"/>
            <w:vAlign w:val="center"/>
          </w:tcPr>
          <w:p w14:paraId="1A44A13B">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3D06CC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4CF6A9E3">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77CCB66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挥发酚</w:t>
            </w:r>
          </w:p>
        </w:tc>
        <w:tc>
          <w:tcPr>
            <w:tcW w:w="1130" w:type="dxa"/>
            <w:tcBorders>
              <w:tl2br w:val="nil"/>
              <w:tr2bl w:val="nil"/>
            </w:tcBorders>
            <w:noWrap w:val="0"/>
            <w:vAlign w:val="center"/>
          </w:tcPr>
          <w:p w14:paraId="7635D4A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230" w:type="dxa"/>
            <w:tcBorders>
              <w:tl2br w:val="nil"/>
              <w:tr2bl w:val="nil"/>
            </w:tcBorders>
            <w:noWrap w:val="0"/>
            <w:vAlign w:val="center"/>
          </w:tcPr>
          <w:p w14:paraId="2EC5476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172" w:type="dxa"/>
            <w:tcBorders>
              <w:tl2br w:val="nil"/>
              <w:tr2bl w:val="nil"/>
            </w:tcBorders>
            <w:noWrap w:val="0"/>
            <w:vAlign w:val="center"/>
          </w:tcPr>
          <w:p w14:paraId="5DE47E4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956" w:type="dxa"/>
            <w:tcBorders>
              <w:tl2br w:val="nil"/>
              <w:tr2bl w:val="nil"/>
            </w:tcBorders>
            <w:noWrap w:val="0"/>
            <w:vAlign w:val="center"/>
          </w:tcPr>
          <w:p w14:paraId="769634DC">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0.005</w:t>
            </w:r>
          </w:p>
        </w:tc>
        <w:tc>
          <w:tcPr>
            <w:tcW w:w="1031" w:type="dxa"/>
            <w:tcBorders>
              <w:tl2br w:val="nil"/>
              <w:tr2bl w:val="nil"/>
            </w:tcBorders>
            <w:noWrap w:val="0"/>
            <w:vAlign w:val="center"/>
          </w:tcPr>
          <w:p w14:paraId="7122F282">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0.060 </w:t>
            </w:r>
          </w:p>
        </w:tc>
        <w:tc>
          <w:tcPr>
            <w:tcW w:w="936" w:type="dxa"/>
            <w:tcBorders>
              <w:tl2br w:val="nil"/>
              <w:tr2bl w:val="nil"/>
            </w:tcBorders>
            <w:noWrap w:val="0"/>
            <w:vAlign w:val="center"/>
          </w:tcPr>
          <w:p w14:paraId="17F3529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D3534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7996755F">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21B7617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阴离子表面活性剂</w:t>
            </w:r>
          </w:p>
        </w:tc>
        <w:tc>
          <w:tcPr>
            <w:tcW w:w="1130" w:type="dxa"/>
            <w:tcBorders>
              <w:tl2br w:val="nil"/>
              <w:tr2bl w:val="nil"/>
            </w:tcBorders>
            <w:noWrap w:val="0"/>
            <w:vAlign w:val="center"/>
          </w:tcPr>
          <w:p w14:paraId="48E3FAC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230" w:type="dxa"/>
            <w:tcBorders>
              <w:tl2br w:val="nil"/>
              <w:tr2bl w:val="nil"/>
            </w:tcBorders>
            <w:noWrap w:val="0"/>
            <w:vAlign w:val="center"/>
          </w:tcPr>
          <w:p w14:paraId="3DA676A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172" w:type="dxa"/>
            <w:tcBorders>
              <w:tl2br w:val="nil"/>
              <w:tr2bl w:val="nil"/>
            </w:tcBorders>
            <w:noWrap w:val="0"/>
            <w:vAlign w:val="center"/>
          </w:tcPr>
          <w:p w14:paraId="3506A61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956" w:type="dxa"/>
            <w:tcBorders>
              <w:tl2br w:val="nil"/>
              <w:tr2bl w:val="nil"/>
            </w:tcBorders>
            <w:noWrap w:val="0"/>
            <w:vAlign w:val="center"/>
          </w:tcPr>
          <w:p w14:paraId="0554A40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0.2</w:t>
            </w:r>
          </w:p>
        </w:tc>
        <w:tc>
          <w:tcPr>
            <w:tcW w:w="1031" w:type="dxa"/>
            <w:tcBorders>
              <w:tl2br w:val="nil"/>
              <w:tr2bl w:val="nil"/>
            </w:tcBorders>
            <w:noWrap w:val="0"/>
            <w:vAlign w:val="center"/>
          </w:tcPr>
          <w:p w14:paraId="4764F1AD">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0.250 </w:t>
            </w:r>
          </w:p>
        </w:tc>
        <w:tc>
          <w:tcPr>
            <w:tcW w:w="936" w:type="dxa"/>
            <w:tcBorders>
              <w:tl2br w:val="nil"/>
              <w:tr2bl w:val="nil"/>
            </w:tcBorders>
            <w:noWrap w:val="0"/>
            <w:vAlign w:val="center"/>
          </w:tcPr>
          <w:p w14:paraId="45789D7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389B5E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6518F8D6">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19A0807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硫化物</w:t>
            </w:r>
          </w:p>
        </w:tc>
        <w:tc>
          <w:tcPr>
            <w:tcW w:w="1130" w:type="dxa"/>
            <w:tcBorders>
              <w:tl2br w:val="nil"/>
              <w:tr2bl w:val="nil"/>
            </w:tcBorders>
            <w:noWrap w:val="0"/>
            <w:vAlign w:val="center"/>
          </w:tcPr>
          <w:p w14:paraId="70C7C19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230" w:type="dxa"/>
            <w:tcBorders>
              <w:tl2br w:val="nil"/>
              <w:tr2bl w:val="nil"/>
            </w:tcBorders>
            <w:noWrap w:val="0"/>
            <w:vAlign w:val="center"/>
          </w:tcPr>
          <w:p w14:paraId="204B23F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172" w:type="dxa"/>
            <w:tcBorders>
              <w:tl2br w:val="nil"/>
              <w:tr2bl w:val="nil"/>
            </w:tcBorders>
            <w:noWrap w:val="0"/>
            <w:vAlign w:val="center"/>
          </w:tcPr>
          <w:p w14:paraId="1961411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956" w:type="dxa"/>
            <w:tcBorders>
              <w:tl2br w:val="nil"/>
              <w:tr2bl w:val="nil"/>
            </w:tcBorders>
            <w:noWrap w:val="0"/>
            <w:vAlign w:val="center"/>
          </w:tcPr>
          <w:p w14:paraId="1A5DE897">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0.2</w:t>
            </w:r>
          </w:p>
        </w:tc>
        <w:tc>
          <w:tcPr>
            <w:tcW w:w="1031" w:type="dxa"/>
            <w:tcBorders>
              <w:tl2br w:val="nil"/>
              <w:tr2bl w:val="nil"/>
            </w:tcBorders>
            <w:noWrap w:val="0"/>
            <w:vAlign w:val="center"/>
          </w:tcPr>
          <w:p w14:paraId="4067015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0.050 </w:t>
            </w:r>
          </w:p>
        </w:tc>
        <w:tc>
          <w:tcPr>
            <w:tcW w:w="936" w:type="dxa"/>
            <w:tcBorders>
              <w:tl2br w:val="nil"/>
              <w:tr2bl w:val="nil"/>
            </w:tcBorders>
            <w:noWrap w:val="0"/>
            <w:vAlign w:val="center"/>
          </w:tcPr>
          <w:p w14:paraId="36964EE1">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6F7FB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37799CF2">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735EDC3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悬浮物</w:t>
            </w:r>
          </w:p>
        </w:tc>
        <w:tc>
          <w:tcPr>
            <w:tcW w:w="1130" w:type="dxa"/>
            <w:tcBorders>
              <w:tl2br w:val="nil"/>
              <w:tr2bl w:val="nil"/>
            </w:tcBorders>
            <w:noWrap w:val="0"/>
            <w:vAlign w:val="center"/>
          </w:tcPr>
          <w:p w14:paraId="786F079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9</w:t>
            </w:r>
          </w:p>
        </w:tc>
        <w:tc>
          <w:tcPr>
            <w:tcW w:w="1230" w:type="dxa"/>
            <w:tcBorders>
              <w:tl2br w:val="nil"/>
              <w:tr2bl w:val="nil"/>
            </w:tcBorders>
            <w:noWrap w:val="0"/>
            <w:vAlign w:val="center"/>
          </w:tcPr>
          <w:p w14:paraId="0253983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w:t>
            </w:r>
          </w:p>
        </w:tc>
        <w:tc>
          <w:tcPr>
            <w:tcW w:w="1172" w:type="dxa"/>
            <w:tcBorders>
              <w:tl2br w:val="nil"/>
              <w:tr2bl w:val="nil"/>
            </w:tcBorders>
            <w:noWrap w:val="0"/>
            <w:vAlign w:val="center"/>
          </w:tcPr>
          <w:p w14:paraId="1FA288C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10</w:t>
            </w:r>
          </w:p>
        </w:tc>
        <w:tc>
          <w:tcPr>
            <w:tcW w:w="956" w:type="dxa"/>
            <w:tcBorders>
              <w:tl2br w:val="nil"/>
              <w:tr2bl w:val="nil"/>
            </w:tcBorders>
            <w:noWrap w:val="0"/>
            <w:vAlign w:val="center"/>
          </w:tcPr>
          <w:p w14:paraId="6376C665">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1031" w:type="dxa"/>
            <w:tcBorders>
              <w:tl2br w:val="nil"/>
              <w:tr2bl w:val="nil"/>
            </w:tcBorders>
            <w:noWrap w:val="0"/>
            <w:vAlign w:val="center"/>
          </w:tcPr>
          <w:p w14:paraId="544F817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36" w:type="dxa"/>
            <w:tcBorders>
              <w:tl2br w:val="nil"/>
              <w:tr2bl w:val="nil"/>
            </w:tcBorders>
            <w:noWrap w:val="0"/>
            <w:vAlign w:val="center"/>
          </w:tcPr>
          <w:p w14:paraId="330CF42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r w14:paraId="13F8E5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5" w:type="dxa"/>
            <w:vMerge w:val="continue"/>
            <w:tcBorders>
              <w:tl2br w:val="nil"/>
              <w:tr2bl w:val="nil"/>
            </w:tcBorders>
            <w:noWrap w:val="0"/>
            <w:vAlign w:val="center"/>
          </w:tcPr>
          <w:p w14:paraId="1BC16805">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p>
        </w:tc>
        <w:tc>
          <w:tcPr>
            <w:tcW w:w="1340" w:type="dxa"/>
            <w:tcBorders>
              <w:tl2br w:val="nil"/>
              <w:tr2bl w:val="nil"/>
            </w:tcBorders>
            <w:noWrap w:val="0"/>
            <w:vAlign w:val="center"/>
          </w:tcPr>
          <w:p w14:paraId="0C2E7CA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叶绿素a</w:t>
            </w:r>
          </w:p>
        </w:tc>
        <w:tc>
          <w:tcPr>
            <w:tcW w:w="1130" w:type="dxa"/>
            <w:tcBorders>
              <w:tl2br w:val="nil"/>
              <w:tr2bl w:val="nil"/>
            </w:tcBorders>
            <w:noWrap w:val="0"/>
            <w:vAlign w:val="center"/>
          </w:tcPr>
          <w:p w14:paraId="03082D7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0.33</w:t>
            </w:r>
          </w:p>
        </w:tc>
        <w:tc>
          <w:tcPr>
            <w:tcW w:w="1230" w:type="dxa"/>
            <w:tcBorders>
              <w:tl2br w:val="nil"/>
              <w:tr2bl w:val="nil"/>
            </w:tcBorders>
            <w:noWrap w:val="0"/>
            <w:vAlign w:val="center"/>
          </w:tcPr>
          <w:p w14:paraId="42EF71D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0.30 </w:t>
            </w:r>
          </w:p>
        </w:tc>
        <w:tc>
          <w:tcPr>
            <w:tcW w:w="1172" w:type="dxa"/>
            <w:tcBorders>
              <w:tl2br w:val="nil"/>
              <w:tr2bl w:val="nil"/>
            </w:tcBorders>
            <w:noWrap w:val="0"/>
            <w:vAlign w:val="center"/>
          </w:tcPr>
          <w:p w14:paraId="1E681E8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0.32</w:t>
            </w:r>
          </w:p>
        </w:tc>
        <w:tc>
          <w:tcPr>
            <w:tcW w:w="956" w:type="dxa"/>
            <w:tcBorders>
              <w:tl2br w:val="nil"/>
              <w:tr2bl w:val="nil"/>
            </w:tcBorders>
            <w:noWrap w:val="0"/>
            <w:vAlign w:val="center"/>
          </w:tcPr>
          <w:p w14:paraId="23683769">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1031" w:type="dxa"/>
            <w:tcBorders>
              <w:tl2br w:val="nil"/>
              <w:tr2bl w:val="nil"/>
            </w:tcBorders>
            <w:noWrap w:val="0"/>
            <w:vAlign w:val="center"/>
          </w:tcPr>
          <w:p w14:paraId="0D945ED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36" w:type="dxa"/>
            <w:tcBorders>
              <w:tl2br w:val="nil"/>
              <w:tr2bl w:val="nil"/>
            </w:tcBorders>
            <w:noWrap w:val="0"/>
            <w:vAlign w:val="center"/>
          </w:tcPr>
          <w:p w14:paraId="3505896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bl>
    <w:p w14:paraId="11875972">
      <w:pPr>
        <w:keepNext w:val="0"/>
        <w:keepLines w:val="0"/>
        <w:pageBreakBefore w:val="0"/>
        <w:widowControl w:val="0"/>
        <w:kinsoku w:val="0"/>
        <w:wordWrap w:val="0"/>
        <w:overflowPunct/>
        <w:topLinePunct/>
        <w:autoSpaceDE/>
        <w:autoSpaceDN/>
        <w:bidi w:val="0"/>
        <w:adjustRightInd/>
        <w:snapToGrid/>
        <w:spacing w:before="0" w:beforeLines="50" w:line="360" w:lineRule="auto"/>
        <w:jc w:val="center"/>
        <w:textAlignment w:val="auto"/>
        <w:rPr>
          <w:rFonts w:hint="default" w:ascii="Times New Roman" w:hAnsi="Times New Roman" w:eastAsia="宋体" w:cs="Times New Roman"/>
          <w:b/>
          <w:caps w:val="0"/>
          <w:smallCaps w:val="0"/>
          <w:color w:val="auto"/>
          <w:spacing w:val="0"/>
          <w:w w:val="100"/>
          <w:position w:val="0"/>
          <w:szCs w:val="21"/>
          <w:u w:val="none" w:color="auto"/>
        </w:rPr>
      </w:pPr>
      <w:r>
        <w:rPr>
          <w:rFonts w:hint="default" w:ascii="Times New Roman" w:hAnsi="Times New Roman" w:eastAsia="宋体" w:cs="Times New Roman"/>
          <w:b/>
          <w:caps w:val="0"/>
          <w:smallCaps w:val="0"/>
          <w:color w:val="auto"/>
          <w:spacing w:val="0"/>
          <w:w w:val="100"/>
          <w:position w:val="0"/>
          <w:szCs w:val="21"/>
          <w:u w:val="none" w:color="auto"/>
        </w:rPr>
        <w:t>表3</w:t>
      </w:r>
      <w:r>
        <w:rPr>
          <w:rFonts w:hint="default" w:ascii="Times New Roman" w:hAnsi="Times New Roman" w:eastAsia="宋体" w:cs="Times New Roman"/>
          <w:b/>
          <w:caps w:val="0"/>
          <w:smallCaps w:val="0"/>
          <w:color w:val="auto"/>
          <w:spacing w:val="0"/>
          <w:w w:val="100"/>
          <w:position w:val="0"/>
          <w:szCs w:val="21"/>
          <w:u w:val="none" w:color="auto"/>
          <w:lang w:val="en-US" w:eastAsia="zh-CN"/>
        </w:rPr>
        <w:t>.2</w:t>
      </w:r>
      <w:r>
        <w:rPr>
          <w:rFonts w:hint="default" w:ascii="Times New Roman" w:hAnsi="Times New Roman" w:eastAsia="宋体" w:cs="Times New Roman"/>
          <w:b/>
          <w:caps w:val="0"/>
          <w:smallCaps w:val="0"/>
          <w:color w:val="auto"/>
          <w:spacing w:val="0"/>
          <w:w w:val="100"/>
          <w:position w:val="0"/>
          <w:szCs w:val="21"/>
          <w:u w:val="none" w:color="auto"/>
        </w:rPr>
        <w:t>-</w:t>
      </w:r>
      <w:r>
        <w:rPr>
          <w:rFonts w:hint="default" w:ascii="Times New Roman" w:hAnsi="Times New Roman" w:eastAsia="宋体" w:cs="Times New Roman"/>
          <w:b/>
          <w:caps w:val="0"/>
          <w:smallCaps w:val="0"/>
          <w:color w:val="auto"/>
          <w:spacing w:val="0"/>
          <w:w w:val="100"/>
          <w:position w:val="0"/>
          <w:szCs w:val="21"/>
          <w:u w:val="none" w:color="auto"/>
          <w:lang w:val="en-US" w:eastAsia="zh-CN"/>
        </w:rPr>
        <w:t xml:space="preserve">7  </w:t>
      </w:r>
      <w:r>
        <w:rPr>
          <w:rFonts w:hint="default" w:ascii="Times New Roman" w:hAnsi="Times New Roman" w:eastAsia="宋体" w:cs="Times New Roman"/>
          <w:b/>
          <w:caps w:val="0"/>
          <w:smallCaps w:val="0"/>
          <w:color w:val="auto"/>
          <w:spacing w:val="0"/>
          <w:w w:val="100"/>
          <w:position w:val="0"/>
          <w:szCs w:val="21"/>
          <w:u w:val="none" w:color="auto"/>
        </w:rPr>
        <w:t>水环境质量监测结果表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4"/>
        <w:gridCol w:w="1418"/>
        <w:gridCol w:w="1118"/>
        <w:gridCol w:w="1250"/>
        <w:gridCol w:w="1101"/>
        <w:gridCol w:w="1026"/>
        <w:gridCol w:w="1001"/>
        <w:gridCol w:w="950"/>
      </w:tblGrid>
      <w:tr w14:paraId="1839B7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restart"/>
            <w:tcBorders>
              <w:tl2br w:val="nil"/>
              <w:tr2bl w:val="nil"/>
            </w:tcBorders>
            <w:noWrap w:val="0"/>
            <w:vAlign w:val="center"/>
          </w:tcPr>
          <w:p w14:paraId="72100C79">
            <w:pPr>
              <w:jc w:val="center"/>
              <w:textAlignment w:val="center"/>
              <w:rPr>
                <w:rFonts w:hint="default"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lang w:eastAsia="zh-CN"/>
              </w:rPr>
              <w:t>检测</w:t>
            </w:r>
          </w:p>
          <w:p w14:paraId="5FAC2E55">
            <w:pPr>
              <w:jc w:val="center"/>
              <w:textAlignment w:val="center"/>
              <w:rPr>
                <w:rFonts w:hint="default"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lang w:eastAsia="zh-CN"/>
              </w:rPr>
              <w:t>点位</w:t>
            </w:r>
          </w:p>
        </w:tc>
        <w:tc>
          <w:tcPr>
            <w:tcW w:w="1417" w:type="dxa"/>
            <w:vMerge w:val="restart"/>
            <w:tcBorders>
              <w:tl2br w:val="nil"/>
              <w:tr2bl w:val="nil"/>
            </w:tcBorders>
            <w:noWrap w:val="0"/>
            <w:vAlign w:val="center"/>
          </w:tcPr>
          <w:p w14:paraId="09C5593D">
            <w:pPr>
              <w:widowControl/>
              <w:jc w:val="center"/>
              <w:textAlignment w:val="center"/>
              <w:rPr>
                <w:rFonts w:hint="default"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lang w:eastAsia="zh-CN"/>
              </w:rPr>
              <w:t>检测因子</w:t>
            </w:r>
          </w:p>
        </w:tc>
        <w:tc>
          <w:tcPr>
            <w:tcW w:w="3466" w:type="dxa"/>
            <w:gridSpan w:val="3"/>
            <w:tcBorders>
              <w:tl2br w:val="nil"/>
              <w:tr2bl w:val="nil"/>
            </w:tcBorders>
            <w:noWrap w:val="0"/>
            <w:vAlign w:val="center"/>
          </w:tcPr>
          <w:p w14:paraId="4E11B09F">
            <w:pPr>
              <w:widowControl/>
              <w:jc w:val="center"/>
              <w:textAlignment w:val="center"/>
              <w:rPr>
                <w:rFonts w:hint="default"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lang w:eastAsia="zh-CN"/>
              </w:rPr>
              <w:t>采样日期及检测结果</w:t>
            </w:r>
          </w:p>
          <w:p w14:paraId="601207A5">
            <w:pPr>
              <w:widowControl/>
              <w:jc w:val="both"/>
              <w:textAlignment w:val="center"/>
              <w:rPr>
                <w:rFonts w:hint="default"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lang w:eastAsia="zh-CN"/>
              </w:rPr>
              <w:t>（单位：mg/L，pH无量纲，粪大肠菌群：个</w:t>
            </w:r>
            <w:r>
              <w:rPr>
                <w:rFonts w:hint="default" w:ascii="Times New Roman" w:hAnsi="Times New Roman" w:eastAsia="宋体" w:cs="Times New Roman"/>
                <w:b/>
                <w:bCs/>
                <w:color w:val="auto"/>
                <w:spacing w:val="0"/>
                <w:w w:val="100"/>
                <w:position w:val="0"/>
                <w:sz w:val="21"/>
                <w:szCs w:val="21"/>
                <w:u w:val="none" w:color="auto"/>
                <w:lang w:val="en-US" w:eastAsia="zh-CN"/>
              </w:rPr>
              <w:t>/L，透明度：米，水温：</w:t>
            </w:r>
            <w:r>
              <w:rPr>
                <w:rFonts w:hint="default" w:ascii="Times New Roman" w:hAnsi="Times New Roman" w:cs="Times New Roman" w:eastAsiaTheme="majorEastAsia"/>
                <w:sz w:val="21"/>
                <w:szCs w:val="21"/>
                <w:lang w:val="en-US" w:eastAsia="zh-CN"/>
              </w:rPr>
              <w:t>℃</w:t>
            </w:r>
            <w:r>
              <w:rPr>
                <w:rFonts w:hint="default" w:ascii="Times New Roman" w:hAnsi="Times New Roman" w:eastAsia="宋体" w:cs="Times New Roman"/>
                <w:b/>
                <w:bCs/>
                <w:color w:val="auto"/>
                <w:spacing w:val="0"/>
                <w:w w:val="100"/>
                <w:position w:val="0"/>
                <w:sz w:val="21"/>
                <w:szCs w:val="21"/>
                <w:u w:val="none" w:color="auto"/>
                <w:lang w:val="en-US" w:eastAsia="zh-CN"/>
              </w:rPr>
              <w:t>）</w:t>
            </w:r>
          </w:p>
        </w:tc>
        <w:tc>
          <w:tcPr>
            <w:tcW w:w="1025" w:type="dxa"/>
            <w:vMerge w:val="restart"/>
            <w:tcBorders>
              <w:tl2br w:val="nil"/>
              <w:tr2bl w:val="nil"/>
            </w:tcBorders>
            <w:noWrap w:val="0"/>
            <w:vAlign w:val="center"/>
          </w:tcPr>
          <w:p w14:paraId="719844BB">
            <w:pPr>
              <w:widowControl/>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rPr>
            </w:pPr>
            <w:r>
              <w:rPr>
                <w:rFonts w:hint="default" w:ascii="Times New Roman" w:hAnsi="Times New Roman" w:eastAsia="宋体" w:cs="Times New Roman"/>
                <w:b/>
                <w:bCs/>
                <w:color w:val="auto"/>
                <w:spacing w:val="0"/>
                <w:w w:val="100"/>
                <w:position w:val="0"/>
                <w:sz w:val="21"/>
                <w:szCs w:val="21"/>
                <w:u w:val="none" w:color="auto"/>
                <w:lang w:val="en-US" w:eastAsia="zh-CN"/>
              </w:rPr>
              <w:t>II类标准</w:t>
            </w:r>
          </w:p>
          <w:p w14:paraId="74E7BABF">
            <w:pPr>
              <w:widowControl/>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rPr>
            </w:pPr>
            <w:r>
              <w:rPr>
                <w:rFonts w:hint="default" w:ascii="Times New Roman" w:hAnsi="Times New Roman" w:eastAsia="宋体" w:cs="Times New Roman"/>
                <w:b/>
                <w:bCs/>
                <w:color w:val="auto"/>
                <w:spacing w:val="0"/>
                <w:w w:val="100"/>
                <w:position w:val="0"/>
                <w:sz w:val="21"/>
                <w:szCs w:val="21"/>
                <w:u w:val="none" w:color="auto"/>
                <w:lang w:eastAsia="zh-CN"/>
              </w:rPr>
              <w:t>限值</w:t>
            </w:r>
          </w:p>
        </w:tc>
        <w:tc>
          <w:tcPr>
            <w:tcW w:w="1000" w:type="dxa"/>
            <w:vMerge w:val="restart"/>
            <w:tcBorders>
              <w:tl2br w:val="nil"/>
              <w:tr2bl w:val="nil"/>
            </w:tcBorders>
            <w:noWrap w:val="0"/>
            <w:vAlign w:val="center"/>
          </w:tcPr>
          <w:p w14:paraId="5283125D">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lang w:val="en-US" w:eastAsia="zh-CN" w:bidi="ar-SA"/>
              </w:rPr>
              <w:t>最大标准指数</w:t>
            </w:r>
          </w:p>
        </w:tc>
        <w:tc>
          <w:tcPr>
            <w:tcW w:w="949" w:type="dxa"/>
            <w:vMerge w:val="restart"/>
            <w:tcBorders>
              <w:tl2br w:val="nil"/>
              <w:tr2bl w:val="nil"/>
            </w:tcBorders>
            <w:noWrap w:val="0"/>
            <w:vAlign w:val="center"/>
          </w:tcPr>
          <w:p w14:paraId="6C1193CB">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bidi="ar-SA"/>
              </w:rPr>
            </w:pPr>
            <w:r>
              <w:rPr>
                <w:rFonts w:hint="default" w:ascii="Times New Roman" w:hAnsi="Times New Roman" w:eastAsia="宋体" w:cs="Times New Roman"/>
                <w:b/>
                <w:bCs/>
                <w:color w:val="auto"/>
                <w:spacing w:val="0"/>
                <w:w w:val="100"/>
                <w:position w:val="0"/>
                <w:sz w:val="21"/>
                <w:szCs w:val="21"/>
                <w:u w:val="none" w:color="auto"/>
                <w:lang w:val="en-US" w:eastAsia="zh-CN" w:bidi="ar-SA"/>
              </w:rPr>
              <w:t>达标</w:t>
            </w:r>
          </w:p>
          <w:p w14:paraId="4B8B8AAA">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bidi="ar-SA"/>
              </w:rPr>
            </w:pPr>
            <w:r>
              <w:rPr>
                <w:rFonts w:hint="default" w:ascii="Times New Roman" w:hAnsi="Times New Roman" w:eastAsia="宋体" w:cs="Times New Roman"/>
                <w:b/>
                <w:bCs/>
                <w:color w:val="auto"/>
                <w:spacing w:val="0"/>
                <w:w w:val="100"/>
                <w:position w:val="0"/>
                <w:sz w:val="21"/>
                <w:szCs w:val="21"/>
                <w:u w:val="none" w:color="auto"/>
                <w:lang w:val="en-US" w:eastAsia="zh-CN" w:bidi="ar-SA"/>
              </w:rPr>
              <w:t>情况</w:t>
            </w:r>
          </w:p>
        </w:tc>
      </w:tr>
      <w:tr w14:paraId="51468C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3169C6CD">
            <w:pPr>
              <w:jc w:val="center"/>
              <w:textAlignment w:val="center"/>
              <w:rPr>
                <w:rFonts w:hint="default" w:ascii="Times New Roman" w:hAnsi="Times New Roman" w:eastAsia="宋体" w:cs="Times New Roman"/>
                <w:color w:val="auto"/>
                <w:spacing w:val="0"/>
                <w:w w:val="100"/>
                <w:position w:val="0"/>
                <w:sz w:val="21"/>
                <w:szCs w:val="21"/>
                <w:u w:val="none" w:color="auto"/>
                <w:lang w:eastAsia="zh-CN"/>
              </w:rPr>
            </w:pPr>
          </w:p>
        </w:tc>
        <w:tc>
          <w:tcPr>
            <w:tcW w:w="1417" w:type="dxa"/>
            <w:vMerge w:val="continue"/>
            <w:tcBorders>
              <w:tl2br w:val="nil"/>
              <w:tr2bl w:val="nil"/>
            </w:tcBorders>
            <w:noWrap w:val="0"/>
            <w:vAlign w:val="center"/>
          </w:tcPr>
          <w:p w14:paraId="4CCB5B66">
            <w:pPr>
              <w:widowControl/>
              <w:jc w:val="center"/>
              <w:textAlignment w:val="center"/>
              <w:rPr>
                <w:rFonts w:hint="default" w:ascii="Times New Roman" w:hAnsi="Times New Roman" w:eastAsia="宋体" w:cs="Times New Roman"/>
                <w:color w:val="auto"/>
                <w:spacing w:val="0"/>
                <w:w w:val="100"/>
                <w:position w:val="0"/>
                <w:sz w:val="21"/>
                <w:szCs w:val="21"/>
                <w:u w:val="none" w:color="auto"/>
                <w:lang w:eastAsia="zh-CN"/>
              </w:rPr>
            </w:pPr>
          </w:p>
        </w:tc>
        <w:tc>
          <w:tcPr>
            <w:tcW w:w="1117" w:type="dxa"/>
            <w:tcBorders>
              <w:tl2br w:val="nil"/>
              <w:tr2bl w:val="nil"/>
            </w:tcBorders>
            <w:noWrap w:val="0"/>
            <w:vAlign w:val="center"/>
          </w:tcPr>
          <w:p w14:paraId="02A807C2">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rPr>
            </w:pPr>
            <w:r>
              <w:rPr>
                <w:rFonts w:hint="default" w:ascii="Times New Roman" w:hAnsi="Times New Roman" w:eastAsia="宋体" w:cs="Times New Roman"/>
                <w:b/>
                <w:bCs/>
                <w:color w:val="auto"/>
                <w:spacing w:val="0"/>
                <w:w w:val="100"/>
                <w:position w:val="0"/>
                <w:sz w:val="21"/>
                <w:szCs w:val="21"/>
                <w:u w:val="none" w:color="auto"/>
                <w:lang w:val="en-US" w:eastAsia="zh-CN"/>
              </w:rPr>
              <w:t>2024.5.08</w:t>
            </w:r>
          </w:p>
        </w:tc>
        <w:tc>
          <w:tcPr>
            <w:tcW w:w="1249" w:type="dxa"/>
            <w:tcBorders>
              <w:tl2br w:val="nil"/>
              <w:tr2bl w:val="nil"/>
            </w:tcBorders>
            <w:noWrap w:val="0"/>
            <w:vAlign w:val="center"/>
          </w:tcPr>
          <w:p w14:paraId="24AF9CFA">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rPr>
            </w:pPr>
            <w:r>
              <w:rPr>
                <w:rFonts w:hint="default" w:ascii="Times New Roman" w:hAnsi="Times New Roman" w:eastAsia="宋体" w:cs="Times New Roman"/>
                <w:b/>
                <w:bCs/>
                <w:color w:val="auto"/>
                <w:spacing w:val="0"/>
                <w:w w:val="100"/>
                <w:position w:val="0"/>
                <w:sz w:val="21"/>
                <w:szCs w:val="21"/>
                <w:u w:val="none" w:color="auto"/>
                <w:lang w:val="en-US" w:eastAsia="zh-CN"/>
              </w:rPr>
              <w:t>2024.5.09</w:t>
            </w:r>
          </w:p>
        </w:tc>
        <w:tc>
          <w:tcPr>
            <w:tcW w:w="1100" w:type="dxa"/>
            <w:tcBorders>
              <w:tl2br w:val="nil"/>
              <w:tr2bl w:val="nil"/>
            </w:tcBorders>
            <w:noWrap w:val="0"/>
            <w:vAlign w:val="center"/>
          </w:tcPr>
          <w:p w14:paraId="65C83F5D">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rPr>
            </w:pPr>
            <w:r>
              <w:rPr>
                <w:rFonts w:hint="default" w:ascii="Times New Roman" w:hAnsi="Times New Roman" w:eastAsia="宋体" w:cs="Times New Roman"/>
                <w:b/>
                <w:bCs/>
                <w:color w:val="auto"/>
                <w:spacing w:val="0"/>
                <w:w w:val="100"/>
                <w:position w:val="0"/>
                <w:sz w:val="21"/>
                <w:szCs w:val="21"/>
                <w:u w:val="none" w:color="auto"/>
                <w:lang w:val="en-US" w:eastAsia="zh-CN"/>
              </w:rPr>
              <w:t>2024.5.10</w:t>
            </w:r>
          </w:p>
        </w:tc>
        <w:tc>
          <w:tcPr>
            <w:tcW w:w="1025" w:type="dxa"/>
            <w:vMerge w:val="continue"/>
            <w:tcBorders>
              <w:tl2br w:val="nil"/>
              <w:tr2bl w:val="nil"/>
            </w:tcBorders>
            <w:noWrap w:val="0"/>
            <w:vAlign w:val="center"/>
          </w:tcPr>
          <w:p w14:paraId="0AA9E9B6">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000" w:type="dxa"/>
            <w:vMerge w:val="continue"/>
            <w:tcBorders>
              <w:tl2br w:val="nil"/>
              <w:tr2bl w:val="nil"/>
            </w:tcBorders>
            <w:noWrap w:val="0"/>
            <w:vAlign w:val="center"/>
          </w:tcPr>
          <w:p w14:paraId="3497CAB2">
            <w:pPr>
              <w:widowControl/>
              <w:jc w:val="center"/>
              <w:textAlignment w:val="center"/>
              <w:rPr>
                <w:rFonts w:hint="default" w:ascii="Times New Roman" w:hAnsi="Times New Roman" w:eastAsia="宋体" w:cs="Times New Roman"/>
                <w:color w:val="auto"/>
                <w:spacing w:val="0"/>
                <w:w w:val="100"/>
                <w:position w:val="0"/>
                <w:sz w:val="21"/>
                <w:szCs w:val="21"/>
                <w:u w:val="none" w:color="auto"/>
                <w:lang w:eastAsia="zh-CN"/>
              </w:rPr>
            </w:pPr>
          </w:p>
        </w:tc>
        <w:tc>
          <w:tcPr>
            <w:tcW w:w="949" w:type="dxa"/>
            <w:vMerge w:val="continue"/>
            <w:tcBorders>
              <w:tl2br w:val="nil"/>
              <w:tr2bl w:val="nil"/>
            </w:tcBorders>
            <w:noWrap w:val="0"/>
            <w:vAlign w:val="center"/>
          </w:tcPr>
          <w:p w14:paraId="0E906C56">
            <w:pPr>
              <w:widowControl/>
              <w:jc w:val="center"/>
              <w:textAlignment w:val="center"/>
              <w:rPr>
                <w:rFonts w:hint="default" w:ascii="Times New Roman" w:hAnsi="Times New Roman" w:eastAsia="宋体" w:cs="Times New Roman"/>
                <w:color w:val="auto"/>
                <w:spacing w:val="0"/>
                <w:w w:val="100"/>
                <w:position w:val="0"/>
                <w:sz w:val="21"/>
                <w:szCs w:val="21"/>
                <w:u w:val="none" w:color="auto"/>
                <w:lang w:eastAsia="zh-CN"/>
              </w:rPr>
            </w:pPr>
          </w:p>
        </w:tc>
      </w:tr>
      <w:tr w14:paraId="27A9B8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restart"/>
            <w:tcBorders>
              <w:tl2br w:val="nil"/>
              <w:tr2bl w:val="nil"/>
            </w:tcBorders>
            <w:noWrap w:val="0"/>
            <w:vAlign w:val="center"/>
          </w:tcPr>
          <w:p w14:paraId="1CFF3574">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snapToGrid/>
                <w:kern w:val="2"/>
                <w:sz w:val="21"/>
                <w:szCs w:val="21"/>
                <w:lang w:val="en-US" w:eastAsia="zh-CN" w:bidi="ar-SA"/>
              </w:rPr>
              <w:t>W4水库坝前取水口断面坝址上游约50m</w:t>
            </w:r>
          </w:p>
        </w:tc>
        <w:tc>
          <w:tcPr>
            <w:tcW w:w="1417" w:type="dxa"/>
            <w:tcBorders>
              <w:tl2br w:val="nil"/>
              <w:tr2bl w:val="nil"/>
            </w:tcBorders>
            <w:noWrap w:val="0"/>
            <w:vAlign w:val="center"/>
          </w:tcPr>
          <w:p w14:paraId="74F90F9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pH值</w:t>
            </w:r>
          </w:p>
        </w:tc>
        <w:tc>
          <w:tcPr>
            <w:tcW w:w="1117" w:type="dxa"/>
            <w:tcBorders>
              <w:tl2br w:val="nil"/>
              <w:tr2bl w:val="nil"/>
            </w:tcBorders>
            <w:noWrap w:val="0"/>
            <w:vAlign w:val="center"/>
          </w:tcPr>
          <w:p w14:paraId="55A3BBA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7.2</w:t>
            </w:r>
          </w:p>
        </w:tc>
        <w:tc>
          <w:tcPr>
            <w:tcW w:w="1249" w:type="dxa"/>
            <w:tcBorders>
              <w:tl2br w:val="nil"/>
              <w:tr2bl w:val="nil"/>
            </w:tcBorders>
            <w:noWrap w:val="0"/>
            <w:vAlign w:val="center"/>
          </w:tcPr>
          <w:p w14:paraId="358F24A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7.1</w:t>
            </w:r>
          </w:p>
        </w:tc>
        <w:tc>
          <w:tcPr>
            <w:tcW w:w="1100" w:type="dxa"/>
            <w:tcBorders>
              <w:tl2br w:val="nil"/>
              <w:tr2bl w:val="nil"/>
            </w:tcBorders>
            <w:noWrap w:val="0"/>
            <w:vAlign w:val="center"/>
          </w:tcPr>
          <w:p w14:paraId="68BBBED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7.2</w:t>
            </w:r>
          </w:p>
        </w:tc>
        <w:tc>
          <w:tcPr>
            <w:tcW w:w="1025" w:type="dxa"/>
            <w:tcBorders>
              <w:tl2br w:val="nil"/>
              <w:tr2bl w:val="nil"/>
            </w:tcBorders>
            <w:noWrap w:val="0"/>
            <w:vAlign w:val="center"/>
          </w:tcPr>
          <w:p w14:paraId="75FAB9AE">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6~9</w:t>
            </w:r>
          </w:p>
        </w:tc>
        <w:tc>
          <w:tcPr>
            <w:tcW w:w="1000" w:type="dxa"/>
            <w:tcBorders>
              <w:tl2br w:val="nil"/>
              <w:tr2bl w:val="nil"/>
            </w:tcBorders>
            <w:noWrap w:val="0"/>
            <w:vAlign w:val="center"/>
          </w:tcPr>
          <w:p w14:paraId="1BCF46C7">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0.100 </w:t>
            </w:r>
          </w:p>
        </w:tc>
        <w:tc>
          <w:tcPr>
            <w:tcW w:w="949" w:type="dxa"/>
            <w:tcBorders>
              <w:tl2br w:val="nil"/>
              <w:tr2bl w:val="nil"/>
            </w:tcBorders>
            <w:noWrap w:val="0"/>
            <w:vAlign w:val="center"/>
          </w:tcPr>
          <w:p w14:paraId="2D3A3C50">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09CE72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53D3CE8C">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19ED92F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水温</w:t>
            </w:r>
          </w:p>
        </w:tc>
        <w:tc>
          <w:tcPr>
            <w:tcW w:w="1117" w:type="dxa"/>
            <w:tcBorders>
              <w:tl2br w:val="nil"/>
              <w:tr2bl w:val="nil"/>
            </w:tcBorders>
            <w:noWrap w:val="0"/>
            <w:vAlign w:val="center"/>
          </w:tcPr>
          <w:p w14:paraId="49FECBD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28.6</w:t>
            </w:r>
          </w:p>
        </w:tc>
        <w:tc>
          <w:tcPr>
            <w:tcW w:w="1249" w:type="dxa"/>
            <w:tcBorders>
              <w:tl2br w:val="nil"/>
              <w:tr2bl w:val="nil"/>
            </w:tcBorders>
            <w:noWrap w:val="0"/>
            <w:vAlign w:val="center"/>
          </w:tcPr>
          <w:p w14:paraId="4BD79B4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27.0</w:t>
            </w:r>
          </w:p>
        </w:tc>
        <w:tc>
          <w:tcPr>
            <w:tcW w:w="1100" w:type="dxa"/>
            <w:tcBorders>
              <w:tl2br w:val="nil"/>
              <w:tr2bl w:val="nil"/>
            </w:tcBorders>
            <w:noWrap w:val="0"/>
            <w:vAlign w:val="center"/>
          </w:tcPr>
          <w:p w14:paraId="34EB500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22.1</w:t>
            </w:r>
          </w:p>
        </w:tc>
        <w:tc>
          <w:tcPr>
            <w:tcW w:w="1025" w:type="dxa"/>
            <w:tcBorders>
              <w:tl2br w:val="nil"/>
              <w:tr2bl w:val="nil"/>
            </w:tcBorders>
            <w:noWrap w:val="0"/>
            <w:vAlign w:val="center"/>
          </w:tcPr>
          <w:p w14:paraId="458C1D74">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1000" w:type="dxa"/>
            <w:tcBorders>
              <w:tl2br w:val="nil"/>
              <w:tr2bl w:val="nil"/>
            </w:tcBorders>
            <w:noWrap w:val="0"/>
            <w:vAlign w:val="center"/>
          </w:tcPr>
          <w:p w14:paraId="6DBC3510">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49" w:type="dxa"/>
            <w:tcBorders>
              <w:tl2br w:val="nil"/>
              <w:tr2bl w:val="nil"/>
            </w:tcBorders>
            <w:noWrap w:val="0"/>
            <w:vAlign w:val="center"/>
          </w:tcPr>
          <w:p w14:paraId="2585FFD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r w14:paraId="73A99A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39AABD0F">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5C9FE8B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溶解氧</w:t>
            </w:r>
          </w:p>
        </w:tc>
        <w:tc>
          <w:tcPr>
            <w:tcW w:w="1117" w:type="dxa"/>
            <w:tcBorders>
              <w:tl2br w:val="nil"/>
              <w:tr2bl w:val="nil"/>
            </w:tcBorders>
            <w:noWrap w:val="0"/>
            <w:vAlign w:val="center"/>
          </w:tcPr>
          <w:p w14:paraId="371709D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7.74</w:t>
            </w:r>
          </w:p>
        </w:tc>
        <w:tc>
          <w:tcPr>
            <w:tcW w:w="1249" w:type="dxa"/>
            <w:tcBorders>
              <w:tl2br w:val="nil"/>
              <w:tr2bl w:val="nil"/>
            </w:tcBorders>
            <w:noWrap w:val="0"/>
            <w:vAlign w:val="center"/>
          </w:tcPr>
          <w:p w14:paraId="22DC888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7.96</w:t>
            </w:r>
          </w:p>
        </w:tc>
        <w:tc>
          <w:tcPr>
            <w:tcW w:w="1100" w:type="dxa"/>
            <w:tcBorders>
              <w:tl2br w:val="nil"/>
              <w:tr2bl w:val="nil"/>
            </w:tcBorders>
            <w:noWrap w:val="0"/>
            <w:vAlign w:val="center"/>
          </w:tcPr>
          <w:p w14:paraId="7A35CB6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8.72</w:t>
            </w:r>
          </w:p>
        </w:tc>
        <w:tc>
          <w:tcPr>
            <w:tcW w:w="1025" w:type="dxa"/>
            <w:tcBorders>
              <w:tl2br w:val="nil"/>
              <w:tr2bl w:val="nil"/>
            </w:tcBorders>
            <w:noWrap w:val="0"/>
            <w:vAlign w:val="center"/>
          </w:tcPr>
          <w:p w14:paraId="2293A718">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≥6</w:t>
            </w:r>
          </w:p>
        </w:tc>
        <w:tc>
          <w:tcPr>
            <w:tcW w:w="1000" w:type="dxa"/>
            <w:tcBorders>
              <w:tl2br w:val="nil"/>
              <w:tr2bl w:val="nil"/>
            </w:tcBorders>
            <w:noWrap w:val="0"/>
            <w:vAlign w:val="center"/>
          </w:tcPr>
          <w:p w14:paraId="78CF8F92">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0.775 </w:t>
            </w:r>
          </w:p>
        </w:tc>
        <w:tc>
          <w:tcPr>
            <w:tcW w:w="949" w:type="dxa"/>
            <w:tcBorders>
              <w:tl2br w:val="nil"/>
              <w:tr2bl w:val="nil"/>
            </w:tcBorders>
            <w:noWrap w:val="0"/>
            <w:vAlign w:val="center"/>
          </w:tcPr>
          <w:p w14:paraId="339AB59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063171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2C5556C0">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461FFB2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透明度</w:t>
            </w:r>
          </w:p>
        </w:tc>
        <w:tc>
          <w:tcPr>
            <w:tcW w:w="1117" w:type="dxa"/>
            <w:tcBorders>
              <w:tl2br w:val="nil"/>
              <w:tr2bl w:val="nil"/>
            </w:tcBorders>
            <w:noWrap w:val="0"/>
            <w:vAlign w:val="center"/>
          </w:tcPr>
          <w:p w14:paraId="2490D19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81</w:t>
            </w:r>
          </w:p>
        </w:tc>
        <w:tc>
          <w:tcPr>
            <w:tcW w:w="1249" w:type="dxa"/>
            <w:tcBorders>
              <w:tl2br w:val="nil"/>
              <w:tr2bl w:val="nil"/>
            </w:tcBorders>
            <w:noWrap w:val="0"/>
            <w:vAlign w:val="center"/>
          </w:tcPr>
          <w:p w14:paraId="4669B94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81</w:t>
            </w:r>
          </w:p>
        </w:tc>
        <w:tc>
          <w:tcPr>
            <w:tcW w:w="1100" w:type="dxa"/>
            <w:tcBorders>
              <w:tl2br w:val="nil"/>
              <w:tr2bl w:val="nil"/>
            </w:tcBorders>
            <w:noWrap w:val="0"/>
            <w:vAlign w:val="center"/>
          </w:tcPr>
          <w:p w14:paraId="6A57FC2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81</w:t>
            </w:r>
          </w:p>
        </w:tc>
        <w:tc>
          <w:tcPr>
            <w:tcW w:w="1025" w:type="dxa"/>
            <w:tcBorders>
              <w:tl2br w:val="nil"/>
              <w:tr2bl w:val="nil"/>
            </w:tcBorders>
            <w:noWrap w:val="0"/>
            <w:vAlign w:val="center"/>
          </w:tcPr>
          <w:p w14:paraId="616DBC48">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1000" w:type="dxa"/>
            <w:tcBorders>
              <w:tl2br w:val="nil"/>
              <w:tr2bl w:val="nil"/>
            </w:tcBorders>
            <w:noWrap w:val="0"/>
            <w:vAlign w:val="center"/>
          </w:tcPr>
          <w:p w14:paraId="6F0AA3BA">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49" w:type="dxa"/>
            <w:tcBorders>
              <w:tl2br w:val="nil"/>
              <w:tr2bl w:val="nil"/>
            </w:tcBorders>
            <w:noWrap w:val="0"/>
            <w:vAlign w:val="center"/>
          </w:tcPr>
          <w:p w14:paraId="2A126DA3">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r w14:paraId="1CA5B9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206B182D">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28472D7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高锰酸盐指数</w:t>
            </w:r>
          </w:p>
        </w:tc>
        <w:tc>
          <w:tcPr>
            <w:tcW w:w="1117" w:type="dxa"/>
            <w:tcBorders>
              <w:tl2br w:val="nil"/>
              <w:tr2bl w:val="nil"/>
            </w:tcBorders>
            <w:noWrap w:val="0"/>
            <w:vAlign w:val="center"/>
          </w:tcPr>
          <w:p w14:paraId="39EB65B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1.8</w:t>
            </w:r>
          </w:p>
        </w:tc>
        <w:tc>
          <w:tcPr>
            <w:tcW w:w="1249" w:type="dxa"/>
            <w:tcBorders>
              <w:tl2br w:val="nil"/>
              <w:tr2bl w:val="nil"/>
            </w:tcBorders>
            <w:noWrap w:val="0"/>
            <w:vAlign w:val="center"/>
          </w:tcPr>
          <w:p w14:paraId="01D9820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1.7</w:t>
            </w:r>
          </w:p>
        </w:tc>
        <w:tc>
          <w:tcPr>
            <w:tcW w:w="1100" w:type="dxa"/>
            <w:tcBorders>
              <w:tl2br w:val="nil"/>
              <w:tr2bl w:val="nil"/>
            </w:tcBorders>
            <w:noWrap w:val="0"/>
            <w:vAlign w:val="center"/>
          </w:tcPr>
          <w:p w14:paraId="4783DC5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1.9</w:t>
            </w:r>
          </w:p>
        </w:tc>
        <w:tc>
          <w:tcPr>
            <w:tcW w:w="1025" w:type="dxa"/>
            <w:tcBorders>
              <w:tl2br w:val="nil"/>
              <w:tr2bl w:val="nil"/>
            </w:tcBorders>
            <w:noWrap w:val="0"/>
            <w:vAlign w:val="center"/>
          </w:tcPr>
          <w:p w14:paraId="3C4BE100">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4</w:t>
            </w:r>
          </w:p>
        </w:tc>
        <w:tc>
          <w:tcPr>
            <w:tcW w:w="1000" w:type="dxa"/>
            <w:tcBorders>
              <w:tl2br w:val="nil"/>
              <w:tr2bl w:val="nil"/>
            </w:tcBorders>
            <w:noWrap w:val="0"/>
            <w:vAlign w:val="center"/>
          </w:tcPr>
          <w:p w14:paraId="678E930F">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0.475 </w:t>
            </w:r>
          </w:p>
        </w:tc>
        <w:tc>
          <w:tcPr>
            <w:tcW w:w="949" w:type="dxa"/>
            <w:tcBorders>
              <w:tl2br w:val="nil"/>
              <w:tr2bl w:val="nil"/>
            </w:tcBorders>
            <w:noWrap w:val="0"/>
            <w:vAlign w:val="center"/>
          </w:tcPr>
          <w:p w14:paraId="2BFFF32C">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7C16DE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43A14852">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2B6DC38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氨氮</w:t>
            </w:r>
          </w:p>
        </w:tc>
        <w:tc>
          <w:tcPr>
            <w:tcW w:w="1117" w:type="dxa"/>
            <w:tcBorders>
              <w:tl2br w:val="nil"/>
              <w:tr2bl w:val="nil"/>
            </w:tcBorders>
            <w:noWrap w:val="0"/>
            <w:vAlign w:val="center"/>
          </w:tcPr>
          <w:p w14:paraId="2991019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0.10 </w:t>
            </w:r>
          </w:p>
        </w:tc>
        <w:tc>
          <w:tcPr>
            <w:tcW w:w="1249" w:type="dxa"/>
            <w:tcBorders>
              <w:tl2br w:val="nil"/>
              <w:tr2bl w:val="nil"/>
            </w:tcBorders>
            <w:noWrap w:val="0"/>
            <w:vAlign w:val="center"/>
          </w:tcPr>
          <w:p w14:paraId="5CBCA41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0.11</w:t>
            </w:r>
          </w:p>
        </w:tc>
        <w:tc>
          <w:tcPr>
            <w:tcW w:w="1100" w:type="dxa"/>
            <w:tcBorders>
              <w:tl2br w:val="nil"/>
              <w:tr2bl w:val="nil"/>
            </w:tcBorders>
            <w:noWrap w:val="0"/>
            <w:vAlign w:val="center"/>
          </w:tcPr>
          <w:p w14:paraId="159B64E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0.10 </w:t>
            </w:r>
          </w:p>
        </w:tc>
        <w:tc>
          <w:tcPr>
            <w:tcW w:w="1025" w:type="dxa"/>
            <w:tcBorders>
              <w:tl2br w:val="nil"/>
              <w:tr2bl w:val="nil"/>
            </w:tcBorders>
            <w:noWrap w:val="0"/>
            <w:vAlign w:val="center"/>
          </w:tcPr>
          <w:p w14:paraId="6A31D93F">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0.5</w:t>
            </w:r>
          </w:p>
        </w:tc>
        <w:tc>
          <w:tcPr>
            <w:tcW w:w="1000" w:type="dxa"/>
            <w:tcBorders>
              <w:tl2br w:val="nil"/>
              <w:tr2bl w:val="nil"/>
            </w:tcBorders>
            <w:noWrap w:val="0"/>
            <w:vAlign w:val="center"/>
          </w:tcPr>
          <w:p w14:paraId="4A1332AA">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0.220 </w:t>
            </w:r>
          </w:p>
        </w:tc>
        <w:tc>
          <w:tcPr>
            <w:tcW w:w="949" w:type="dxa"/>
            <w:tcBorders>
              <w:tl2br w:val="nil"/>
              <w:tr2bl w:val="nil"/>
            </w:tcBorders>
            <w:noWrap w:val="0"/>
            <w:vAlign w:val="center"/>
          </w:tcPr>
          <w:p w14:paraId="6176C54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192E7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550882FB">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276AEDF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总磷</w:t>
            </w:r>
          </w:p>
        </w:tc>
        <w:tc>
          <w:tcPr>
            <w:tcW w:w="1117" w:type="dxa"/>
            <w:tcBorders>
              <w:tl2br w:val="nil"/>
              <w:tr2bl w:val="nil"/>
            </w:tcBorders>
            <w:noWrap w:val="0"/>
            <w:vAlign w:val="center"/>
          </w:tcPr>
          <w:p w14:paraId="79E4F0E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0.02</w:t>
            </w:r>
          </w:p>
        </w:tc>
        <w:tc>
          <w:tcPr>
            <w:tcW w:w="1249" w:type="dxa"/>
            <w:tcBorders>
              <w:tl2br w:val="nil"/>
              <w:tr2bl w:val="nil"/>
            </w:tcBorders>
            <w:noWrap w:val="0"/>
            <w:vAlign w:val="center"/>
          </w:tcPr>
          <w:p w14:paraId="2443F0D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w:t>
            </w:r>
          </w:p>
        </w:tc>
        <w:tc>
          <w:tcPr>
            <w:tcW w:w="1100" w:type="dxa"/>
            <w:tcBorders>
              <w:tl2br w:val="nil"/>
              <w:tr2bl w:val="nil"/>
            </w:tcBorders>
            <w:noWrap w:val="0"/>
            <w:vAlign w:val="center"/>
          </w:tcPr>
          <w:p w14:paraId="7A0C9CC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w:t>
            </w:r>
          </w:p>
        </w:tc>
        <w:tc>
          <w:tcPr>
            <w:tcW w:w="1025" w:type="dxa"/>
            <w:tcBorders>
              <w:tl2br w:val="nil"/>
              <w:tr2bl w:val="nil"/>
            </w:tcBorders>
            <w:noWrap w:val="0"/>
            <w:vAlign w:val="center"/>
          </w:tcPr>
          <w:p w14:paraId="3C9BC674">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0.025</w:t>
            </w:r>
          </w:p>
        </w:tc>
        <w:tc>
          <w:tcPr>
            <w:tcW w:w="1000" w:type="dxa"/>
            <w:tcBorders>
              <w:tl2br w:val="nil"/>
              <w:tr2bl w:val="nil"/>
            </w:tcBorders>
            <w:noWrap w:val="0"/>
            <w:vAlign w:val="center"/>
          </w:tcPr>
          <w:p w14:paraId="174D03CA">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0.800 </w:t>
            </w:r>
          </w:p>
        </w:tc>
        <w:tc>
          <w:tcPr>
            <w:tcW w:w="949" w:type="dxa"/>
            <w:tcBorders>
              <w:tl2br w:val="nil"/>
              <w:tr2bl w:val="nil"/>
            </w:tcBorders>
            <w:noWrap w:val="0"/>
            <w:vAlign w:val="center"/>
          </w:tcPr>
          <w:p w14:paraId="5035301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76D8D8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3E0A7FA1">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37B7D23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总氮</w:t>
            </w:r>
          </w:p>
        </w:tc>
        <w:tc>
          <w:tcPr>
            <w:tcW w:w="1117" w:type="dxa"/>
            <w:tcBorders>
              <w:tl2br w:val="nil"/>
              <w:tr2bl w:val="nil"/>
            </w:tcBorders>
            <w:noWrap w:val="0"/>
            <w:vAlign w:val="center"/>
          </w:tcPr>
          <w:p w14:paraId="1B2826D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0.45</w:t>
            </w:r>
          </w:p>
        </w:tc>
        <w:tc>
          <w:tcPr>
            <w:tcW w:w="1249" w:type="dxa"/>
            <w:tcBorders>
              <w:tl2br w:val="nil"/>
              <w:tr2bl w:val="nil"/>
            </w:tcBorders>
            <w:noWrap w:val="0"/>
            <w:vAlign w:val="center"/>
          </w:tcPr>
          <w:p w14:paraId="7DFDA4A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0.43</w:t>
            </w:r>
          </w:p>
        </w:tc>
        <w:tc>
          <w:tcPr>
            <w:tcW w:w="1100" w:type="dxa"/>
            <w:tcBorders>
              <w:tl2br w:val="nil"/>
              <w:tr2bl w:val="nil"/>
            </w:tcBorders>
            <w:noWrap w:val="0"/>
            <w:vAlign w:val="center"/>
          </w:tcPr>
          <w:p w14:paraId="36FAB15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0.48</w:t>
            </w:r>
          </w:p>
        </w:tc>
        <w:tc>
          <w:tcPr>
            <w:tcW w:w="1025" w:type="dxa"/>
            <w:tcBorders>
              <w:tl2br w:val="nil"/>
              <w:tr2bl w:val="nil"/>
            </w:tcBorders>
            <w:noWrap w:val="0"/>
            <w:vAlign w:val="center"/>
          </w:tcPr>
          <w:p w14:paraId="33E35753">
            <w:pPr>
              <w:widowControl/>
              <w:spacing w:beforeLines="10" w:afterLines="1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0.5</w:t>
            </w:r>
          </w:p>
        </w:tc>
        <w:tc>
          <w:tcPr>
            <w:tcW w:w="1000" w:type="dxa"/>
            <w:tcBorders>
              <w:tl2br w:val="nil"/>
              <w:tr2bl w:val="nil"/>
            </w:tcBorders>
            <w:noWrap w:val="0"/>
            <w:vAlign w:val="center"/>
          </w:tcPr>
          <w:p w14:paraId="5204CBF6">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0.960 </w:t>
            </w:r>
          </w:p>
        </w:tc>
        <w:tc>
          <w:tcPr>
            <w:tcW w:w="949" w:type="dxa"/>
            <w:tcBorders>
              <w:tl2br w:val="nil"/>
              <w:tr2bl w:val="nil"/>
            </w:tcBorders>
            <w:noWrap w:val="0"/>
            <w:vAlign w:val="center"/>
          </w:tcPr>
          <w:p w14:paraId="1DD8BF6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EA674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27BB4F5C">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7735D92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化学需氧量</w:t>
            </w:r>
          </w:p>
        </w:tc>
        <w:tc>
          <w:tcPr>
            <w:tcW w:w="1117" w:type="dxa"/>
            <w:tcBorders>
              <w:tl2br w:val="nil"/>
              <w:tr2bl w:val="nil"/>
            </w:tcBorders>
            <w:noWrap w:val="0"/>
            <w:vAlign w:val="center"/>
          </w:tcPr>
          <w:p w14:paraId="7672477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12</w:t>
            </w:r>
          </w:p>
        </w:tc>
        <w:tc>
          <w:tcPr>
            <w:tcW w:w="1249" w:type="dxa"/>
            <w:tcBorders>
              <w:tl2br w:val="nil"/>
              <w:tr2bl w:val="nil"/>
            </w:tcBorders>
            <w:noWrap w:val="0"/>
            <w:vAlign w:val="center"/>
          </w:tcPr>
          <w:p w14:paraId="529724A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12</w:t>
            </w:r>
          </w:p>
        </w:tc>
        <w:tc>
          <w:tcPr>
            <w:tcW w:w="1100" w:type="dxa"/>
            <w:tcBorders>
              <w:tl2br w:val="nil"/>
              <w:tr2bl w:val="nil"/>
            </w:tcBorders>
            <w:noWrap w:val="0"/>
            <w:vAlign w:val="center"/>
          </w:tcPr>
          <w:p w14:paraId="0A4C692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13</w:t>
            </w:r>
          </w:p>
        </w:tc>
        <w:tc>
          <w:tcPr>
            <w:tcW w:w="1025" w:type="dxa"/>
            <w:tcBorders>
              <w:tl2br w:val="nil"/>
              <w:tr2bl w:val="nil"/>
            </w:tcBorders>
            <w:noWrap w:val="0"/>
            <w:vAlign w:val="center"/>
          </w:tcPr>
          <w:p w14:paraId="1DF263A6">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15</w:t>
            </w:r>
          </w:p>
        </w:tc>
        <w:tc>
          <w:tcPr>
            <w:tcW w:w="1000" w:type="dxa"/>
            <w:tcBorders>
              <w:tl2br w:val="nil"/>
              <w:tr2bl w:val="nil"/>
            </w:tcBorders>
            <w:noWrap w:val="0"/>
            <w:vAlign w:val="center"/>
          </w:tcPr>
          <w:p w14:paraId="084D5FFB">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0.867 </w:t>
            </w:r>
          </w:p>
        </w:tc>
        <w:tc>
          <w:tcPr>
            <w:tcW w:w="949" w:type="dxa"/>
            <w:tcBorders>
              <w:tl2br w:val="nil"/>
              <w:tr2bl w:val="nil"/>
            </w:tcBorders>
            <w:noWrap w:val="0"/>
            <w:vAlign w:val="center"/>
          </w:tcPr>
          <w:p w14:paraId="11018661">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778B0B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4743A66F">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760B78F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硒</w:t>
            </w:r>
          </w:p>
        </w:tc>
        <w:tc>
          <w:tcPr>
            <w:tcW w:w="1117" w:type="dxa"/>
            <w:tcBorders>
              <w:tl2br w:val="nil"/>
              <w:tr2bl w:val="nil"/>
            </w:tcBorders>
            <w:noWrap w:val="0"/>
            <w:vAlign w:val="center"/>
          </w:tcPr>
          <w:p w14:paraId="3F6E403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0.0004L</w:t>
            </w:r>
          </w:p>
        </w:tc>
        <w:tc>
          <w:tcPr>
            <w:tcW w:w="1249" w:type="dxa"/>
            <w:tcBorders>
              <w:tl2br w:val="nil"/>
              <w:tr2bl w:val="nil"/>
            </w:tcBorders>
            <w:noWrap w:val="0"/>
            <w:vAlign w:val="center"/>
          </w:tcPr>
          <w:p w14:paraId="44EE360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0.0004L</w:t>
            </w:r>
          </w:p>
        </w:tc>
        <w:tc>
          <w:tcPr>
            <w:tcW w:w="1100" w:type="dxa"/>
            <w:tcBorders>
              <w:tl2br w:val="nil"/>
              <w:tr2bl w:val="nil"/>
            </w:tcBorders>
            <w:noWrap w:val="0"/>
            <w:vAlign w:val="center"/>
          </w:tcPr>
          <w:p w14:paraId="2F08847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0.0004L</w:t>
            </w:r>
          </w:p>
        </w:tc>
        <w:tc>
          <w:tcPr>
            <w:tcW w:w="1025" w:type="dxa"/>
            <w:tcBorders>
              <w:tl2br w:val="nil"/>
              <w:tr2bl w:val="nil"/>
            </w:tcBorders>
            <w:noWrap w:val="0"/>
            <w:vAlign w:val="center"/>
          </w:tcPr>
          <w:p w14:paraId="0C907990">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lang w:val="en-US" w:eastAsia="zh-CN" w:bidi="ar-SA"/>
              </w:rPr>
              <w:t>0.01</w:t>
            </w:r>
          </w:p>
        </w:tc>
        <w:tc>
          <w:tcPr>
            <w:tcW w:w="1000" w:type="dxa"/>
            <w:tcBorders>
              <w:tl2br w:val="nil"/>
              <w:tr2bl w:val="nil"/>
            </w:tcBorders>
            <w:noWrap w:val="0"/>
            <w:vAlign w:val="center"/>
          </w:tcPr>
          <w:p w14:paraId="66217EB3">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0.040 </w:t>
            </w:r>
          </w:p>
        </w:tc>
        <w:tc>
          <w:tcPr>
            <w:tcW w:w="949" w:type="dxa"/>
            <w:tcBorders>
              <w:tl2br w:val="nil"/>
              <w:tr2bl w:val="nil"/>
            </w:tcBorders>
            <w:noWrap w:val="0"/>
            <w:vAlign w:val="center"/>
          </w:tcPr>
          <w:p w14:paraId="7D7A038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212E4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76B24D08">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4E0BA7F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砷</w:t>
            </w:r>
          </w:p>
        </w:tc>
        <w:tc>
          <w:tcPr>
            <w:tcW w:w="1117" w:type="dxa"/>
            <w:tcBorders>
              <w:tl2br w:val="nil"/>
              <w:tr2bl w:val="nil"/>
            </w:tcBorders>
            <w:noWrap w:val="0"/>
            <w:vAlign w:val="center"/>
          </w:tcPr>
          <w:p w14:paraId="546E6E4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249" w:type="dxa"/>
            <w:tcBorders>
              <w:tl2br w:val="nil"/>
              <w:tr2bl w:val="nil"/>
            </w:tcBorders>
            <w:noWrap w:val="0"/>
            <w:vAlign w:val="center"/>
          </w:tcPr>
          <w:p w14:paraId="1F224FF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100" w:type="dxa"/>
            <w:tcBorders>
              <w:tl2br w:val="nil"/>
              <w:tr2bl w:val="nil"/>
            </w:tcBorders>
            <w:noWrap w:val="0"/>
            <w:vAlign w:val="center"/>
          </w:tcPr>
          <w:p w14:paraId="3136BEB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025" w:type="dxa"/>
            <w:tcBorders>
              <w:tl2br w:val="nil"/>
              <w:tr2bl w:val="nil"/>
            </w:tcBorders>
            <w:noWrap w:val="0"/>
            <w:vAlign w:val="center"/>
          </w:tcPr>
          <w:p w14:paraId="1144CC2D">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00" w:type="dxa"/>
            <w:tcBorders>
              <w:tl2br w:val="nil"/>
              <w:tr2bl w:val="nil"/>
            </w:tcBorders>
            <w:noWrap w:val="0"/>
            <w:vAlign w:val="center"/>
          </w:tcPr>
          <w:p w14:paraId="7B87F13B">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0.006 </w:t>
            </w:r>
          </w:p>
        </w:tc>
        <w:tc>
          <w:tcPr>
            <w:tcW w:w="949" w:type="dxa"/>
            <w:tcBorders>
              <w:tl2br w:val="nil"/>
              <w:tr2bl w:val="nil"/>
            </w:tcBorders>
            <w:noWrap w:val="0"/>
            <w:vAlign w:val="center"/>
          </w:tcPr>
          <w:p w14:paraId="77288F8B">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87243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4CF5E7BE">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62D44E9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汞</w:t>
            </w:r>
          </w:p>
        </w:tc>
        <w:tc>
          <w:tcPr>
            <w:tcW w:w="1117" w:type="dxa"/>
            <w:tcBorders>
              <w:tl2br w:val="nil"/>
              <w:tr2bl w:val="nil"/>
            </w:tcBorders>
            <w:noWrap w:val="0"/>
            <w:vAlign w:val="center"/>
          </w:tcPr>
          <w:p w14:paraId="15F1238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0.00004L</w:t>
            </w:r>
          </w:p>
        </w:tc>
        <w:tc>
          <w:tcPr>
            <w:tcW w:w="1249" w:type="dxa"/>
            <w:tcBorders>
              <w:tl2br w:val="nil"/>
              <w:tr2bl w:val="nil"/>
            </w:tcBorders>
            <w:noWrap w:val="0"/>
            <w:vAlign w:val="center"/>
          </w:tcPr>
          <w:p w14:paraId="5AAAC49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0.00004L</w:t>
            </w:r>
          </w:p>
        </w:tc>
        <w:tc>
          <w:tcPr>
            <w:tcW w:w="1100" w:type="dxa"/>
            <w:tcBorders>
              <w:tl2br w:val="nil"/>
              <w:tr2bl w:val="nil"/>
            </w:tcBorders>
            <w:noWrap w:val="0"/>
            <w:vAlign w:val="center"/>
          </w:tcPr>
          <w:p w14:paraId="6E81121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0.00004L</w:t>
            </w:r>
          </w:p>
        </w:tc>
        <w:tc>
          <w:tcPr>
            <w:tcW w:w="1025" w:type="dxa"/>
            <w:tcBorders>
              <w:tl2br w:val="nil"/>
              <w:tr2bl w:val="nil"/>
            </w:tcBorders>
            <w:noWrap w:val="0"/>
            <w:vAlign w:val="center"/>
          </w:tcPr>
          <w:p w14:paraId="69752D31">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0.00005</w:t>
            </w:r>
          </w:p>
        </w:tc>
        <w:tc>
          <w:tcPr>
            <w:tcW w:w="1000" w:type="dxa"/>
            <w:tcBorders>
              <w:tl2br w:val="nil"/>
              <w:tr2bl w:val="nil"/>
            </w:tcBorders>
            <w:noWrap w:val="0"/>
            <w:vAlign w:val="center"/>
          </w:tcPr>
          <w:p w14:paraId="52439397">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0.800 </w:t>
            </w:r>
          </w:p>
        </w:tc>
        <w:tc>
          <w:tcPr>
            <w:tcW w:w="949" w:type="dxa"/>
            <w:tcBorders>
              <w:tl2br w:val="nil"/>
              <w:tr2bl w:val="nil"/>
            </w:tcBorders>
            <w:noWrap w:val="0"/>
            <w:vAlign w:val="center"/>
          </w:tcPr>
          <w:p w14:paraId="4C68ACD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F7E29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38DEC259">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69245B8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镉</w:t>
            </w:r>
          </w:p>
        </w:tc>
        <w:tc>
          <w:tcPr>
            <w:tcW w:w="1117" w:type="dxa"/>
            <w:tcBorders>
              <w:tl2br w:val="nil"/>
              <w:tr2bl w:val="nil"/>
            </w:tcBorders>
            <w:noWrap w:val="0"/>
            <w:vAlign w:val="center"/>
          </w:tcPr>
          <w:p w14:paraId="5E8343C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0.0001L</w:t>
            </w:r>
          </w:p>
        </w:tc>
        <w:tc>
          <w:tcPr>
            <w:tcW w:w="1249" w:type="dxa"/>
            <w:tcBorders>
              <w:tl2br w:val="nil"/>
              <w:tr2bl w:val="nil"/>
            </w:tcBorders>
            <w:noWrap w:val="0"/>
            <w:vAlign w:val="center"/>
          </w:tcPr>
          <w:p w14:paraId="75EC373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0.0001L</w:t>
            </w:r>
          </w:p>
        </w:tc>
        <w:tc>
          <w:tcPr>
            <w:tcW w:w="1100" w:type="dxa"/>
            <w:tcBorders>
              <w:tl2br w:val="nil"/>
              <w:tr2bl w:val="nil"/>
            </w:tcBorders>
            <w:noWrap w:val="0"/>
            <w:vAlign w:val="center"/>
          </w:tcPr>
          <w:p w14:paraId="5C82613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0.0001L</w:t>
            </w:r>
          </w:p>
        </w:tc>
        <w:tc>
          <w:tcPr>
            <w:tcW w:w="1025" w:type="dxa"/>
            <w:tcBorders>
              <w:tl2br w:val="nil"/>
              <w:tr2bl w:val="nil"/>
            </w:tcBorders>
            <w:noWrap w:val="0"/>
            <w:vAlign w:val="center"/>
          </w:tcPr>
          <w:p w14:paraId="312D082B">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0.005</w:t>
            </w:r>
          </w:p>
        </w:tc>
        <w:tc>
          <w:tcPr>
            <w:tcW w:w="1000" w:type="dxa"/>
            <w:tcBorders>
              <w:tl2br w:val="nil"/>
              <w:tr2bl w:val="nil"/>
            </w:tcBorders>
            <w:noWrap w:val="0"/>
            <w:vAlign w:val="center"/>
          </w:tcPr>
          <w:p w14:paraId="5678FF98">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0.020 </w:t>
            </w:r>
          </w:p>
        </w:tc>
        <w:tc>
          <w:tcPr>
            <w:tcW w:w="949" w:type="dxa"/>
            <w:tcBorders>
              <w:tl2br w:val="nil"/>
              <w:tr2bl w:val="nil"/>
            </w:tcBorders>
            <w:noWrap w:val="0"/>
            <w:vAlign w:val="center"/>
          </w:tcPr>
          <w:p w14:paraId="48953C7C">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71E86F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63370DA7">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181F30A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铅</w:t>
            </w:r>
          </w:p>
        </w:tc>
        <w:tc>
          <w:tcPr>
            <w:tcW w:w="1117" w:type="dxa"/>
            <w:tcBorders>
              <w:tl2br w:val="nil"/>
              <w:tr2bl w:val="nil"/>
            </w:tcBorders>
            <w:noWrap w:val="0"/>
            <w:vAlign w:val="center"/>
          </w:tcPr>
          <w:p w14:paraId="4C84737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249" w:type="dxa"/>
            <w:tcBorders>
              <w:tl2br w:val="nil"/>
              <w:tr2bl w:val="nil"/>
            </w:tcBorders>
            <w:noWrap w:val="0"/>
            <w:vAlign w:val="center"/>
          </w:tcPr>
          <w:p w14:paraId="7FC5649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100" w:type="dxa"/>
            <w:tcBorders>
              <w:tl2br w:val="nil"/>
              <w:tr2bl w:val="nil"/>
            </w:tcBorders>
            <w:noWrap w:val="0"/>
            <w:vAlign w:val="center"/>
          </w:tcPr>
          <w:p w14:paraId="463D2D2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025" w:type="dxa"/>
            <w:tcBorders>
              <w:tl2br w:val="nil"/>
              <w:tr2bl w:val="nil"/>
            </w:tcBorders>
            <w:noWrap w:val="0"/>
            <w:vAlign w:val="center"/>
          </w:tcPr>
          <w:p w14:paraId="0C69858A">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0.01</w:t>
            </w:r>
          </w:p>
        </w:tc>
        <w:tc>
          <w:tcPr>
            <w:tcW w:w="1000" w:type="dxa"/>
            <w:tcBorders>
              <w:tl2br w:val="nil"/>
              <w:tr2bl w:val="nil"/>
            </w:tcBorders>
            <w:noWrap w:val="0"/>
            <w:vAlign w:val="center"/>
          </w:tcPr>
          <w:p w14:paraId="372A1A29">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0.100 </w:t>
            </w:r>
          </w:p>
        </w:tc>
        <w:tc>
          <w:tcPr>
            <w:tcW w:w="949" w:type="dxa"/>
            <w:tcBorders>
              <w:tl2br w:val="nil"/>
              <w:tr2bl w:val="nil"/>
            </w:tcBorders>
            <w:noWrap w:val="0"/>
            <w:vAlign w:val="center"/>
          </w:tcPr>
          <w:p w14:paraId="119EE9CC">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14390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3EA84419">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686397E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铜</w:t>
            </w:r>
          </w:p>
        </w:tc>
        <w:tc>
          <w:tcPr>
            <w:tcW w:w="1117" w:type="dxa"/>
            <w:tcBorders>
              <w:tl2br w:val="nil"/>
              <w:tr2bl w:val="nil"/>
            </w:tcBorders>
            <w:noWrap w:val="0"/>
            <w:vAlign w:val="center"/>
          </w:tcPr>
          <w:p w14:paraId="6775459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249" w:type="dxa"/>
            <w:tcBorders>
              <w:tl2br w:val="nil"/>
              <w:tr2bl w:val="nil"/>
            </w:tcBorders>
            <w:noWrap w:val="0"/>
            <w:vAlign w:val="center"/>
          </w:tcPr>
          <w:p w14:paraId="27C74B6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100" w:type="dxa"/>
            <w:tcBorders>
              <w:tl2br w:val="nil"/>
              <w:tr2bl w:val="nil"/>
            </w:tcBorders>
            <w:noWrap w:val="0"/>
            <w:vAlign w:val="center"/>
          </w:tcPr>
          <w:p w14:paraId="6122E09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0.001L</w:t>
            </w:r>
          </w:p>
        </w:tc>
        <w:tc>
          <w:tcPr>
            <w:tcW w:w="1025" w:type="dxa"/>
            <w:tcBorders>
              <w:tl2br w:val="nil"/>
              <w:tr2bl w:val="nil"/>
            </w:tcBorders>
            <w:noWrap w:val="0"/>
            <w:vAlign w:val="center"/>
          </w:tcPr>
          <w:p w14:paraId="4155C177">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00" w:type="dxa"/>
            <w:tcBorders>
              <w:tl2br w:val="nil"/>
              <w:tr2bl w:val="nil"/>
            </w:tcBorders>
            <w:noWrap w:val="0"/>
            <w:vAlign w:val="center"/>
          </w:tcPr>
          <w:p w14:paraId="16FE3E02">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0.001 </w:t>
            </w:r>
          </w:p>
        </w:tc>
        <w:tc>
          <w:tcPr>
            <w:tcW w:w="949" w:type="dxa"/>
            <w:tcBorders>
              <w:tl2br w:val="nil"/>
              <w:tr2bl w:val="nil"/>
            </w:tcBorders>
            <w:noWrap w:val="0"/>
            <w:vAlign w:val="center"/>
          </w:tcPr>
          <w:p w14:paraId="786C8B9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55F43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36EEEEBB">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754E0AD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锌</w:t>
            </w:r>
          </w:p>
        </w:tc>
        <w:tc>
          <w:tcPr>
            <w:tcW w:w="1117" w:type="dxa"/>
            <w:tcBorders>
              <w:tl2br w:val="nil"/>
              <w:tr2bl w:val="nil"/>
            </w:tcBorders>
            <w:noWrap w:val="0"/>
            <w:vAlign w:val="center"/>
          </w:tcPr>
          <w:p w14:paraId="00F0491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249" w:type="dxa"/>
            <w:tcBorders>
              <w:tl2br w:val="nil"/>
              <w:tr2bl w:val="nil"/>
            </w:tcBorders>
            <w:noWrap w:val="0"/>
            <w:vAlign w:val="center"/>
          </w:tcPr>
          <w:p w14:paraId="43CE1F6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100" w:type="dxa"/>
            <w:tcBorders>
              <w:tl2br w:val="nil"/>
              <w:tr2bl w:val="nil"/>
            </w:tcBorders>
            <w:noWrap w:val="0"/>
            <w:vAlign w:val="center"/>
          </w:tcPr>
          <w:p w14:paraId="13F38C4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025" w:type="dxa"/>
            <w:tcBorders>
              <w:tl2br w:val="nil"/>
              <w:tr2bl w:val="nil"/>
            </w:tcBorders>
            <w:noWrap w:val="0"/>
            <w:vAlign w:val="center"/>
          </w:tcPr>
          <w:p w14:paraId="467C52B5">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00" w:type="dxa"/>
            <w:tcBorders>
              <w:tl2br w:val="nil"/>
              <w:tr2bl w:val="nil"/>
            </w:tcBorders>
            <w:noWrap w:val="0"/>
            <w:vAlign w:val="center"/>
          </w:tcPr>
          <w:p w14:paraId="487359F6">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0.050 </w:t>
            </w:r>
          </w:p>
        </w:tc>
        <w:tc>
          <w:tcPr>
            <w:tcW w:w="949" w:type="dxa"/>
            <w:tcBorders>
              <w:tl2br w:val="nil"/>
              <w:tr2bl w:val="nil"/>
            </w:tcBorders>
            <w:noWrap w:val="0"/>
            <w:vAlign w:val="center"/>
          </w:tcPr>
          <w:p w14:paraId="4721388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7DB1D2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279E7F07">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7A9CD15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铁</w:t>
            </w:r>
          </w:p>
        </w:tc>
        <w:tc>
          <w:tcPr>
            <w:tcW w:w="1117" w:type="dxa"/>
            <w:tcBorders>
              <w:tl2br w:val="nil"/>
              <w:tr2bl w:val="nil"/>
            </w:tcBorders>
            <w:noWrap w:val="0"/>
            <w:vAlign w:val="center"/>
          </w:tcPr>
          <w:p w14:paraId="04AF57A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0.03L</w:t>
            </w:r>
          </w:p>
        </w:tc>
        <w:tc>
          <w:tcPr>
            <w:tcW w:w="1249" w:type="dxa"/>
            <w:tcBorders>
              <w:tl2br w:val="nil"/>
              <w:tr2bl w:val="nil"/>
            </w:tcBorders>
            <w:noWrap w:val="0"/>
            <w:vAlign w:val="center"/>
          </w:tcPr>
          <w:p w14:paraId="706A7D5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0.03L</w:t>
            </w:r>
          </w:p>
        </w:tc>
        <w:tc>
          <w:tcPr>
            <w:tcW w:w="1100" w:type="dxa"/>
            <w:tcBorders>
              <w:tl2br w:val="nil"/>
              <w:tr2bl w:val="nil"/>
            </w:tcBorders>
            <w:noWrap w:val="0"/>
            <w:vAlign w:val="center"/>
          </w:tcPr>
          <w:p w14:paraId="47C14F4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0.03L</w:t>
            </w:r>
          </w:p>
        </w:tc>
        <w:tc>
          <w:tcPr>
            <w:tcW w:w="1025" w:type="dxa"/>
            <w:tcBorders>
              <w:tl2br w:val="nil"/>
              <w:tr2bl w:val="nil"/>
            </w:tcBorders>
            <w:noWrap w:val="0"/>
            <w:vAlign w:val="center"/>
          </w:tcPr>
          <w:p w14:paraId="6901290E">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0.3</w:t>
            </w:r>
          </w:p>
        </w:tc>
        <w:tc>
          <w:tcPr>
            <w:tcW w:w="1000" w:type="dxa"/>
            <w:tcBorders>
              <w:tl2br w:val="nil"/>
              <w:tr2bl w:val="nil"/>
            </w:tcBorders>
            <w:noWrap w:val="0"/>
            <w:vAlign w:val="center"/>
          </w:tcPr>
          <w:p w14:paraId="52C647D4">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0.100 </w:t>
            </w:r>
          </w:p>
        </w:tc>
        <w:tc>
          <w:tcPr>
            <w:tcW w:w="949" w:type="dxa"/>
            <w:tcBorders>
              <w:tl2br w:val="nil"/>
              <w:tr2bl w:val="nil"/>
            </w:tcBorders>
            <w:noWrap w:val="0"/>
            <w:vAlign w:val="center"/>
          </w:tcPr>
          <w:p w14:paraId="023E09A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809B3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4E0D2BD0">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3BB22A5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锰</w:t>
            </w:r>
          </w:p>
        </w:tc>
        <w:tc>
          <w:tcPr>
            <w:tcW w:w="1117" w:type="dxa"/>
            <w:tcBorders>
              <w:tl2br w:val="nil"/>
              <w:tr2bl w:val="nil"/>
            </w:tcBorders>
            <w:noWrap w:val="0"/>
            <w:vAlign w:val="center"/>
          </w:tcPr>
          <w:p w14:paraId="63E3FC5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249" w:type="dxa"/>
            <w:tcBorders>
              <w:tl2br w:val="nil"/>
              <w:tr2bl w:val="nil"/>
            </w:tcBorders>
            <w:noWrap w:val="0"/>
            <w:vAlign w:val="center"/>
          </w:tcPr>
          <w:p w14:paraId="5F09826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100" w:type="dxa"/>
            <w:tcBorders>
              <w:tl2br w:val="nil"/>
              <w:tr2bl w:val="nil"/>
            </w:tcBorders>
            <w:noWrap w:val="0"/>
            <w:vAlign w:val="center"/>
          </w:tcPr>
          <w:p w14:paraId="6DEB826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025" w:type="dxa"/>
            <w:tcBorders>
              <w:tl2br w:val="nil"/>
              <w:tr2bl w:val="nil"/>
            </w:tcBorders>
            <w:noWrap w:val="0"/>
            <w:vAlign w:val="center"/>
          </w:tcPr>
          <w:p w14:paraId="5781A051">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0.1</w:t>
            </w:r>
          </w:p>
        </w:tc>
        <w:tc>
          <w:tcPr>
            <w:tcW w:w="1000" w:type="dxa"/>
            <w:tcBorders>
              <w:tl2br w:val="nil"/>
              <w:tr2bl w:val="nil"/>
            </w:tcBorders>
            <w:noWrap w:val="0"/>
            <w:vAlign w:val="center"/>
          </w:tcPr>
          <w:p w14:paraId="5E8C2FF0">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0.100 </w:t>
            </w:r>
          </w:p>
        </w:tc>
        <w:tc>
          <w:tcPr>
            <w:tcW w:w="949" w:type="dxa"/>
            <w:tcBorders>
              <w:tl2br w:val="nil"/>
              <w:tr2bl w:val="nil"/>
            </w:tcBorders>
            <w:noWrap w:val="0"/>
            <w:vAlign w:val="center"/>
          </w:tcPr>
          <w:p w14:paraId="3C3B14C3">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35BDB1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15E467C5">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3DDE191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六价铬</w:t>
            </w:r>
          </w:p>
        </w:tc>
        <w:tc>
          <w:tcPr>
            <w:tcW w:w="1117" w:type="dxa"/>
            <w:tcBorders>
              <w:tl2br w:val="nil"/>
              <w:tr2bl w:val="nil"/>
            </w:tcBorders>
            <w:noWrap w:val="0"/>
            <w:vAlign w:val="center"/>
          </w:tcPr>
          <w:p w14:paraId="15FE52B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vertAlign w:val="baseline"/>
                <w:lang w:val="en-US" w:eastAsia="zh-CN" w:bidi="ar-SA"/>
              </w:rPr>
            </w:pPr>
            <w:r>
              <w:rPr>
                <w:rFonts w:hint="default" w:ascii="Times New Roman" w:hAnsi="Times New Roman" w:eastAsia="宋体" w:cs="Times New Roman"/>
                <w:sz w:val="21"/>
                <w:szCs w:val="21"/>
                <w:lang w:val="en-US" w:eastAsia="zh-CN"/>
              </w:rPr>
              <w:t>0.004L</w:t>
            </w:r>
          </w:p>
        </w:tc>
        <w:tc>
          <w:tcPr>
            <w:tcW w:w="1249" w:type="dxa"/>
            <w:tcBorders>
              <w:tl2br w:val="nil"/>
              <w:tr2bl w:val="nil"/>
            </w:tcBorders>
            <w:noWrap w:val="0"/>
            <w:vAlign w:val="center"/>
          </w:tcPr>
          <w:p w14:paraId="1CBE1BA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vertAlign w:val="baseline"/>
                <w:lang w:val="en-US" w:eastAsia="zh-CN" w:bidi="ar-SA"/>
              </w:rPr>
            </w:pPr>
            <w:r>
              <w:rPr>
                <w:rFonts w:hint="default" w:ascii="Times New Roman" w:hAnsi="Times New Roman" w:eastAsia="宋体" w:cs="Times New Roman"/>
                <w:sz w:val="21"/>
                <w:szCs w:val="21"/>
                <w:lang w:val="en-US" w:eastAsia="zh-CN"/>
              </w:rPr>
              <w:t>0.004L</w:t>
            </w:r>
          </w:p>
        </w:tc>
        <w:tc>
          <w:tcPr>
            <w:tcW w:w="1100" w:type="dxa"/>
            <w:tcBorders>
              <w:tl2br w:val="nil"/>
              <w:tr2bl w:val="nil"/>
            </w:tcBorders>
            <w:noWrap w:val="0"/>
            <w:vAlign w:val="center"/>
          </w:tcPr>
          <w:p w14:paraId="41118C6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vertAlign w:val="baseline"/>
                <w:lang w:val="en-US" w:eastAsia="zh-CN" w:bidi="ar-SA"/>
              </w:rPr>
            </w:pPr>
            <w:r>
              <w:rPr>
                <w:rFonts w:hint="default" w:ascii="Times New Roman" w:hAnsi="Times New Roman" w:eastAsia="宋体" w:cs="Times New Roman"/>
                <w:sz w:val="21"/>
                <w:szCs w:val="21"/>
                <w:lang w:val="en-US" w:eastAsia="zh-CN"/>
              </w:rPr>
              <w:t>0.004L</w:t>
            </w:r>
          </w:p>
        </w:tc>
        <w:tc>
          <w:tcPr>
            <w:tcW w:w="1025" w:type="dxa"/>
            <w:tcBorders>
              <w:tl2br w:val="nil"/>
              <w:tr2bl w:val="nil"/>
            </w:tcBorders>
            <w:noWrap w:val="0"/>
            <w:vAlign w:val="center"/>
          </w:tcPr>
          <w:p w14:paraId="5E1E3FB3">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00" w:type="dxa"/>
            <w:tcBorders>
              <w:tl2br w:val="nil"/>
              <w:tr2bl w:val="nil"/>
            </w:tcBorders>
            <w:noWrap w:val="0"/>
            <w:vAlign w:val="center"/>
          </w:tcPr>
          <w:p w14:paraId="4E2748E0">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0.080 </w:t>
            </w:r>
          </w:p>
        </w:tc>
        <w:tc>
          <w:tcPr>
            <w:tcW w:w="949" w:type="dxa"/>
            <w:tcBorders>
              <w:tl2br w:val="nil"/>
              <w:tr2bl w:val="nil"/>
            </w:tcBorders>
            <w:noWrap w:val="0"/>
            <w:vAlign w:val="center"/>
          </w:tcPr>
          <w:p w14:paraId="7BA4C270">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BF817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01F4BE96">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401B6E0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氰化物</w:t>
            </w:r>
          </w:p>
        </w:tc>
        <w:tc>
          <w:tcPr>
            <w:tcW w:w="1117" w:type="dxa"/>
            <w:tcBorders>
              <w:tl2br w:val="nil"/>
              <w:tr2bl w:val="nil"/>
            </w:tcBorders>
            <w:noWrap w:val="0"/>
            <w:vAlign w:val="center"/>
          </w:tcPr>
          <w:p w14:paraId="6D1A03B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vertAlign w:val="baseline"/>
                <w:lang w:val="en-US" w:eastAsia="zh-CN" w:bidi="ar-SA"/>
              </w:rPr>
            </w:pPr>
            <w:r>
              <w:rPr>
                <w:rFonts w:hint="default" w:ascii="Times New Roman" w:hAnsi="Times New Roman" w:eastAsia="宋体" w:cs="Times New Roman"/>
                <w:sz w:val="21"/>
                <w:szCs w:val="21"/>
                <w:lang w:val="en-US" w:eastAsia="zh-CN"/>
              </w:rPr>
              <w:t>0.004L</w:t>
            </w:r>
          </w:p>
        </w:tc>
        <w:tc>
          <w:tcPr>
            <w:tcW w:w="1249" w:type="dxa"/>
            <w:tcBorders>
              <w:tl2br w:val="nil"/>
              <w:tr2bl w:val="nil"/>
            </w:tcBorders>
            <w:noWrap w:val="0"/>
            <w:vAlign w:val="center"/>
          </w:tcPr>
          <w:p w14:paraId="75874F5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vertAlign w:val="baseline"/>
                <w:lang w:val="en-US" w:eastAsia="zh-CN" w:bidi="ar-SA"/>
              </w:rPr>
            </w:pPr>
            <w:r>
              <w:rPr>
                <w:rFonts w:hint="default" w:ascii="Times New Roman" w:hAnsi="Times New Roman" w:eastAsia="宋体" w:cs="Times New Roman"/>
                <w:sz w:val="21"/>
                <w:szCs w:val="21"/>
                <w:lang w:val="en-US" w:eastAsia="zh-CN"/>
              </w:rPr>
              <w:t>0.004L</w:t>
            </w:r>
          </w:p>
        </w:tc>
        <w:tc>
          <w:tcPr>
            <w:tcW w:w="1100" w:type="dxa"/>
            <w:tcBorders>
              <w:tl2br w:val="nil"/>
              <w:tr2bl w:val="nil"/>
            </w:tcBorders>
            <w:noWrap w:val="0"/>
            <w:vAlign w:val="center"/>
          </w:tcPr>
          <w:p w14:paraId="6A2117D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vertAlign w:val="baseline"/>
                <w:lang w:val="en-US" w:eastAsia="zh-CN" w:bidi="ar-SA"/>
              </w:rPr>
            </w:pPr>
            <w:r>
              <w:rPr>
                <w:rFonts w:hint="default" w:ascii="Times New Roman" w:hAnsi="Times New Roman" w:eastAsia="宋体" w:cs="Times New Roman"/>
                <w:sz w:val="21"/>
                <w:szCs w:val="21"/>
                <w:lang w:val="en-US" w:eastAsia="zh-CN"/>
              </w:rPr>
              <w:t>0.004L</w:t>
            </w:r>
          </w:p>
        </w:tc>
        <w:tc>
          <w:tcPr>
            <w:tcW w:w="1025" w:type="dxa"/>
            <w:tcBorders>
              <w:tl2br w:val="nil"/>
              <w:tr2bl w:val="nil"/>
            </w:tcBorders>
            <w:noWrap w:val="0"/>
            <w:vAlign w:val="center"/>
          </w:tcPr>
          <w:p w14:paraId="6C1473C1">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00" w:type="dxa"/>
            <w:tcBorders>
              <w:tl2br w:val="nil"/>
              <w:tr2bl w:val="nil"/>
            </w:tcBorders>
            <w:noWrap w:val="0"/>
            <w:vAlign w:val="center"/>
          </w:tcPr>
          <w:p w14:paraId="5DE99D05">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0.080 </w:t>
            </w:r>
          </w:p>
        </w:tc>
        <w:tc>
          <w:tcPr>
            <w:tcW w:w="949" w:type="dxa"/>
            <w:tcBorders>
              <w:tl2br w:val="nil"/>
              <w:tr2bl w:val="nil"/>
            </w:tcBorders>
            <w:noWrap w:val="0"/>
            <w:vAlign w:val="center"/>
          </w:tcPr>
          <w:p w14:paraId="4E1721B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7F5B0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57FAB7CD">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024021B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粪大肠菌群</w:t>
            </w:r>
          </w:p>
        </w:tc>
        <w:tc>
          <w:tcPr>
            <w:tcW w:w="1117" w:type="dxa"/>
            <w:tcBorders>
              <w:tl2br w:val="nil"/>
              <w:tr2bl w:val="nil"/>
            </w:tcBorders>
            <w:noWrap w:val="0"/>
            <w:vAlign w:val="center"/>
          </w:tcPr>
          <w:p w14:paraId="35395BB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u w:val="none" w:color="auto"/>
                <w:lang w:val="en-US" w:eastAsia="zh-CN" w:bidi="ar-SA"/>
              </w:rPr>
            </w:pPr>
            <w:r>
              <w:rPr>
                <w:rFonts w:hint="default" w:ascii="Times New Roman" w:hAnsi="Times New Roman" w:eastAsia="宋体" w:cs="Times New Roman"/>
                <w:sz w:val="21"/>
                <w:szCs w:val="21"/>
                <w:lang w:val="en-US" w:eastAsia="zh-CN"/>
              </w:rPr>
              <w:t>1.1×10</w:t>
            </w:r>
            <w:r>
              <w:rPr>
                <w:rFonts w:hint="default" w:ascii="Times New Roman" w:hAnsi="Times New Roman" w:eastAsia="宋体" w:cs="Times New Roman"/>
                <w:sz w:val="21"/>
                <w:szCs w:val="21"/>
                <w:vertAlign w:val="superscript"/>
                <w:lang w:val="en-US" w:eastAsia="zh-CN"/>
              </w:rPr>
              <w:t>2</w:t>
            </w:r>
          </w:p>
        </w:tc>
        <w:tc>
          <w:tcPr>
            <w:tcW w:w="1249" w:type="dxa"/>
            <w:tcBorders>
              <w:tl2br w:val="nil"/>
              <w:tr2bl w:val="nil"/>
            </w:tcBorders>
            <w:noWrap w:val="0"/>
            <w:vAlign w:val="center"/>
          </w:tcPr>
          <w:p w14:paraId="4CC4E1F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u w:val="none" w:color="auto"/>
                <w:lang w:val="en-US" w:eastAsia="zh-CN" w:bidi="ar-SA"/>
              </w:rPr>
            </w:pPr>
            <w:r>
              <w:rPr>
                <w:rFonts w:hint="default" w:ascii="Times New Roman" w:hAnsi="Times New Roman" w:eastAsia="宋体" w:cs="Times New Roman"/>
                <w:sz w:val="21"/>
                <w:szCs w:val="21"/>
                <w:lang w:val="en-US" w:eastAsia="zh-CN"/>
              </w:rPr>
              <w:t>1.2×10</w:t>
            </w:r>
            <w:r>
              <w:rPr>
                <w:rFonts w:hint="default" w:ascii="Times New Roman" w:hAnsi="Times New Roman" w:eastAsia="宋体" w:cs="Times New Roman"/>
                <w:sz w:val="21"/>
                <w:szCs w:val="21"/>
                <w:vertAlign w:val="superscript"/>
                <w:lang w:val="en-US" w:eastAsia="zh-CN"/>
              </w:rPr>
              <w:t>2</w:t>
            </w:r>
          </w:p>
        </w:tc>
        <w:tc>
          <w:tcPr>
            <w:tcW w:w="1100" w:type="dxa"/>
            <w:tcBorders>
              <w:tl2br w:val="nil"/>
              <w:tr2bl w:val="nil"/>
            </w:tcBorders>
            <w:noWrap w:val="0"/>
            <w:vAlign w:val="center"/>
          </w:tcPr>
          <w:p w14:paraId="3845551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highlight w:val="none"/>
                <w:u w:val="none" w:color="auto"/>
                <w:lang w:val="en-US" w:eastAsia="zh-CN" w:bidi="ar-SA"/>
              </w:rPr>
            </w:pPr>
            <w:r>
              <w:rPr>
                <w:rFonts w:hint="default" w:ascii="Times New Roman" w:hAnsi="Times New Roman" w:eastAsia="宋体" w:cs="Times New Roman"/>
                <w:sz w:val="21"/>
                <w:szCs w:val="21"/>
                <w:lang w:val="en-US" w:eastAsia="zh-CN"/>
              </w:rPr>
              <w:t>1.0×10</w:t>
            </w:r>
            <w:r>
              <w:rPr>
                <w:rFonts w:hint="default" w:ascii="Times New Roman" w:hAnsi="Times New Roman" w:eastAsia="宋体" w:cs="Times New Roman"/>
                <w:sz w:val="21"/>
                <w:szCs w:val="21"/>
                <w:vertAlign w:val="superscript"/>
                <w:lang w:val="en-US" w:eastAsia="zh-CN"/>
              </w:rPr>
              <w:t>2</w:t>
            </w:r>
          </w:p>
        </w:tc>
        <w:tc>
          <w:tcPr>
            <w:tcW w:w="1025" w:type="dxa"/>
            <w:tcBorders>
              <w:tl2br w:val="nil"/>
              <w:tr2bl w:val="nil"/>
            </w:tcBorders>
            <w:noWrap w:val="0"/>
            <w:vAlign w:val="center"/>
          </w:tcPr>
          <w:p w14:paraId="362E205F">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2000</w:t>
            </w:r>
          </w:p>
        </w:tc>
        <w:tc>
          <w:tcPr>
            <w:tcW w:w="1000" w:type="dxa"/>
            <w:tcBorders>
              <w:tl2br w:val="nil"/>
              <w:tr2bl w:val="nil"/>
            </w:tcBorders>
            <w:noWrap w:val="0"/>
            <w:vAlign w:val="center"/>
          </w:tcPr>
          <w:p w14:paraId="5B561165">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0.080 </w:t>
            </w:r>
          </w:p>
        </w:tc>
        <w:tc>
          <w:tcPr>
            <w:tcW w:w="949" w:type="dxa"/>
            <w:tcBorders>
              <w:tl2br w:val="nil"/>
              <w:tr2bl w:val="nil"/>
            </w:tcBorders>
            <w:noWrap w:val="0"/>
            <w:vAlign w:val="center"/>
          </w:tcPr>
          <w:p w14:paraId="70E69760">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46E55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7410ACED">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4B327B0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五日生化需氧量</w:t>
            </w:r>
          </w:p>
        </w:tc>
        <w:tc>
          <w:tcPr>
            <w:tcW w:w="1117" w:type="dxa"/>
            <w:tcBorders>
              <w:tl2br w:val="nil"/>
              <w:tr2bl w:val="nil"/>
            </w:tcBorders>
            <w:noWrap w:val="0"/>
            <w:vAlign w:val="center"/>
          </w:tcPr>
          <w:p w14:paraId="4C49684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2.9</w:t>
            </w:r>
          </w:p>
        </w:tc>
        <w:tc>
          <w:tcPr>
            <w:tcW w:w="1249" w:type="dxa"/>
            <w:tcBorders>
              <w:tl2br w:val="nil"/>
              <w:tr2bl w:val="nil"/>
            </w:tcBorders>
            <w:noWrap w:val="0"/>
            <w:vAlign w:val="center"/>
          </w:tcPr>
          <w:p w14:paraId="0C2CE5A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2.9</w:t>
            </w:r>
          </w:p>
        </w:tc>
        <w:tc>
          <w:tcPr>
            <w:tcW w:w="1100" w:type="dxa"/>
            <w:tcBorders>
              <w:tl2br w:val="nil"/>
              <w:tr2bl w:val="nil"/>
            </w:tcBorders>
            <w:noWrap w:val="0"/>
            <w:vAlign w:val="center"/>
          </w:tcPr>
          <w:p w14:paraId="3677878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2.7</w:t>
            </w:r>
          </w:p>
        </w:tc>
        <w:tc>
          <w:tcPr>
            <w:tcW w:w="1025" w:type="dxa"/>
            <w:tcBorders>
              <w:tl2br w:val="nil"/>
              <w:tr2bl w:val="nil"/>
            </w:tcBorders>
            <w:noWrap w:val="0"/>
            <w:vAlign w:val="center"/>
          </w:tcPr>
          <w:p w14:paraId="2C435A30">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3</w:t>
            </w:r>
          </w:p>
        </w:tc>
        <w:tc>
          <w:tcPr>
            <w:tcW w:w="1000" w:type="dxa"/>
            <w:tcBorders>
              <w:tl2br w:val="nil"/>
              <w:tr2bl w:val="nil"/>
            </w:tcBorders>
            <w:noWrap w:val="0"/>
            <w:vAlign w:val="center"/>
          </w:tcPr>
          <w:p w14:paraId="3F092498">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0.967 </w:t>
            </w:r>
          </w:p>
        </w:tc>
        <w:tc>
          <w:tcPr>
            <w:tcW w:w="949" w:type="dxa"/>
            <w:tcBorders>
              <w:tl2br w:val="nil"/>
              <w:tr2bl w:val="nil"/>
            </w:tcBorders>
            <w:noWrap w:val="0"/>
            <w:vAlign w:val="center"/>
          </w:tcPr>
          <w:p w14:paraId="4E9C44F0">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013ED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2A7BAB7E">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735AA1F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氟化物</w:t>
            </w:r>
          </w:p>
        </w:tc>
        <w:tc>
          <w:tcPr>
            <w:tcW w:w="1117" w:type="dxa"/>
            <w:tcBorders>
              <w:tl2br w:val="nil"/>
              <w:tr2bl w:val="nil"/>
            </w:tcBorders>
            <w:noWrap w:val="0"/>
            <w:vAlign w:val="center"/>
          </w:tcPr>
          <w:p w14:paraId="3C5316C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0.334</w:t>
            </w:r>
          </w:p>
        </w:tc>
        <w:tc>
          <w:tcPr>
            <w:tcW w:w="1249" w:type="dxa"/>
            <w:tcBorders>
              <w:tl2br w:val="nil"/>
              <w:tr2bl w:val="nil"/>
            </w:tcBorders>
            <w:noWrap w:val="0"/>
            <w:vAlign w:val="center"/>
          </w:tcPr>
          <w:p w14:paraId="73F1979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0.340 </w:t>
            </w:r>
          </w:p>
        </w:tc>
        <w:tc>
          <w:tcPr>
            <w:tcW w:w="1100" w:type="dxa"/>
            <w:tcBorders>
              <w:tl2br w:val="nil"/>
              <w:tr2bl w:val="nil"/>
            </w:tcBorders>
            <w:noWrap w:val="0"/>
            <w:vAlign w:val="center"/>
          </w:tcPr>
          <w:p w14:paraId="1647266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0.334 </w:t>
            </w:r>
          </w:p>
        </w:tc>
        <w:tc>
          <w:tcPr>
            <w:tcW w:w="1025" w:type="dxa"/>
            <w:tcBorders>
              <w:tl2br w:val="nil"/>
              <w:tr2bl w:val="nil"/>
            </w:tcBorders>
            <w:noWrap w:val="0"/>
            <w:vAlign w:val="center"/>
          </w:tcPr>
          <w:p w14:paraId="0D9FE041">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00" w:type="dxa"/>
            <w:tcBorders>
              <w:tl2br w:val="nil"/>
              <w:tr2bl w:val="nil"/>
            </w:tcBorders>
            <w:noWrap w:val="0"/>
            <w:vAlign w:val="center"/>
          </w:tcPr>
          <w:p w14:paraId="7189472C">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0.340 </w:t>
            </w:r>
          </w:p>
        </w:tc>
        <w:tc>
          <w:tcPr>
            <w:tcW w:w="949" w:type="dxa"/>
            <w:tcBorders>
              <w:tl2br w:val="nil"/>
              <w:tr2bl w:val="nil"/>
            </w:tcBorders>
            <w:noWrap w:val="0"/>
            <w:vAlign w:val="center"/>
          </w:tcPr>
          <w:p w14:paraId="7DE00A22">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43F92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29B67223">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1F54D43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氯化物</w:t>
            </w:r>
          </w:p>
        </w:tc>
        <w:tc>
          <w:tcPr>
            <w:tcW w:w="1117" w:type="dxa"/>
            <w:tcBorders>
              <w:tl2br w:val="nil"/>
              <w:tr2bl w:val="nil"/>
            </w:tcBorders>
            <w:noWrap w:val="0"/>
            <w:vAlign w:val="center"/>
          </w:tcPr>
          <w:p w14:paraId="69AE0FC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5.05</w:t>
            </w:r>
          </w:p>
        </w:tc>
        <w:tc>
          <w:tcPr>
            <w:tcW w:w="1249" w:type="dxa"/>
            <w:tcBorders>
              <w:tl2br w:val="nil"/>
              <w:tr2bl w:val="nil"/>
            </w:tcBorders>
            <w:noWrap w:val="0"/>
            <w:vAlign w:val="center"/>
          </w:tcPr>
          <w:p w14:paraId="364CB9D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5.02</w:t>
            </w:r>
          </w:p>
        </w:tc>
        <w:tc>
          <w:tcPr>
            <w:tcW w:w="1100" w:type="dxa"/>
            <w:tcBorders>
              <w:tl2br w:val="nil"/>
              <w:tr2bl w:val="nil"/>
            </w:tcBorders>
            <w:noWrap w:val="0"/>
            <w:vAlign w:val="center"/>
          </w:tcPr>
          <w:p w14:paraId="5CA3619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5.05</w:t>
            </w:r>
          </w:p>
        </w:tc>
        <w:tc>
          <w:tcPr>
            <w:tcW w:w="1025" w:type="dxa"/>
            <w:tcBorders>
              <w:tl2br w:val="nil"/>
              <w:tr2bl w:val="nil"/>
            </w:tcBorders>
            <w:noWrap w:val="0"/>
            <w:vAlign w:val="center"/>
          </w:tcPr>
          <w:p w14:paraId="1FC7140F">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250</w:t>
            </w:r>
          </w:p>
        </w:tc>
        <w:tc>
          <w:tcPr>
            <w:tcW w:w="1000" w:type="dxa"/>
            <w:tcBorders>
              <w:tl2br w:val="nil"/>
              <w:tr2bl w:val="nil"/>
            </w:tcBorders>
            <w:noWrap w:val="0"/>
            <w:vAlign w:val="center"/>
          </w:tcPr>
          <w:p w14:paraId="148C6E51">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0.020 </w:t>
            </w:r>
          </w:p>
        </w:tc>
        <w:tc>
          <w:tcPr>
            <w:tcW w:w="949" w:type="dxa"/>
            <w:tcBorders>
              <w:tl2br w:val="nil"/>
              <w:tr2bl w:val="nil"/>
            </w:tcBorders>
            <w:noWrap w:val="0"/>
            <w:vAlign w:val="center"/>
          </w:tcPr>
          <w:p w14:paraId="384A05F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A8F30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2C2B0E5E">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02BAEAB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硫酸盐</w:t>
            </w:r>
          </w:p>
        </w:tc>
        <w:tc>
          <w:tcPr>
            <w:tcW w:w="1117" w:type="dxa"/>
            <w:tcBorders>
              <w:tl2br w:val="nil"/>
              <w:tr2bl w:val="nil"/>
            </w:tcBorders>
            <w:noWrap w:val="0"/>
            <w:vAlign w:val="center"/>
          </w:tcPr>
          <w:p w14:paraId="6AA89D4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15.6</w:t>
            </w:r>
          </w:p>
        </w:tc>
        <w:tc>
          <w:tcPr>
            <w:tcW w:w="1249" w:type="dxa"/>
            <w:tcBorders>
              <w:tl2br w:val="nil"/>
              <w:tr2bl w:val="nil"/>
            </w:tcBorders>
            <w:noWrap w:val="0"/>
            <w:vAlign w:val="center"/>
          </w:tcPr>
          <w:p w14:paraId="5B01340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15.5</w:t>
            </w:r>
          </w:p>
        </w:tc>
        <w:tc>
          <w:tcPr>
            <w:tcW w:w="1100" w:type="dxa"/>
            <w:tcBorders>
              <w:tl2br w:val="nil"/>
              <w:tr2bl w:val="nil"/>
            </w:tcBorders>
            <w:noWrap w:val="0"/>
            <w:vAlign w:val="center"/>
          </w:tcPr>
          <w:p w14:paraId="005BA2F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15.4</w:t>
            </w:r>
          </w:p>
        </w:tc>
        <w:tc>
          <w:tcPr>
            <w:tcW w:w="1025" w:type="dxa"/>
            <w:tcBorders>
              <w:tl2br w:val="nil"/>
              <w:tr2bl w:val="nil"/>
            </w:tcBorders>
            <w:noWrap w:val="0"/>
            <w:vAlign w:val="center"/>
          </w:tcPr>
          <w:p w14:paraId="1EA8863A">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250</w:t>
            </w:r>
          </w:p>
        </w:tc>
        <w:tc>
          <w:tcPr>
            <w:tcW w:w="1000" w:type="dxa"/>
            <w:tcBorders>
              <w:tl2br w:val="nil"/>
              <w:tr2bl w:val="nil"/>
            </w:tcBorders>
            <w:noWrap w:val="0"/>
            <w:vAlign w:val="center"/>
          </w:tcPr>
          <w:p w14:paraId="6C3D92B7">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0.062 </w:t>
            </w:r>
          </w:p>
        </w:tc>
        <w:tc>
          <w:tcPr>
            <w:tcW w:w="949" w:type="dxa"/>
            <w:tcBorders>
              <w:tl2br w:val="nil"/>
              <w:tr2bl w:val="nil"/>
            </w:tcBorders>
            <w:noWrap w:val="0"/>
            <w:vAlign w:val="center"/>
          </w:tcPr>
          <w:p w14:paraId="63380D0D">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F8148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0185A73E">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2F486A0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硝酸盐</w:t>
            </w:r>
          </w:p>
        </w:tc>
        <w:tc>
          <w:tcPr>
            <w:tcW w:w="1117" w:type="dxa"/>
            <w:tcBorders>
              <w:tl2br w:val="nil"/>
              <w:tr2bl w:val="nil"/>
            </w:tcBorders>
            <w:noWrap w:val="0"/>
            <w:vAlign w:val="center"/>
          </w:tcPr>
          <w:p w14:paraId="1B85401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2.02 </w:t>
            </w:r>
          </w:p>
        </w:tc>
        <w:tc>
          <w:tcPr>
            <w:tcW w:w="1249" w:type="dxa"/>
            <w:tcBorders>
              <w:tl2br w:val="nil"/>
              <w:tr2bl w:val="nil"/>
            </w:tcBorders>
            <w:noWrap w:val="0"/>
            <w:vAlign w:val="center"/>
          </w:tcPr>
          <w:p w14:paraId="00A0E0A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2.01 </w:t>
            </w:r>
          </w:p>
        </w:tc>
        <w:tc>
          <w:tcPr>
            <w:tcW w:w="1100" w:type="dxa"/>
            <w:tcBorders>
              <w:tl2br w:val="nil"/>
              <w:tr2bl w:val="nil"/>
            </w:tcBorders>
            <w:noWrap w:val="0"/>
            <w:vAlign w:val="center"/>
          </w:tcPr>
          <w:p w14:paraId="6413FE2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 xml:space="preserve">2.01 </w:t>
            </w:r>
          </w:p>
        </w:tc>
        <w:tc>
          <w:tcPr>
            <w:tcW w:w="1025" w:type="dxa"/>
            <w:tcBorders>
              <w:tl2br w:val="nil"/>
              <w:tr2bl w:val="nil"/>
            </w:tcBorders>
            <w:noWrap w:val="0"/>
            <w:vAlign w:val="center"/>
          </w:tcPr>
          <w:p w14:paraId="39913A7B">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10</w:t>
            </w:r>
          </w:p>
        </w:tc>
        <w:tc>
          <w:tcPr>
            <w:tcW w:w="1000" w:type="dxa"/>
            <w:tcBorders>
              <w:tl2br w:val="nil"/>
              <w:tr2bl w:val="nil"/>
            </w:tcBorders>
            <w:noWrap w:val="0"/>
            <w:vAlign w:val="center"/>
          </w:tcPr>
          <w:p w14:paraId="4EB27911">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0.202 </w:t>
            </w:r>
          </w:p>
        </w:tc>
        <w:tc>
          <w:tcPr>
            <w:tcW w:w="949" w:type="dxa"/>
            <w:tcBorders>
              <w:tl2br w:val="nil"/>
              <w:tr2bl w:val="nil"/>
            </w:tcBorders>
            <w:noWrap w:val="0"/>
            <w:vAlign w:val="center"/>
          </w:tcPr>
          <w:p w14:paraId="129F833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E0392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2D0A5342">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37C568A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石油类</w:t>
            </w:r>
          </w:p>
        </w:tc>
        <w:tc>
          <w:tcPr>
            <w:tcW w:w="1117" w:type="dxa"/>
            <w:tcBorders>
              <w:tl2br w:val="nil"/>
              <w:tr2bl w:val="nil"/>
            </w:tcBorders>
            <w:noWrap w:val="0"/>
            <w:vAlign w:val="center"/>
          </w:tcPr>
          <w:p w14:paraId="5B793F2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249" w:type="dxa"/>
            <w:tcBorders>
              <w:tl2br w:val="nil"/>
              <w:tr2bl w:val="nil"/>
            </w:tcBorders>
            <w:noWrap w:val="0"/>
            <w:vAlign w:val="center"/>
          </w:tcPr>
          <w:p w14:paraId="76208AB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100" w:type="dxa"/>
            <w:tcBorders>
              <w:tl2br w:val="nil"/>
              <w:tr2bl w:val="nil"/>
            </w:tcBorders>
            <w:noWrap w:val="0"/>
            <w:vAlign w:val="center"/>
          </w:tcPr>
          <w:p w14:paraId="1D993FC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025" w:type="dxa"/>
            <w:tcBorders>
              <w:tl2br w:val="nil"/>
              <w:tr2bl w:val="nil"/>
            </w:tcBorders>
            <w:noWrap w:val="0"/>
            <w:vAlign w:val="center"/>
          </w:tcPr>
          <w:p w14:paraId="3BAE563F">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0.05</w:t>
            </w:r>
          </w:p>
        </w:tc>
        <w:tc>
          <w:tcPr>
            <w:tcW w:w="1000" w:type="dxa"/>
            <w:tcBorders>
              <w:tl2br w:val="nil"/>
              <w:tr2bl w:val="nil"/>
            </w:tcBorders>
            <w:noWrap w:val="0"/>
            <w:vAlign w:val="center"/>
          </w:tcPr>
          <w:p w14:paraId="5495038D">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0.200 </w:t>
            </w:r>
          </w:p>
        </w:tc>
        <w:tc>
          <w:tcPr>
            <w:tcW w:w="949" w:type="dxa"/>
            <w:tcBorders>
              <w:tl2br w:val="nil"/>
              <w:tr2bl w:val="nil"/>
            </w:tcBorders>
            <w:noWrap w:val="0"/>
            <w:vAlign w:val="center"/>
          </w:tcPr>
          <w:p w14:paraId="7890BDF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F77E6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03C8DBB7">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6466F62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挥发酚</w:t>
            </w:r>
          </w:p>
        </w:tc>
        <w:tc>
          <w:tcPr>
            <w:tcW w:w="1117" w:type="dxa"/>
            <w:tcBorders>
              <w:tl2br w:val="nil"/>
              <w:tr2bl w:val="nil"/>
            </w:tcBorders>
            <w:noWrap w:val="0"/>
            <w:vAlign w:val="center"/>
          </w:tcPr>
          <w:p w14:paraId="06C68A3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249" w:type="dxa"/>
            <w:tcBorders>
              <w:tl2br w:val="nil"/>
              <w:tr2bl w:val="nil"/>
            </w:tcBorders>
            <w:noWrap w:val="0"/>
            <w:vAlign w:val="center"/>
          </w:tcPr>
          <w:p w14:paraId="6821094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100" w:type="dxa"/>
            <w:tcBorders>
              <w:tl2br w:val="nil"/>
              <w:tr2bl w:val="nil"/>
            </w:tcBorders>
            <w:noWrap w:val="0"/>
            <w:vAlign w:val="center"/>
          </w:tcPr>
          <w:p w14:paraId="6037420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0.0003L</w:t>
            </w:r>
          </w:p>
        </w:tc>
        <w:tc>
          <w:tcPr>
            <w:tcW w:w="1025" w:type="dxa"/>
            <w:tcBorders>
              <w:tl2br w:val="nil"/>
              <w:tr2bl w:val="nil"/>
            </w:tcBorders>
            <w:noWrap w:val="0"/>
            <w:vAlign w:val="center"/>
          </w:tcPr>
          <w:p w14:paraId="3FDC7A10">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0.002</w:t>
            </w:r>
          </w:p>
        </w:tc>
        <w:tc>
          <w:tcPr>
            <w:tcW w:w="1000" w:type="dxa"/>
            <w:tcBorders>
              <w:tl2br w:val="nil"/>
              <w:tr2bl w:val="nil"/>
            </w:tcBorders>
            <w:noWrap w:val="0"/>
            <w:vAlign w:val="center"/>
          </w:tcPr>
          <w:p w14:paraId="28F55110">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0.150 </w:t>
            </w:r>
          </w:p>
        </w:tc>
        <w:tc>
          <w:tcPr>
            <w:tcW w:w="949" w:type="dxa"/>
            <w:tcBorders>
              <w:tl2br w:val="nil"/>
              <w:tr2bl w:val="nil"/>
            </w:tcBorders>
            <w:noWrap w:val="0"/>
            <w:vAlign w:val="center"/>
          </w:tcPr>
          <w:p w14:paraId="04F3786B">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287B7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79346447">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4C9AE1C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阴离子表面活性剂</w:t>
            </w:r>
          </w:p>
        </w:tc>
        <w:tc>
          <w:tcPr>
            <w:tcW w:w="1117" w:type="dxa"/>
            <w:tcBorders>
              <w:tl2br w:val="nil"/>
              <w:tr2bl w:val="nil"/>
            </w:tcBorders>
            <w:noWrap w:val="0"/>
            <w:vAlign w:val="center"/>
          </w:tcPr>
          <w:p w14:paraId="6504B1E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249" w:type="dxa"/>
            <w:tcBorders>
              <w:tl2br w:val="nil"/>
              <w:tr2bl w:val="nil"/>
            </w:tcBorders>
            <w:noWrap w:val="0"/>
            <w:vAlign w:val="center"/>
          </w:tcPr>
          <w:p w14:paraId="1EB4930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100" w:type="dxa"/>
            <w:tcBorders>
              <w:tl2br w:val="nil"/>
              <w:tr2bl w:val="nil"/>
            </w:tcBorders>
            <w:noWrap w:val="0"/>
            <w:vAlign w:val="center"/>
          </w:tcPr>
          <w:p w14:paraId="17E31A9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0.05L</w:t>
            </w:r>
          </w:p>
        </w:tc>
        <w:tc>
          <w:tcPr>
            <w:tcW w:w="1025" w:type="dxa"/>
            <w:tcBorders>
              <w:tl2br w:val="nil"/>
              <w:tr2bl w:val="nil"/>
            </w:tcBorders>
            <w:noWrap w:val="0"/>
            <w:vAlign w:val="center"/>
          </w:tcPr>
          <w:p w14:paraId="4876A7DA">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0.2</w:t>
            </w:r>
          </w:p>
        </w:tc>
        <w:tc>
          <w:tcPr>
            <w:tcW w:w="1000" w:type="dxa"/>
            <w:tcBorders>
              <w:tl2br w:val="nil"/>
              <w:tr2bl w:val="nil"/>
            </w:tcBorders>
            <w:noWrap w:val="0"/>
            <w:vAlign w:val="center"/>
          </w:tcPr>
          <w:p w14:paraId="0A7D3C94">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0.250 </w:t>
            </w:r>
          </w:p>
        </w:tc>
        <w:tc>
          <w:tcPr>
            <w:tcW w:w="949" w:type="dxa"/>
            <w:tcBorders>
              <w:tl2br w:val="nil"/>
              <w:tr2bl w:val="nil"/>
            </w:tcBorders>
            <w:noWrap w:val="0"/>
            <w:vAlign w:val="center"/>
          </w:tcPr>
          <w:p w14:paraId="01D58E9D">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20EB5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17F32430">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212C449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硫化物</w:t>
            </w:r>
          </w:p>
        </w:tc>
        <w:tc>
          <w:tcPr>
            <w:tcW w:w="1117" w:type="dxa"/>
            <w:tcBorders>
              <w:tl2br w:val="nil"/>
              <w:tr2bl w:val="nil"/>
            </w:tcBorders>
            <w:noWrap w:val="0"/>
            <w:vAlign w:val="center"/>
          </w:tcPr>
          <w:p w14:paraId="254DFDC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249" w:type="dxa"/>
            <w:tcBorders>
              <w:tl2br w:val="nil"/>
              <w:tr2bl w:val="nil"/>
            </w:tcBorders>
            <w:noWrap w:val="0"/>
            <w:vAlign w:val="center"/>
          </w:tcPr>
          <w:p w14:paraId="190FBB6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100" w:type="dxa"/>
            <w:tcBorders>
              <w:tl2br w:val="nil"/>
              <w:tr2bl w:val="nil"/>
            </w:tcBorders>
            <w:noWrap w:val="0"/>
            <w:vAlign w:val="center"/>
          </w:tcPr>
          <w:p w14:paraId="55F4670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0.01L</w:t>
            </w:r>
          </w:p>
        </w:tc>
        <w:tc>
          <w:tcPr>
            <w:tcW w:w="1025" w:type="dxa"/>
            <w:tcBorders>
              <w:tl2br w:val="nil"/>
              <w:tr2bl w:val="nil"/>
            </w:tcBorders>
            <w:noWrap w:val="0"/>
            <w:vAlign w:val="center"/>
          </w:tcPr>
          <w:p w14:paraId="4B15834F">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0.1</w:t>
            </w:r>
          </w:p>
        </w:tc>
        <w:tc>
          <w:tcPr>
            <w:tcW w:w="1000" w:type="dxa"/>
            <w:tcBorders>
              <w:tl2br w:val="nil"/>
              <w:tr2bl w:val="nil"/>
            </w:tcBorders>
            <w:noWrap w:val="0"/>
            <w:vAlign w:val="center"/>
          </w:tcPr>
          <w:p w14:paraId="65DFB452">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0.100 </w:t>
            </w:r>
          </w:p>
        </w:tc>
        <w:tc>
          <w:tcPr>
            <w:tcW w:w="949" w:type="dxa"/>
            <w:tcBorders>
              <w:tl2br w:val="nil"/>
              <w:tr2bl w:val="nil"/>
            </w:tcBorders>
            <w:noWrap w:val="0"/>
            <w:vAlign w:val="center"/>
          </w:tcPr>
          <w:p w14:paraId="78178941">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0A3A0F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1A6EC7CA">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07FF7C9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悬浮物</w:t>
            </w:r>
          </w:p>
        </w:tc>
        <w:tc>
          <w:tcPr>
            <w:tcW w:w="1117" w:type="dxa"/>
            <w:tcBorders>
              <w:tl2br w:val="nil"/>
              <w:tr2bl w:val="nil"/>
            </w:tcBorders>
            <w:noWrap w:val="0"/>
            <w:vAlign w:val="center"/>
          </w:tcPr>
          <w:p w14:paraId="3518863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11</w:t>
            </w:r>
          </w:p>
        </w:tc>
        <w:tc>
          <w:tcPr>
            <w:tcW w:w="1249" w:type="dxa"/>
            <w:tcBorders>
              <w:tl2br w:val="nil"/>
              <w:tr2bl w:val="nil"/>
            </w:tcBorders>
            <w:noWrap w:val="0"/>
            <w:vAlign w:val="center"/>
          </w:tcPr>
          <w:p w14:paraId="33FADE1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12</w:t>
            </w:r>
          </w:p>
        </w:tc>
        <w:tc>
          <w:tcPr>
            <w:tcW w:w="1100" w:type="dxa"/>
            <w:tcBorders>
              <w:tl2br w:val="nil"/>
              <w:tr2bl w:val="nil"/>
            </w:tcBorders>
            <w:noWrap w:val="0"/>
            <w:vAlign w:val="center"/>
          </w:tcPr>
          <w:p w14:paraId="2133047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13</w:t>
            </w:r>
          </w:p>
        </w:tc>
        <w:tc>
          <w:tcPr>
            <w:tcW w:w="1025" w:type="dxa"/>
            <w:tcBorders>
              <w:tl2br w:val="nil"/>
              <w:tr2bl w:val="nil"/>
            </w:tcBorders>
            <w:noWrap w:val="0"/>
            <w:vAlign w:val="center"/>
          </w:tcPr>
          <w:p w14:paraId="01243645">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1000" w:type="dxa"/>
            <w:tcBorders>
              <w:tl2br w:val="nil"/>
              <w:tr2bl w:val="nil"/>
            </w:tcBorders>
            <w:noWrap w:val="0"/>
            <w:vAlign w:val="center"/>
          </w:tcPr>
          <w:p w14:paraId="0AE64F9A">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49" w:type="dxa"/>
            <w:tcBorders>
              <w:tl2br w:val="nil"/>
              <w:tr2bl w:val="nil"/>
            </w:tcBorders>
            <w:noWrap w:val="0"/>
            <w:vAlign w:val="center"/>
          </w:tcPr>
          <w:p w14:paraId="21570CC3">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r w14:paraId="54154F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3" w:type="dxa"/>
            <w:vMerge w:val="continue"/>
            <w:tcBorders>
              <w:tl2br w:val="nil"/>
              <w:tr2bl w:val="nil"/>
            </w:tcBorders>
            <w:noWrap w:val="0"/>
            <w:vAlign w:val="center"/>
          </w:tcPr>
          <w:p w14:paraId="0680EABD">
            <w:pPr>
              <w:widowControl/>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417" w:type="dxa"/>
            <w:tcBorders>
              <w:tl2br w:val="nil"/>
              <w:tr2bl w:val="nil"/>
            </w:tcBorders>
            <w:noWrap w:val="0"/>
            <w:vAlign w:val="center"/>
          </w:tcPr>
          <w:p w14:paraId="16AC77A4">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sz w:val="21"/>
                <w:szCs w:val="21"/>
                <w:lang w:val="en-US" w:eastAsia="zh-CN"/>
              </w:rPr>
              <w:t>叶绿素a</w:t>
            </w:r>
          </w:p>
        </w:tc>
        <w:tc>
          <w:tcPr>
            <w:tcW w:w="1117" w:type="dxa"/>
            <w:tcBorders>
              <w:tl2br w:val="nil"/>
              <w:tr2bl w:val="nil"/>
            </w:tcBorders>
            <w:noWrap w:val="0"/>
            <w:vAlign w:val="center"/>
          </w:tcPr>
          <w:p w14:paraId="2E72E0E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0.32</w:t>
            </w:r>
          </w:p>
        </w:tc>
        <w:tc>
          <w:tcPr>
            <w:tcW w:w="1249" w:type="dxa"/>
            <w:tcBorders>
              <w:tl2br w:val="nil"/>
              <w:tr2bl w:val="nil"/>
            </w:tcBorders>
            <w:noWrap w:val="0"/>
            <w:vAlign w:val="center"/>
          </w:tcPr>
          <w:p w14:paraId="06237A9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0.32</w:t>
            </w:r>
          </w:p>
        </w:tc>
        <w:tc>
          <w:tcPr>
            <w:tcW w:w="1100" w:type="dxa"/>
            <w:tcBorders>
              <w:tl2br w:val="nil"/>
              <w:tr2bl w:val="nil"/>
            </w:tcBorders>
            <w:noWrap w:val="0"/>
            <w:vAlign w:val="center"/>
          </w:tcPr>
          <w:p w14:paraId="5124F34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spacing w:val="0"/>
                <w:w w:val="100"/>
                <w:position w:val="0"/>
                <w:sz w:val="21"/>
                <w:szCs w:val="21"/>
                <w:u w:val="none" w:color="auto"/>
                <w:lang w:val="en-US" w:eastAsia="zh-CN" w:bidi="ar-SA"/>
              </w:rPr>
            </w:pPr>
            <w:r>
              <w:rPr>
                <w:rFonts w:hint="default" w:ascii="Times New Roman" w:hAnsi="Times New Roman" w:eastAsia="宋体" w:cs="Times New Roman"/>
                <w:sz w:val="21"/>
                <w:szCs w:val="21"/>
                <w:lang w:val="en-US" w:eastAsia="zh-CN"/>
              </w:rPr>
              <w:t>0.31</w:t>
            </w:r>
          </w:p>
        </w:tc>
        <w:tc>
          <w:tcPr>
            <w:tcW w:w="1025" w:type="dxa"/>
            <w:tcBorders>
              <w:tl2br w:val="nil"/>
              <w:tr2bl w:val="nil"/>
            </w:tcBorders>
            <w:noWrap w:val="0"/>
            <w:vAlign w:val="center"/>
          </w:tcPr>
          <w:p w14:paraId="3B911D10">
            <w:pPr>
              <w:widowControl/>
              <w:spacing w:beforeLines="10" w:afterLines="10"/>
              <w:jc w:val="center"/>
              <w:textAlignment w:val="center"/>
              <w:rPr>
                <w:rFonts w:hint="default" w:ascii="Times New Roman" w:hAnsi="Times New Roman" w:eastAsia="宋体" w:cs="Times New Roman"/>
                <w:b w:val="0"/>
                <w:bCs w:val="0"/>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1000" w:type="dxa"/>
            <w:tcBorders>
              <w:tl2br w:val="nil"/>
              <w:tr2bl w:val="nil"/>
            </w:tcBorders>
            <w:noWrap w:val="0"/>
            <w:vAlign w:val="center"/>
          </w:tcPr>
          <w:p w14:paraId="267CA302">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949" w:type="dxa"/>
            <w:tcBorders>
              <w:tl2br w:val="nil"/>
              <w:tr2bl w:val="nil"/>
            </w:tcBorders>
            <w:noWrap w:val="0"/>
            <w:vAlign w:val="center"/>
          </w:tcPr>
          <w:p w14:paraId="2259FA4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r>
    </w:tbl>
    <w:p w14:paraId="591A2797">
      <w:pPr>
        <w:keepNext w:val="0"/>
        <w:keepLines w:val="0"/>
        <w:pageBreakBefore w:val="0"/>
        <w:widowControl w:val="0"/>
        <w:kinsoku/>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根据上表可知，W1、W2、W3各监测点位水质满足</w:t>
      </w:r>
      <w:r>
        <w:rPr>
          <w:rFonts w:hint="default" w:ascii="Times New Roman" w:hAnsi="Times New Roman" w:eastAsia="宋体" w:cs="Times New Roman"/>
          <w:caps w:val="0"/>
          <w:smallCaps w:val="0"/>
          <w:color w:val="auto"/>
          <w:spacing w:val="0"/>
          <w:w w:val="100"/>
          <w:kern w:val="0"/>
          <w:position w:val="0"/>
          <w:sz w:val="24"/>
          <w:szCs w:val="24"/>
          <w:u w:val="none" w:color="auto"/>
        </w:rPr>
        <w:t>《地表水环境质量标准》（GB3838-2002）Ⅲ类标准</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要求，W4取水口断面满足</w:t>
      </w:r>
      <w:r>
        <w:rPr>
          <w:rFonts w:hint="default" w:ascii="Times New Roman" w:hAnsi="Times New Roman" w:eastAsia="宋体" w:cs="Times New Roman"/>
          <w:caps w:val="0"/>
          <w:smallCaps w:val="0"/>
          <w:color w:val="auto"/>
          <w:spacing w:val="0"/>
          <w:w w:val="100"/>
          <w:kern w:val="0"/>
          <w:position w:val="0"/>
          <w:sz w:val="24"/>
          <w:szCs w:val="24"/>
          <w:u w:val="none" w:color="auto"/>
        </w:rPr>
        <w:t>《地表水环境质量标准》（GB3838-2002）</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II</w:t>
      </w:r>
      <w:r>
        <w:rPr>
          <w:rFonts w:hint="default" w:ascii="Times New Roman" w:hAnsi="Times New Roman" w:eastAsia="宋体" w:cs="Times New Roman"/>
          <w:caps w:val="0"/>
          <w:smallCaps w:val="0"/>
          <w:color w:val="auto"/>
          <w:spacing w:val="0"/>
          <w:w w:val="100"/>
          <w:kern w:val="0"/>
          <w:position w:val="0"/>
          <w:sz w:val="24"/>
          <w:szCs w:val="24"/>
          <w:u w:val="none" w:color="auto"/>
        </w:rPr>
        <w:t>类标准</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限值要求。</w:t>
      </w:r>
    </w:p>
    <w:p w14:paraId="35C87950">
      <w:pPr>
        <w:pStyle w:val="4"/>
        <w:bidi w:val="0"/>
        <w:rPr>
          <w:rFonts w:hint="default" w:ascii="Times New Roman" w:hAnsi="Times New Roman" w:cs="Times New Roman"/>
        </w:rPr>
      </w:pPr>
      <w:bookmarkStart w:id="129" w:name="_Toc20525"/>
      <w:r>
        <w:rPr>
          <w:rFonts w:hint="default" w:ascii="Times New Roman" w:hAnsi="Times New Roman" w:cs="Times New Roman"/>
        </w:rPr>
        <w:t>地下水环境现状调查与评价</w:t>
      </w:r>
      <w:bookmarkEnd w:id="129"/>
    </w:p>
    <w:p w14:paraId="2DA8B901">
      <w:pPr>
        <w:pStyle w:val="100"/>
        <w:ind w:firstLine="480"/>
        <w:rPr>
          <w:rFonts w:hint="default" w:ascii="Times New Roman" w:hAnsi="Times New Roman" w:eastAsia="宋体" w:cs="Times New Roman"/>
          <w:color w:val="auto"/>
          <w:spacing w:val="0"/>
          <w:w w:val="100"/>
          <w:position w:val="0"/>
          <w:u w:val="none" w:color="auto"/>
        </w:rPr>
      </w:pPr>
      <w:r>
        <w:rPr>
          <w:rFonts w:hint="default" w:ascii="Times New Roman" w:hAnsi="Times New Roman" w:eastAsia="宋体" w:cs="Times New Roman"/>
          <w:color w:val="auto"/>
          <w:spacing w:val="0"/>
          <w:w w:val="100"/>
          <w:position w:val="0"/>
          <w:u w:val="none" w:color="auto"/>
        </w:rPr>
        <w:t>为了解</w:t>
      </w:r>
      <w:r>
        <w:rPr>
          <w:rFonts w:hint="default" w:ascii="Times New Roman" w:hAnsi="Times New Roman" w:eastAsia="宋体" w:cs="Times New Roman"/>
          <w:color w:val="auto"/>
          <w:spacing w:val="0"/>
          <w:w w:val="100"/>
          <w:position w:val="0"/>
          <w:u w:val="none" w:color="auto"/>
          <w:lang w:eastAsia="zh-CN"/>
        </w:rPr>
        <w:t>项目区域地下水</w:t>
      </w:r>
      <w:r>
        <w:rPr>
          <w:rFonts w:hint="default" w:ascii="Times New Roman" w:hAnsi="Times New Roman" w:eastAsia="宋体" w:cs="Times New Roman"/>
          <w:color w:val="auto"/>
          <w:spacing w:val="0"/>
          <w:w w:val="100"/>
          <w:position w:val="0"/>
          <w:u w:val="none" w:color="auto"/>
        </w:rPr>
        <w:t>环境质量现状，建设单位委托</w:t>
      </w:r>
      <w:r>
        <w:rPr>
          <w:rFonts w:hint="default" w:ascii="Times New Roman" w:hAnsi="Times New Roman" w:eastAsia="宋体" w:cs="Times New Roman"/>
          <w:color w:val="auto"/>
          <w:spacing w:val="0"/>
          <w:w w:val="100"/>
          <w:position w:val="0"/>
          <w:u w:val="none" w:color="auto"/>
          <w:lang w:eastAsia="zh-CN"/>
        </w:rPr>
        <w:t>湖南乾诚检测有限公司</w:t>
      </w:r>
      <w:r>
        <w:rPr>
          <w:rFonts w:hint="default" w:ascii="Times New Roman" w:hAnsi="Times New Roman" w:eastAsia="宋体" w:cs="Times New Roman"/>
          <w:color w:val="auto"/>
          <w:spacing w:val="0"/>
          <w:w w:val="100"/>
          <w:position w:val="0"/>
          <w:u w:val="none" w:color="auto"/>
          <w:lang w:val="en-US" w:eastAsia="zh-CN"/>
        </w:rPr>
        <w:t>于2024年5月8日</w:t>
      </w:r>
      <w:r>
        <w:rPr>
          <w:rFonts w:hint="default" w:ascii="Times New Roman" w:hAnsi="Times New Roman" w:eastAsia="宋体" w:cs="Times New Roman"/>
          <w:color w:val="auto"/>
          <w:spacing w:val="0"/>
          <w:w w:val="100"/>
          <w:position w:val="0"/>
          <w:u w:val="none" w:color="auto"/>
        </w:rPr>
        <w:t>对</w:t>
      </w:r>
      <w:r>
        <w:rPr>
          <w:rFonts w:hint="default" w:ascii="Times New Roman" w:hAnsi="Times New Roman" w:eastAsia="宋体" w:cs="Times New Roman"/>
          <w:color w:val="auto"/>
          <w:spacing w:val="0"/>
          <w:w w:val="100"/>
          <w:position w:val="0"/>
          <w:u w:val="none" w:color="auto"/>
          <w:lang w:eastAsia="zh-CN"/>
        </w:rPr>
        <w:t>项目周边地下水质</w:t>
      </w:r>
      <w:r>
        <w:rPr>
          <w:rFonts w:hint="default" w:ascii="Times New Roman" w:hAnsi="Times New Roman" w:eastAsia="宋体" w:cs="Times New Roman"/>
          <w:color w:val="auto"/>
          <w:spacing w:val="0"/>
          <w:w w:val="100"/>
          <w:position w:val="0"/>
          <w:u w:val="none" w:color="auto"/>
        </w:rPr>
        <w:t>进行了</w:t>
      </w:r>
      <w:r>
        <w:rPr>
          <w:rFonts w:hint="default" w:ascii="Times New Roman" w:hAnsi="Times New Roman" w:eastAsia="宋体" w:cs="Times New Roman"/>
          <w:color w:val="auto"/>
          <w:spacing w:val="0"/>
          <w:w w:val="100"/>
          <w:position w:val="0"/>
          <w:u w:val="none" w:color="auto"/>
          <w:lang w:val="en-US" w:eastAsia="zh-CN"/>
        </w:rPr>
        <w:t>一期</w:t>
      </w:r>
      <w:r>
        <w:rPr>
          <w:rFonts w:hint="default" w:ascii="Times New Roman" w:hAnsi="Times New Roman" w:eastAsia="宋体" w:cs="Times New Roman"/>
          <w:color w:val="auto"/>
          <w:spacing w:val="0"/>
          <w:w w:val="100"/>
          <w:position w:val="0"/>
          <w:u w:val="none" w:color="auto"/>
        </w:rPr>
        <w:t>现状监测。</w:t>
      </w:r>
    </w:p>
    <w:p w14:paraId="174F9927">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1、监测点位</w:t>
      </w:r>
    </w:p>
    <w:p w14:paraId="0F3EF607">
      <w:pPr>
        <w:keepNext w:val="0"/>
        <w:keepLines w:val="0"/>
        <w:pageBreakBefore w:val="0"/>
        <w:widowControl w:val="0"/>
        <w:kinsoku w:val="0"/>
        <w:wordWrap w:val="0"/>
        <w:overflowPunct/>
        <w:topLinePunct/>
        <w:autoSpaceDE/>
        <w:autoSpaceDN/>
        <w:bidi w:val="0"/>
        <w:adjustRightInd/>
        <w:snapToGrid/>
        <w:spacing w:before="0" w:beforeLines="50" w:line="360" w:lineRule="auto"/>
        <w:jc w:val="center"/>
        <w:textAlignment w:val="auto"/>
        <w:rPr>
          <w:rFonts w:hint="default" w:ascii="Times New Roman" w:hAnsi="Times New Roman" w:eastAsia="宋体" w:cs="Times New Roman"/>
          <w:b/>
          <w:caps w:val="0"/>
          <w:smallCaps w:val="0"/>
          <w:color w:val="auto"/>
          <w:spacing w:val="0"/>
          <w:w w:val="100"/>
          <w:position w:val="0"/>
          <w:szCs w:val="21"/>
          <w:u w:val="none" w:color="auto"/>
          <w:lang w:val="en-US" w:eastAsia="zh-CN"/>
        </w:rPr>
      </w:pPr>
      <w:r>
        <w:rPr>
          <w:rFonts w:hint="default" w:ascii="Times New Roman" w:hAnsi="Times New Roman" w:eastAsia="宋体" w:cs="Times New Roman"/>
          <w:b/>
          <w:caps w:val="0"/>
          <w:smallCaps w:val="0"/>
          <w:color w:val="auto"/>
          <w:spacing w:val="0"/>
          <w:w w:val="100"/>
          <w:position w:val="0"/>
          <w:szCs w:val="21"/>
          <w:u w:val="none" w:color="auto"/>
          <w:lang w:val="en-US" w:eastAsia="zh-CN"/>
        </w:rPr>
        <w:t>表3.2-8  地下水监测布点</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33"/>
        <w:gridCol w:w="5894"/>
      </w:tblGrid>
      <w:tr w14:paraId="09A188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96" w:type="dxa"/>
            <w:tcBorders>
              <w:tl2br w:val="nil"/>
              <w:tr2bl w:val="nil"/>
            </w:tcBorders>
            <w:noWrap w:val="0"/>
            <w:vAlign w:val="center"/>
          </w:tcPr>
          <w:p w14:paraId="6FBCF132">
            <w:pPr>
              <w:spacing w:line="360" w:lineRule="exact"/>
              <w:jc w:val="center"/>
              <w:rPr>
                <w:rFonts w:hint="default" w:ascii="Times New Roman" w:hAnsi="Times New Roman" w:eastAsia="宋体" w:cs="Times New Roman"/>
                <w:b/>
                <w:bCs/>
                <w:spacing w:val="0"/>
                <w:w w:val="100"/>
                <w:position w:val="0"/>
                <w:szCs w:val="21"/>
              </w:rPr>
            </w:pPr>
            <w:r>
              <w:rPr>
                <w:rFonts w:hint="default" w:ascii="Times New Roman" w:hAnsi="Times New Roman" w:eastAsia="宋体" w:cs="Times New Roman"/>
                <w:b/>
                <w:bCs/>
                <w:spacing w:val="0"/>
                <w:w w:val="100"/>
                <w:position w:val="0"/>
                <w:szCs w:val="21"/>
              </w:rPr>
              <w:t>序号</w:t>
            </w:r>
          </w:p>
        </w:tc>
        <w:tc>
          <w:tcPr>
            <w:tcW w:w="6276" w:type="dxa"/>
            <w:tcBorders>
              <w:tl2br w:val="nil"/>
              <w:tr2bl w:val="nil"/>
            </w:tcBorders>
            <w:noWrap w:val="0"/>
            <w:vAlign w:val="center"/>
          </w:tcPr>
          <w:p w14:paraId="273D1260">
            <w:pPr>
              <w:spacing w:line="360" w:lineRule="exact"/>
              <w:jc w:val="center"/>
              <w:rPr>
                <w:rFonts w:hint="default" w:ascii="Times New Roman" w:hAnsi="Times New Roman" w:eastAsia="宋体" w:cs="Times New Roman"/>
                <w:b/>
                <w:bCs/>
                <w:spacing w:val="0"/>
                <w:w w:val="100"/>
                <w:position w:val="0"/>
                <w:szCs w:val="21"/>
              </w:rPr>
            </w:pPr>
            <w:r>
              <w:rPr>
                <w:rFonts w:hint="default" w:ascii="Times New Roman" w:hAnsi="Times New Roman" w:eastAsia="宋体" w:cs="Times New Roman"/>
                <w:b/>
                <w:bCs/>
                <w:spacing w:val="0"/>
                <w:w w:val="100"/>
                <w:position w:val="0"/>
                <w:szCs w:val="21"/>
              </w:rPr>
              <w:t>监测点位置</w:t>
            </w:r>
          </w:p>
        </w:tc>
      </w:tr>
      <w:tr w14:paraId="50C77E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96" w:type="dxa"/>
            <w:tcBorders>
              <w:tl2br w:val="nil"/>
              <w:tr2bl w:val="nil"/>
            </w:tcBorders>
            <w:noWrap w:val="0"/>
            <w:vAlign w:val="center"/>
          </w:tcPr>
          <w:p w14:paraId="3413D020">
            <w:pPr>
              <w:spacing w:line="360" w:lineRule="exact"/>
              <w:jc w:val="center"/>
              <w:rPr>
                <w:rFonts w:hint="default" w:ascii="Times New Roman" w:hAnsi="Times New Roman" w:eastAsia="宋体" w:cs="Times New Roman"/>
                <w:spacing w:val="0"/>
                <w:w w:val="100"/>
                <w:position w:val="0"/>
                <w:szCs w:val="21"/>
              </w:rPr>
            </w:pPr>
            <w:r>
              <w:rPr>
                <w:rFonts w:hint="default" w:ascii="Times New Roman" w:hAnsi="Times New Roman" w:eastAsia="宋体" w:cs="Times New Roman"/>
                <w:spacing w:val="0"/>
                <w:w w:val="100"/>
                <w:position w:val="0"/>
                <w:szCs w:val="21"/>
                <w:lang w:val="en-US" w:eastAsia="zh-CN"/>
              </w:rPr>
              <w:t>D</w:t>
            </w:r>
            <w:r>
              <w:rPr>
                <w:rFonts w:hint="default" w:ascii="Times New Roman" w:hAnsi="Times New Roman" w:eastAsia="宋体" w:cs="Times New Roman"/>
                <w:spacing w:val="0"/>
                <w:w w:val="100"/>
                <w:position w:val="0"/>
                <w:szCs w:val="21"/>
              </w:rPr>
              <w:t>1</w:t>
            </w:r>
          </w:p>
        </w:tc>
        <w:tc>
          <w:tcPr>
            <w:tcW w:w="6276" w:type="dxa"/>
            <w:tcBorders>
              <w:tl2br w:val="nil"/>
              <w:tr2bl w:val="nil"/>
            </w:tcBorders>
            <w:noWrap w:val="0"/>
            <w:vAlign w:val="center"/>
          </w:tcPr>
          <w:p w14:paraId="24F58B19">
            <w:pPr>
              <w:jc w:val="center"/>
              <w:rPr>
                <w:rFonts w:hint="default" w:ascii="Times New Roman" w:hAnsi="Times New Roman" w:eastAsia="宋体" w:cs="Times New Roman"/>
                <w:spacing w:val="0"/>
                <w:w w:val="100"/>
                <w:position w:val="0"/>
                <w:szCs w:val="21"/>
                <w:lang w:val="en-US" w:eastAsia="zh-CN"/>
              </w:rPr>
            </w:pPr>
            <w:r>
              <w:rPr>
                <w:rFonts w:hint="default" w:ascii="Times New Roman" w:hAnsi="Times New Roman" w:eastAsia="宋体" w:cs="Times New Roman"/>
                <w:color w:val="000000"/>
                <w:kern w:val="2"/>
                <w:sz w:val="21"/>
                <w:szCs w:val="21"/>
                <w:lang w:val="en-US" w:eastAsia="zh-CN" w:bidi="ar-SA"/>
              </w:rPr>
              <w:t>D1坝址东侧约320m居民水井</w:t>
            </w:r>
          </w:p>
        </w:tc>
      </w:tr>
      <w:tr w14:paraId="2D0291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96" w:type="dxa"/>
            <w:tcBorders>
              <w:tl2br w:val="nil"/>
              <w:tr2bl w:val="nil"/>
            </w:tcBorders>
            <w:noWrap w:val="0"/>
            <w:vAlign w:val="center"/>
          </w:tcPr>
          <w:p w14:paraId="1EDC83CB">
            <w:pPr>
              <w:spacing w:line="360" w:lineRule="exact"/>
              <w:jc w:val="center"/>
              <w:rPr>
                <w:rFonts w:hint="default" w:ascii="Times New Roman" w:hAnsi="Times New Roman" w:eastAsia="宋体" w:cs="Times New Roman"/>
                <w:spacing w:val="0"/>
                <w:w w:val="100"/>
                <w:position w:val="0"/>
                <w:szCs w:val="21"/>
              </w:rPr>
            </w:pPr>
            <w:r>
              <w:rPr>
                <w:rFonts w:hint="default" w:ascii="Times New Roman" w:hAnsi="Times New Roman" w:eastAsia="宋体" w:cs="Times New Roman"/>
                <w:spacing w:val="0"/>
                <w:w w:val="100"/>
                <w:position w:val="0"/>
                <w:szCs w:val="21"/>
                <w:lang w:val="en-US" w:eastAsia="zh-CN"/>
              </w:rPr>
              <w:t>D</w:t>
            </w:r>
            <w:r>
              <w:rPr>
                <w:rFonts w:hint="default" w:ascii="Times New Roman" w:hAnsi="Times New Roman" w:eastAsia="宋体" w:cs="Times New Roman"/>
                <w:spacing w:val="0"/>
                <w:w w:val="100"/>
                <w:position w:val="0"/>
                <w:szCs w:val="21"/>
              </w:rPr>
              <w:t>2</w:t>
            </w:r>
          </w:p>
        </w:tc>
        <w:tc>
          <w:tcPr>
            <w:tcW w:w="6276" w:type="dxa"/>
            <w:tcBorders>
              <w:tl2br w:val="nil"/>
              <w:tr2bl w:val="nil"/>
            </w:tcBorders>
            <w:noWrap w:val="0"/>
            <w:vAlign w:val="center"/>
          </w:tcPr>
          <w:p w14:paraId="12A9B559">
            <w:pPr>
              <w:jc w:val="center"/>
              <w:rPr>
                <w:rFonts w:hint="default" w:ascii="Times New Roman" w:hAnsi="Times New Roman" w:eastAsia="宋体" w:cs="Times New Roman"/>
                <w:spacing w:val="0"/>
                <w:w w:val="100"/>
                <w:position w:val="0"/>
                <w:szCs w:val="21"/>
                <w:lang w:val="en-US" w:eastAsia="zh-CN"/>
              </w:rPr>
            </w:pPr>
            <w:r>
              <w:rPr>
                <w:rFonts w:hint="default" w:ascii="Times New Roman" w:hAnsi="Times New Roman" w:eastAsia="宋体" w:cs="Times New Roman"/>
                <w:color w:val="000000"/>
                <w:kern w:val="2"/>
                <w:sz w:val="21"/>
                <w:szCs w:val="21"/>
                <w:lang w:val="en-US" w:eastAsia="zh-CN" w:bidi="ar-SA"/>
              </w:rPr>
              <w:t>D2坝址南侧约20m水井</w:t>
            </w:r>
          </w:p>
        </w:tc>
      </w:tr>
      <w:tr w14:paraId="4BFFC0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96" w:type="dxa"/>
            <w:tcBorders>
              <w:tl2br w:val="nil"/>
              <w:tr2bl w:val="nil"/>
            </w:tcBorders>
            <w:noWrap w:val="0"/>
            <w:vAlign w:val="center"/>
          </w:tcPr>
          <w:p w14:paraId="793A0D5A">
            <w:pPr>
              <w:spacing w:line="360" w:lineRule="exact"/>
              <w:jc w:val="center"/>
              <w:rPr>
                <w:rFonts w:hint="default" w:ascii="Times New Roman" w:hAnsi="Times New Roman" w:eastAsia="宋体" w:cs="Times New Roman"/>
                <w:spacing w:val="0"/>
                <w:w w:val="100"/>
                <w:position w:val="0"/>
                <w:szCs w:val="21"/>
                <w:lang w:val="en-US" w:eastAsia="zh-CN"/>
              </w:rPr>
            </w:pPr>
            <w:r>
              <w:rPr>
                <w:rFonts w:hint="default" w:ascii="Times New Roman" w:hAnsi="Times New Roman" w:eastAsia="宋体" w:cs="Times New Roman"/>
                <w:spacing w:val="0"/>
                <w:w w:val="100"/>
                <w:position w:val="0"/>
                <w:szCs w:val="21"/>
                <w:lang w:val="en-US" w:eastAsia="zh-CN"/>
              </w:rPr>
              <w:t>D3</w:t>
            </w:r>
          </w:p>
        </w:tc>
        <w:tc>
          <w:tcPr>
            <w:tcW w:w="6276" w:type="dxa"/>
            <w:tcBorders>
              <w:tl2br w:val="nil"/>
              <w:tr2bl w:val="nil"/>
            </w:tcBorders>
            <w:noWrap w:val="0"/>
            <w:vAlign w:val="center"/>
          </w:tcPr>
          <w:p w14:paraId="037C5BB8">
            <w:pPr>
              <w:jc w:val="center"/>
              <w:rPr>
                <w:rFonts w:hint="default" w:ascii="Times New Roman" w:hAnsi="Times New Roman" w:eastAsia="宋体" w:cs="Times New Roman"/>
                <w:spacing w:val="0"/>
                <w:w w:val="100"/>
                <w:position w:val="0"/>
                <w:szCs w:val="21"/>
                <w:lang w:val="en-US" w:eastAsia="zh-CN"/>
              </w:rPr>
            </w:pPr>
            <w:r>
              <w:rPr>
                <w:rFonts w:hint="default" w:ascii="Times New Roman" w:hAnsi="Times New Roman" w:eastAsia="宋体" w:cs="Times New Roman"/>
                <w:color w:val="000000"/>
                <w:kern w:val="2"/>
                <w:sz w:val="21"/>
                <w:szCs w:val="21"/>
                <w:lang w:val="en-US" w:eastAsia="zh-CN" w:bidi="ar-SA"/>
              </w:rPr>
              <w:t>D3坝址西北侧约1400m居民水井</w:t>
            </w:r>
          </w:p>
        </w:tc>
      </w:tr>
      <w:tr w14:paraId="706BF3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96" w:type="dxa"/>
            <w:tcBorders>
              <w:tl2br w:val="nil"/>
              <w:tr2bl w:val="nil"/>
            </w:tcBorders>
            <w:noWrap w:val="0"/>
            <w:vAlign w:val="center"/>
          </w:tcPr>
          <w:p w14:paraId="284C9BD0">
            <w:pPr>
              <w:spacing w:line="360" w:lineRule="exact"/>
              <w:jc w:val="center"/>
              <w:rPr>
                <w:rFonts w:hint="default" w:ascii="Times New Roman" w:hAnsi="Times New Roman" w:eastAsia="宋体" w:cs="Times New Roman"/>
                <w:color w:val="auto"/>
                <w:spacing w:val="0"/>
                <w:w w:val="100"/>
                <w:position w:val="0"/>
                <w:szCs w:val="21"/>
                <w:lang w:val="en-US" w:eastAsia="zh-CN"/>
              </w:rPr>
            </w:pPr>
            <w:r>
              <w:rPr>
                <w:rFonts w:hint="default" w:ascii="Times New Roman" w:hAnsi="Times New Roman" w:eastAsia="宋体" w:cs="Times New Roman"/>
                <w:color w:val="auto"/>
                <w:spacing w:val="0"/>
                <w:w w:val="100"/>
                <w:position w:val="0"/>
                <w:szCs w:val="21"/>
                <w:lang w:val="en-US" w:eastAsia="zh-CN"/>
              </w:rPr>
              <w:t>D4</w:t>
            </w:r>
          </w:p>
        </w:tc>
        <w:tc>
          <w:tcPr>
            <w:tcW w:w="6276" w:type="dxa"/>
            <w:tcBorders>
              <w:tl2br w:val="nil"/>
              <w:tr2bl w:val="nil"/>
            </w:tcBorders>
            <w:noWrap w:val="0"/>
            <w:vAlign w:val="top"/>
          </w:tcPr>
          <w:p w14:paraId="024611F4">
            <w:pPr>
              <w:jc w:val="center"/>
              <w:rPr>
                <w:rFonts w:hint="default" w:ascii="Times New Roman" w:hAnsi="Times New Roman" w:eastAsia="宋体" w:cs="Times New Roman"/>
                <w:color w:val="auto"/>
                <w:spacing w:val="0"/>
                <w:w w:val="100"/>
                <w:position w:val="0"/>
                <w:szCs w:val="21"/>
                <w:lang w:val="en-US" w:eastAsia="zh-CN"/>
              </w:rPr>
            </w:pPr>
            <w:r>
              <w:rPr>
                <w:rFonts w:hint="default" w:ascii="Times New Roman" w:hAnsi="Times New Roman" w:eastAsia="宋体" w:cs="Times New Roman"/>
                <w:color w:val="000000"/>
                <w:kern w:val="2"/>
                <w:sz w:val="21"/>
                <w:szCs w:val="21"/>
                <w:lang w:val="en-US" w:eastAsia="zh-CN" w:bidi="ar-SA"/>
              </w:rPr>
              <w:t>D4坝址西南侧约1800m居民水井</w:t>
            </w:r>
          </w:p>
        </w:tc>
      </w:tr>
      <w:tr w14:paraId="1B5337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96" w:type="dxa"/>
            <w:tcBorders>
              <w:tl2br w:val="nil"/>
              <w:tr2bl w:val="nil"/>
            </w:tcBorders>
            <w:noWrap w:val="0"/>
            <w:vAlign w:val="center"/>
          </w:tcPr>
          <w:p w14:paraId="664BB479">
            <w:pPr>
              <w:spacing w:line="360" w:lineRule="exact"/>
              <w:jc w:val="center"/>
              <w:rPr>
                <w:rFonts w:hint="default" w:ascii="Times New Roman" w:hAnsi="Times New Roman" w:eastAsia="宋体" w:cs="Times New Roman"/>
                <w:color w:val="auto"/>
                <w:spacing w:val="0"/>
                <w:w w:val="100"/>
                <w:position w:val="0"/>
                <w:szCs w:val="21"/>
                <w:lang w:val="en-US" w:eastAsia="zh-CN"/>
              </w:rPr>
            </w:pPr>
            <w:r>
              <w:rPr>
                <w:rFonts w:hint="default" w:ascii="Times New Roman" w:hAnsi="Times New Roman" w:eastAsia="宋体" w:cs="Times New Roman"/>
                <w:color w:val="auto"/>
                <w:spacing w:val="0"/>
                <w:w w:val="100"/>
                <w:position w:val="0"/>
                <w:szCs w:val="21"/>
                <w:lang w:val="en-US" w:eastAsia="zh-CN"/>
              </w:rPr>
              <w:t>D5</w:t>
            </w:r>
          </w:p>
        </w:tc>
        <w:tc>
          <w:tcPr>
            <w:tcW w:w="6276" w:type="dxa"/>
            <w:tcBorders>
              <w:tl2br w:val="nil"/>
              <w:tr2bl w:val="nil"/>
            </w:tcBorders>
            <w:noWrap w:val="0"/>
            <w:vAlign w:val="top"/>
          </w:tcPr>
          <w:p w14:paraId="1C68AB42">
            <w:pPr>
              <w:jc w:val="center"/>
              <w:rPr>
                <w:rFonts w:hint="default" w:ascii="Times New Roman" w:hAnsi="Times New Roman" w:eastAsia="宋体" w:cs="Times New Roman"/>
                <w:color w:val="auto"/>
                <w:spacing w:val="0"/>
                <w:w w:val="100"/>
                <w:position w:val="0"/>
                <w:szCs w:val="21"/>
                <w:lang w:val="en-US" w:eastAsia="zh-CN"/>
              </w:rPr>
            </w:pPr>
            <w:r>
              <w:rPr>
                <w:rFonts w:hint="default" w:ascii="Times New Roman" w:hAnsi="Times New Roman" w:eastAsia="宋体" w:cs="Times New Roman"/>
                <w:color w:val="000000"/>
                <w:kern w:val="2"/>
                <w:sz w:val="21"/>
                <w:szCs w:val="21"/>
                <w:lang w:val="en-US" w:eastAsia="zh-CN" w:bidi="ar-SA"/>
              </w:rPr>
              <w:t>D5坝址西北侧约450m水井</w:t>
            </w:r>
          </w:p>
        </w:tc>
      </w:tr>
      <w:tr w14:paraId="2E95FB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96" w:type="dxa"/>
            <w:tcBorders>
              <w:tl2br w:val="nil"/>
              <w:tr2bl w:val="nil"/>
            </w:tcBorders>
            <w:noWrap w:val="0"/>
            <w:vAlign w:val="center"/>
          </w:tcPr>
          <w:p w14:paraId="6645FCBE">
            <w:pPr>
              <w:spacing w:line="360" w:lineRule="exact"/>
              <w:jc w:val="center"/>
              <w:rPr>
                <w:rFonts w:hint="default" w:ascii="Times New Roman" w:hAnsi="Times New Roman" w:eastAsia="宋体" w:cs="Times New Roman"/>
                <w:color w:val="auto"/>
                <w:spacing w:val="0"/>
                <w:w w:val="100"/>
                <w:position w:val="0"/>
                <w:szCs w:val="21"/>
                <w:lang w:val="en-US" w:eastAsia="zh-CN"/>
              </w:rPr>
            </w:pPr>
            <w:r>
              <w:rPr>
                <w:rFonts w:hint="default" w:ascii="Times New Roman" w:hAnsi="Times New Roman" w:eastAsia="宋体" w:cs="Times New Roman"/>
                <w:color w:val="auto"/>
                <w:spacing w:val="0"/>
                <w:w w:val="100"/>
                <w:position w:val="0"/>
                <w:szCs w:val="21"/>
                <w:lang w:val="en-US" w:eastAsia="zh-CN"/>
              </w:rPr>
              <w:t>D6</w:t>
            </w:r>
          </w:p>
        </w:tc>
        <w:tc>
          <w:tcPr>
            <w:tcW w:w="6276" w:type="dxa"/>
            <w:tcBorders>
              <w:tl2br w:val="nil"/>
              <w:tr2bl w:val="nil"/>
            </w:tcBorders>
            <w:noWrap w:val="0"/>
            <w:vAlign w:val="top"/>
          </w:tcPr>
          <w:p w14:paraId="2A9290B2">
            <w:pPr>
              <w:jc w:val="center"/>
              <w:rPr>
                <w:rFonts w:hint="default" w:ascii="Times New Roman" w:hAnsi="Times New Roman" w:eastAsia="宋体" w:cs="Times New Roman"/>
                <w:color w:val="auto"/>
                <w:spacing w:val="0"/>
                <w:w w:val="100"/>
                <w:position w:val="0"/>
                <w:szCs w:val="21"/>
                <w:lang w:val="en-US" w:eastAsia="zh-CN"/>
              </w:rPr>
            </w:pPr>
            <w:r>
              <w:rPr>
                <w:rFonts w:hint="default" w:ascii="Times New Roman" w:hAnsi="Times New Roman" w:eastAsia="宋体" w:cs="Times New Roman"/>
                <w:color w:val="000000"/>
                <w:kern w:val="2"/>
                <w:sz w:val="21"/>
                <w:szCs w:val="21"/>
                <w:lang w:val="en-US" w:eastAsia="zh-CN" w:bidi="ar-SA"/>
              </w:rPr>
              <w:t>D6坝址西侧约1550m水井</w:t>
            </w:r>
          </w:p>
        </w:tc>
      </w:tr>
    </w:tbl>
    <w:p w14:paraId="42351EC8">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2、监测因子</w:t>
      </w:r>
    </w:p>
    <w:p w14:paraId="371F133C">
      <w:pPr>
        <w:spacing w:line="360" w:lineRule="auto"/>
        <w:ind w:firstLine="480" w:firstLineChars="200"/>
        <w:rPr>
          <w:rFonts w:hint="default" w:ascii="Times New Roman" w:hAnsi="Times New Roman" w:eastAsia="宋体" w:cs="Times New Roman"/>
          <w:color w:val="auto"/>
          <w:spacing w:val="0"/>
          <w:w w:val="100"/>
          <w:kern w:val="0"/>
          <w:position w:val="0"/>
          <w:sz w:val="24"/>
          <w:szCs w:val="24"/>
          <w:u w:val="none" w:color="auto"/>
          <w:lang w:val="en-US" w:eastAsia="zh-CN"/>
        </w:rPr>
      </w:pPr>
      <w:r>
        <w:rPr>
          <w:rFonts w:hint="default" w:ascii="Times New Roman" w:hAnsi="Times New Roman" w:eastAsia="宋体" w:cs="Times New Roman"/>
          <w:color w:val="auto"/>
          <w:spacing w:val="0"/>
          <w:w w:val="100"/>
          <w:kern w:val="0"/>
          <w:position w:val="0"/>
          <w:sz w:val="24"/>
          <w:szCs w:val="24"/>
          <w:u w:val="none" w:color="auto"/>
          <w:lang w:val="en-US" w:eastAsia="zh-CN"/>
        </w:rPr>
        <w:t>U1-U3：</w:t>
      </w:r>
      <w:r>
        <w:rPr>
          <w:rFonts w:hint="default" w:ascii="Times New Roman" w:hAnsi="Times New Roman" w:eastAsia="宋体" w:cs="Times New Roman"/>
          <w:color w:val="auto"/>
          <w:spacing w:val="0"/>
          <w:w w:val="100"/>
          <w:kern w:val="0"/>
          <w:position w:val="0"/>
          <w:sz w:val="24"/>
          <w:szCs w:val="24"/>
          <w:u w:val="none" w:color="auto"/>
        </w:rPr>
        <w:t>pH、氨氮、砷、六价铬、铅、镉、总硬度、总大肠菌群、耗氧量、硝酸盐（以N计）、亚硝酸盐（以N计）、</w:t>
      </w:r>
      <w:r>
        <w:rPr>
          <w:rFonts w:hint="default" w:ascii="Times New Roman" w:hAnsi="Times New Roman" w:eastAsia="宋体" w:cs="Times New Roman"/>
          <w:color w:val="auto"/>
          <w:spacing w:val="0"/>
          <w:w w:val="100"/>
          <w:kern w:val="0"/>
          <w:position w:val="0"/>
          <w:sz w:val="24"/>
          <w:szCs w:val="24"/>
          <w:u w:val="none" w:color="auto"/>
          <w:lang w:eastAsia="zh-CN"/>
        </w:rPr>
        <w:t>钾、钠、钙、镁、碳酸根、硝酸根、氯、硫酸根、</w:t>
      </w:r>
      <w:r>
        <w:rPr>
          <w:rFonts w:hint="default" w:ascii="Times New Roman" w:hAnsi="Times New Roman" w:eastAsia="宋体" w:cs="Times New Roman"/>
          <w:color w:val="auto"/>
          <w:spacing w:val="0"/>
          <w:w w:val="100"/>
          <w:kern w:val="0"/>
          <w:position w:val="0"/>
          <w:sz w:val="24"/>
          <w:szCs w:val="24"/>
          <w:u w:val="none" w:color="auto"/>
          <w:lang w:val="en-US" w:eastAsia="zh-CN"/>
        </w:rPr>
        <w:t>水位</w:t>
      </w:r>
      <w:r>
        <w:rPr>
          <w:rFonts w:hint="default" w:ascii="Times New Roman" w:hAnsi="Times New Roman" w:eastAsia="宋体" w:cs="Times New Roman"/>
          <w:color w:val="auto"/>
          <w:spacing w:val="0"/>
          <w:w w:val="100"/>
          <w:kern w:val="0"/>
          <w:position w:val="0"/>
          <w:sz w:val="24"/>
          <w:szCs w:val="24"/>
          <w:u w:val="none" w:color="auto"/>
          <w:lang w:eastAsia="zh-CN"/>
        </w:rPr>
        <w:t>。</w:t>
      </w:r>
      <w:r>
        <w:rPr>
          <w:rFonts w:hint="default" w:ascii="Times New Roman" w:hAnsi="Times New Roman" w:eastAsia="宋体" w:cs="Times New Roman"/>
          <w:color w:val="auto"/>
          <w:spacing w:val="0"/>
          <w:w w:val="100"/>
          <w:kern w:val="0"/>
          <w:position w:val="0"/>
          <w:sz w:val="24"/>
          <w:szCs w:val="24"/>
          <w:u w:val="none" w:color="auto"/>
          <w:lang w:val="en-US" w:eastAsia="zh-CN"/>
        </w:rPr>
        <w:t>U4-U6：水位。</w:t>
      </w:r>
    </w:p>
    <w:p w14:paraId="7CEA20C4">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3、监测时间和频率</w:t>
      </w:r>
    </w:p>
    <w:p w14:paraId="53EDD6E3">
      <w:pPr>
        <w:keepNext w:val="0"/>
        <w:keepLines w:val="0"/>
        <w:pageBreakBefore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监测时间为202</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4</w:t>
      </w:r>
      <w:r>
        <w:rPr>
          <w:rFonts w:hint="default" w:ascii="Times New Roman" w:hAnsi="Times New Roman" w:eastAsia="宋体" w:cs="Times New Roman"/>
          <w:caps w:val="0"/>
          <w:smallCaps w:val="0"/>
          <w:color w:val="auto"/>
          <w:spacing w:val="0"/>
          <w:w w:val="100"/>
          <w:kern w:val="0"/>
          <w:position w:val="0"/>
          <w:sz w:val="24"/>
          <w:szCs w:val="24"/>
          <w:u w:val="none" w:color="auto"/>
        </w:rPr>
        <w:t>年</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default" w:ascii="Times New Roman" w:hAnsi="Times New Roman" w:eastAsia="宋体" w:cs="Times New Roman"/>
          <w:caps w:val="0"/>
          <w:smallCaps w:val="0"/>
          <w:color w:val="auto"/>
          <w:spacing w:val="0"/>
          <w:w w:val="100"/>
          <w:kern w:val="0"/>
          <w:position w:val="0"/>
          <w:sz w:val="24"/>
          <w:szCs w:val="24"/>
          <w:u w:val="none" w:color="auto"/>
        </w:rPr>
        <w:t>月</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8</w:t>
      </w:r>
      <w:r>
        <w:rPr>
          <w:rFonts w:hint="default" w:ascii="Times New Roman" w:hAnsi="Times New Roman" w:eastAsia="宋体" w:cs="Times New Roman"/>
          <w:caps w:val="0"/>
          <w:smallCaps w:val="0"/>
          <w:color w:val="auto"/>
          <w:spacing w:val="0"/>
          <w:w w:val="100"/>
          <w:kern w:val="0"/>
          <w:position w:val="0"/>
          <w:sz w:val="24"/>
          <w:szCs w:val="24"/>
          <w:u w:val="none" w:color="auto"/>
        </w:rPr>
        <w:t>日，每天采样1次。</w:t>
      </w:r>
    </w:p>
    <w:p w14:paraId="086C8E77">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bookmarkStart w:id="130" w:name="_Toc346269299"/>
      <w:bookmarkStart w:id="131" w:name="_Toc343583856"/>
      <w:bookmarkStart w:id="132" w:name="_Toc343177822"/>
      <w:bookmarkStart w:id="133" w:name="_Toc345602627"/>
      <w:bookmarkStart w:id="134" w:name="_Toc349896062"/>
      <w:bookmarkStart w:id="135" w:name="_Toc349391619"/>
      <w:r>
        <w:rPr>
          <w:rFonts w:hint="default" w:ascii="Times New Roman" w:hAnsi="Times New Roman" w:eastAsia="宋体" w:cs="Times New Roman"/>
          <w:b/>
          <w:bCs/>
          <w:color w:val="auto"/>
          <w:spacing w:val="0"/>
          <w:w w:val="100"/>
          <w:kern w:val="0"/>
          <w:position w:val="0"/>
          <w:sz w:val="24"/>
          <w:u w:val="none" w:color="auto"/>
          <w:lang w:val="en-US" w:eastAsia="zh-CN"/>
        </w:rPr>
        <w:t>4、监测分析方法</w:t>
      </w:r>
      <w:bookmarkEnd w:id="130"/>
      <w:bookmarkEnd w:id="131"/>
      <w:bookmarkEnd w:id="132"/>
      <w:bookmarkEnd w:id="133"/>
      <w:bookmarkEnd w:id="134"/>
      <w:bookmarkEnd w:id="135"/>
    </w:p>
    <w:p w14:paraId="3C0D6265">
      <w:pPr>
        <w:keepNext w:val="0"/>
        <w:keepLines w:val="0"/>
        <w:pageBreakBefore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监测分析方法见表3.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2-9</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5F0327C6">
      <w:pPr>
        <w:keepNext w:val="0"/>
        <w:keepLines w:val="0"/>
        <w:pageBreakBefore w:val="0"/>
        <w:widowControl w:val="0"/>
        <w:kinsoku w:val="0"/>
        <w:wordWrap w:val="0"/>
        <w:overflowPunct/>
        <w:topLinePunct/>
        <w:autoSpaceDE/>
        <w:autoSpaceDN/>
        <w:bidi w:val="0"/>
        <w:adjustRightInd/>
        <w:snapToGrid/>
        <w:spacing w:before="0" w:beforeLines="50" w:line="360" w:lineRule="auto"/>
        <w:jc w:val="center"/>
        <w:textAlignment w:val="auto"/>
        <w:rPr>
          <w:rFonts w:hint="default" w:ascii="Times New Roman" w:hAnsi="Times New Roman" w:eastAsia="宋体" w:cs="Times New Roman"/>
          <w:b/>
          <w:caps w:val="0"/>
          <w:smallCaps w:val="0"/>
          <w:color w:val="auto"/>
          <w:spacing w:val="0"/>
          <w:w w:val="100"/>
          <w:position w:val="0"/>
          <w:szCs w:val="21"/>
          <w:u w:val="none" w:color="auto"/>
        </w:rPr>
      </w:pPr>
      <w:r>
        <w:rPr>
          <w:rFonts w:hint="default" w:ascii="Times New Roman" w:hAnsi="Times New Roman" w:eastAsia="宋体" w:cs="Times New Roman"/>
          <w:b/>
          <w:caps w:val="0"/>
          <w:smallCaps w:val="0"/>
          <w:color w:val="auto"/>
          <w:spacing w:val="0"/>
          <w:w w:val="100"/>
          <w:position w:val="0"/>
          <w:szCs w:val="21"/>
          <w:u w:val="none" w:color="auto"/>
        </w:rPr>
        <w:t>表3.</w:t>
      </w:r>
      <w:r>
        <w:rPr>
          <w:rFonts w:hint="default" w:ascii="Times New Roman" w:hAnsi="Times New Roman" w:eastAsia="宋体" w:cs="Times New Roman"/>
          <w:b/>
          <w:caps w:val="0"/>
          <w:smallCaps w:val="0"/>
          <w:color w:val="auto"/>
          <w:spacing w:val="0"/>
          <w:w w:val="100"/>
          <w:position w:val="0"/>
          <w:szCs w:val="21"/>
          <w:u w:val="none" w:color="auto"/>
          <w:lang w:val="en-US" w:eastAsia="zh-CN"/>
        </w:rPr>
        <w:t>2-9</w:t>
      </w:r>
      <w:r>
        <w:rPr>
          <w:rFonts w:hint="default" w:ascii="Times New Roman" w:hAnsi="Times New Roman" w:eastAsia="宋体" w:cs="Times New Roman"/>
          <w:b/>
          <w:caps w:val="0"/>
          <w:smallCaps w:val="0"/>
          <w:color w:val="auto"/>
          <w:spacing w:val="0"/>
          <w:w w:val="100"/>
          <w:position w:val="0"/>
          <w:szCs w:val="21"/>
          <w:u w:val="none" w:color="auto"/>
        </w:rPr>
        <w:t xml:space="preserve">  地下水监测项目分析方法一览表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497"/>
        <w:gridCol w:w="1248"/>
        <w:gridCol w:w="3409"/>
        <w:gridCol w:w="1959"/>
        <w:gridCol w:w="1228"/>
      </w:tblGrid>
      <w:tr w14:paraId="05FB63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1945" w:type="dxa"/>
            <w:gridSpan w:val="2"/>
            <w:tcBorders>
              <w:tl2br w:val="nil"/>
              <w:tr2bl w:val="nil"/>
            </w:tcBorders>
            <w:vAlign w:val="center"/>
          </w:tcPr>
          <w:p w14:paraId="63EEEEEF">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检测项目</w:t>
            </w:r>
          </w:p>
        </w:tc>
        <w:tc>
          <w:tcPr>
            <w:tcW w:w="3806" w:type="dxa"/>
            <w:tcBorders>
              <w:tl2br w:val="nil"/>
              <w:tr2bl w:val="nil"/>
            </w:tcBorders>
            <w:vAlign w:val="center"/>
          </w:tcPr>
          <w:p w14:paraId="512E291D">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检测方法</w:t>
            </w:r>
          </w:p>
        </w:tc>
        <w:tc>
          <w:tcPr>
            <w:tcW w:w="2186" w:type="dxa"/>
            <w:tcBorders>
              <w:tl2br w:val="nil"/>
              <w:tr2bl w:val="nil"/>
            </w:tcBorders>
            <w:vAlign w:val="center"/>
          </w:tcPr>
          <w:p w14:paraId="2EF50CDD">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检测仪器</w:t>
            </w:r>
          </w:p>
        </w:tc>
        <w:tc>
          <w:tcPr>
            <w:tcW w:w="1368" w:type="dxa"/>
            <w:tcBorders>
              <w:tl2br w:val="nil"/>
              <w:tr2bl w:val="nil"/>
            </w:tcBorders>
            <w:vAlign w:val="center"/>
          </w:tcPr>
          <w:p w14:paraId="5C27767A">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方法检出限</w:t>
            </w:r>
          </w:p>
        </w:tc>
      </w:tr>
      <w:tr w14:paraId="6397C3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restart"/>
            <w:tcBorders>
              <w:tl2br w:val="nil"/>
              <w:tr2bl w:val="nil"/>
            </w:tcBorders>
            <w:textDirection w:val="tbLrV"/>
            <w:vAlign w:val="center"/>
          </w:tcPr>
          <w:p w14:paraId="0953011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地下水</w:t>
            </w:r>
          </w:p>
          <w:p w14:paraId="58844B7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地下水</w:t>
            </w:r>
          </w:p>
        </w:tc>
        <w:tc>
          <w:tcPr>
            <w:tcW w:w="1392" w:type="dxa"/>
            <w:tcBorders>
              <w:tl2br w:val="nil"/>
              <w:tr2bl w:val="nil"/>
            </w:tcBorders>
            <w:vAlign w:val="center"/>
          </w:tcPr>
          <w:p w14:paraId="1F167A84">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pH值</w:t>
            </w:r>
          </w:p>
        </w:tc>
        <w:tc>
          <w:tcPr>
            <w:tcW w:w="3806" w:type="dxa"/>
            <w:tcBorders>
              <w:tl2br w:val="nil"/>
              <w:tr2bl w:val="nil"/>
            </w:tcBorders>
            <w:vAlign w:val="center"/>
          </w:tcPr>
          <w:p w14:paraId="1F16D0E5">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pH值的测定 电极法》</w:t>
            </w:r>
          </w:p>
          <w:p w14:paraId="1894A05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HJ 1147-2020</w:t>
            </w:r>
          </w:p>
        </w:tc>
        <w:tc>
          <w:tcPr>
            <w:tcW w:w="2186" w:type="dxa"/>
            <w:tcBorders>
              <w:tl2br w:val="nil"/>
              <w:tr2bl w:val="nil"/>
            </w:tcBorders>
            <w:vAlign w:val="center"/>
          </w:tcPr>
          <w:p w14:paraId="36AF6499">
            <w:pPr>
              <w:keepNext w:val="0"/>
              <w:keepLines w:val="0"/>
              <w:pageBreakBefore w:val="0"/>
              <w:widowControl/>
              <w:kinsoku/>
              <w:wordWrap/>
              <w:overflowPunct/>
              <w:topLinePunct w:val="0"/>
              <w:autoSpaceDE/>
              <w:autoSpaceDN/>
              <w:bidi w:val="0"/>
              <w:adjustRightInd/>
              <w:snapToGrid/>
              <w:spacing w:line="240" w:lineRule="auto"/>
              <w:ind w:left="-42" w:leftChars="-20" w:right="-42" w:rightChars="-20" w:firstLine="0" w:firstLineChars="0"/>
              <w:jc w:val="center"/>
              <w:textAlignment w:val="center"/>
              <w:outlineLvl w:val="9"/>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SX836型</w:t>
            </w:r>
          </w:p>
          <w:p w14:paraId="195DB6DA">
            <w:pPr>
              <w:keepNext w:val="0"/>
              <w:keepLines w:val="0"/>
              <w:pageBreakBefore w:val="0"/>
              <w:widowControl/>
              <w:kinsoku/>
              <w:wordWrap/>
              <w:overflowPunct/>
              <w:topLinePunct w:val="0"/>
              <w:autoSpaceDE/>
              <w:autoSpaceDN/>
              <w:bidi w:val="0"/>
              <w:adjustRightInd/>
              <w:snapToGrid/>
              <w:spacing w:line="240" w:lineRule="auto"/>
              <w:ind w:left="-42" w:leftChars="-20" w:right="-42" w:rightChars="-20" w:firstLine="0" w:firstLineChars="0"/>
              <w:jc w:val="center"/>
              <w:textAlignment w:val="center"/>
              <w:outlineLvl w:val="9"/>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pacing w:val="-6"/>
                <w:kern w:val="0"/>
                <w:sz w:val="21"/>
                <w:szCs w:val="21"/>
                <w:highlight w:val="none"/>
                <w:lang w:val="en-US" w:eastAsia="zh-CN" w:bidi="ar"/>
              </w:rPr>
              <w:t>PH/mV/电导率/溶解氧测量仪</w:t>
            </w:r>
          </w:p>
        </w:tc>
        <w:tc>
          <w:tcPr>
            <w:tcW w:w="1368" w:type="dxa"/>
            <w:tcBorders>
              <w:tl2br w:val="nil"/>
              <w:tr2bl w:val="nil"/>
            </w:tcBorders>
            <w:vAlign w:val="center"/>
          </w:tcPr>
          <w:p w14:paraId="5605FAFC">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r>
      <w:tr w14:paraId="2CBE94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09BB7C38">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14C60BB7">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钾</w:t>
            </w:r>
          </w:p>
        </w:tc>
        <w:tc>
          <w:tcPr>
            <w:tcW w:w="3806" w:type="dxa"/>
            <w:tcBorders>
              <w:tl2br w:val="nil"/>
              <w:tr2bl w:val="nil"/>
            </w:tcBorders>
            <w:vAlign w:val="center"/>
          </w:tcPr>
          <w:p w14:paraId="62598FFB">
            <w:pPr>
              <w:keepNext w:val="0"/>
              <w:keepLines w:val="0"/>
              <w:pageBreakBefore w:val="0"/>
              <w:kinsoku/>
              <w:wordWrap/>
              <w:overflowPunct/>
              <w:topLinePunct w:val="0"/>
              <w:autoSpaceDE/>
              <w:autoSpaceDN/>
              <w:bidi w:val="0"/>
              <w:adjustRightInd/>
              <w:snapToGrid/>
              <w:spacing w:line="260" w:lineRule="exact"/>
              <w:ind w:left="0" w:leftChars="0" w:right="0" w:rightChars="0" w:firstLine="0" w:firstLineChars="0"/>
              <w:jc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sz w:val="21"/>
                <w:szCs w:val="21"/>
              </w:rPr>
              <w:t>《水质 钾和钠的测定 火焰原子吸收分光光度法》GB 11904-1989</w:t>
            </w:r>
          </w:p>
        </w:tc>
        <w:tc>
          <w:tcPr>
            <w:tcW w:w="2186" w:type="dxa"/>
            <w:tcBorders>
              <w:tl2br w:val="nil"/>
              <w:tr2bl w:val="nil"/>
            </w:tcBorders>
            <w:vAlign w:val="center"/>
          </w:tcPr>
          <w:p w14:paraId="74EBF6D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TAS-990</w:t>
            </w:r>
          </w:p>
          <w:p w14:paraId="79328C31">
            <w:pPr>
              <w:keepNext w:val="0"/>
              <w:keepLines w:val="0"/>
              <w:pageBreakBefore w:val="0"/>
              <w:kinsoku/>
              <w:wordWrap/>
              <w:overflowPunct/>
              <w:topLinePunct w:val="0"/>
              <w:autoSpaceDE/>
              <w:autoSpaceDN/>
              <w:bidi w:val="0"/>
              <w:adjustRightInd/>
              <w:snapToGrid/>
              <w:spacing w:line="260" w:lineRule="exact"/>
              <w:ind w:left="0" w:leftChars="0" w:right="0" w:rightChars="0" w:firstLine="0" w:firstLineChars="0"/>
              <w:jc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kern w:val="0"/>
                <w:sz w:val="21"/>
                <w:szCs w:val="21"/>
                <w:highlight w:val="none"/>
                <w:lang w:eastAsia="zh-CN" w:bidi="ar"/>
              </w:rPr>
              <w:t>原子吸收分光光度计</w:t>
            </w:r>
          </w:p>
        </w:tc>
        <w:tc>
          <w:tcPr>
            <w:tcW w:w="1368" w:type="dxa"/>
            <w:tcBorders>
              <w:tl2br w:val="nil"/>
              <w:tr2bl w:val="nil"/>
            </w:tcBorders>
            <w:vAlign w:val="center"/>
          </w:tcPr>
          <w:p w14:paraId="06B5E645">
            <w:pPr>
              <w:keepNext w:val="0"/>
              <w:keepLines w:val="0"/>
              <w:pageBreakBefore w:val="0"/>
              <w:kinsoku/>
              <w:wordWrap/>
              <w:overflowPunct/>
              <w:topLinePunct w:val="0"/>
              <w:autoSpaceDE/>
              <w:autoSpaceDN/>
              <w:bidi w:val="0"/>
              <w:adjustRightInd/>
              <w:snapToGrid/>
              <w:spacing w:line="260" w:lineRule="exact"/>
              <w:ind w:left="0" w:leftChars="0" w:right="0" w:rightChars="0" w:firstLine="0" w:firstLineChars="0"/>
              <w:jc w:val="center"/>
              <w:outlineLvl w:val="9"/>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0.05</w:t>
            </w:r>
            <w:r>
              <w:rPr>
                <w:rFonts w:hint="default" w:ascii="Times New Roman" w:hAnsi="Times New Roman" w:eastAsia="宋体" w:cs="Times New Roman"/>
                <w:color w:val="000000"/>
                <w:sz w:val="21"/>
                <w:szCs w:val="21"/>
              </w:rPr>
              <w:t>mg/L</w:t>
            </w:r>
          </w:p>
        </w:tc>
      </w:tr>
      <w:tr w14:paraId="2C6867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436E0B1A">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097FD8B6">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钠</w:t>
            </w:r>
          </w:p>
        </w:tc>
        <w:tc>
          <w:tcPr>
            <w:tcW w:w="3806" w:type="dxa"/>
            <w:tcBorders>
              <w:tl2br w:val="nil"/>
              <w:tr2bl w:val="nil"/>
            </w:tcBorders>
            <w:vAlign w:val="center"/>
          </w:tcPr>
          <w:p w14:paraId="7BBADC79">
            <w:pPr>
              <w:keepNext w:val="0"/>
              <w:keepLines w:val="0"/>
              <w:pageBreakBefore w:val="0"/>
              <w:kinsoku/>
              <w:wordWrap/>
              <w:overflowPunct/>
              <w:topLinePunct w:val="0"/>
              <w:autoSpaceDE/>
              <w:autoSpaceDN/>
              <w:bidi w:val="0"/>
              <w:adjustRightInd/>
              <w:snapToGrid/>
              <w:spacing w:line="260" w:lineRule="exact"/>
              <w:ind w:left="0" w:leftChars="0" w:right="0" w:rightChars="0" w:firstLine="0" w:firstLineChars="0"/>
              <w:jc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sz w:val="21"/>
                <w:szCs w:val="21"/>
              </w:rPr>
              <w:t>《水质 钾和钠的测定 火焰原子吸收分光光度法》GB 11904-1989</w:t>
            </w:r>
          </w:p>
        </w:tc>
        <w:tc>
          <w:tcPr>
            <w:tcW w:w="2186" w:type="dxa"/>
            <w:tcBorders>
              <w:tl2br w:val="nil"/>
              <w:tr2bl w:val="nil"/>
            </w:tcBorders>
            <w:vAlign w:val="center"/>
          </w:tcPr>
          <w:p w14:paraId="48AC18C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TAS-990</w:t>
            </w:r>
          </w:p>
          <w:p w14:paraId="2103F3B1">
            <w:pPr>
              <w:keepNext w:val="0"/>
              <w:keepLines w:val="0"/>
              <w:pageBreakBefore w:val="0"/>
              <w:kinsoku/>
              <w:wordWrap/>
              <w:overflowPunct/>
              <w:topLinePunct w:val="0"/>
              <w:autoSpaceDE/>
              <w:autoSpaceDN/>
              <w:bidi w:val="0"/>
              <w:adjustRightInd/>
              <w:snapToGrid/>
              <w:spacing w:line="260" w:lineRule="exact"/>
              <w:ind w:left="0" w:leftChars="0" w:right="0" w:rightChars="0" w:firstLine="0" w:firstLineChars="0"/>
              <w:jc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kern w:val="0"/>
                <w:sz w:val="21"/>
                <w:szCs w:val="21"/>
                <w:highlight w:val="none"/>
                <w:lang w:eastAsia="zh-CN" w:bidi="ar"/>
              </w:rPr>
              <w:t>原子吸收分光光度计</w:t>
            </w:r>
          </w:p>
        </w:tc>
        <w:tc>
          <w:tcPr>
            <w:tcW w:w="1368" w:type="dxa"/>
            <w:tcBorders>
              <w:tl2br w:val="nil"/>
              <w:tr2bl w:val="nil"/>
            </w:tcBorders>
            <w:vAlign w:val="center"/>
          </w:tcPr>
          <w:p w14:paraId="04A8AAD1">
            <w:pPr>
              <w:keepNext w:val="0"/>
              <w:keepLines w:val="0"/>
              <w:pageBreakBefore w:val="0"/>
              <w:kinsoku/>
              <w:wordWrap/>
              <w:overflowPunct/>
              <w:topLinePunct w:val="0"/>
              <w:autoSpaceDE/>
              <w:autoSpaceDN/>
              <w:bidi w:val="0"/>
              <w:adjustRightInd/>
              <w:snapToGrid/>
              <w:spacing w:line="260" w:lineRule="exact"/>
              <w:ind w:left="0" w:leftChars="0" w:right="0" w:rightChars="0" w:firstLine="0" w:firstLineChars="0"/>
              <w:jc w:val="center"/>
              <w:outlineLvl w:val="9"/>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0.01</w:t>
            </w:r>
            <w:r>
              <w:rPr>
                <w:rFonts w:hint="default" w:ascii="Times New Roman" w:hAnsi="Times New Roman" w:eastAsia="宋体" w:cs="Times New Roman"/>
                <w:color w:val="000000"/>
                <w:sz w:val="21"/>
                <w:szCs w:val="21"/>
              </w:rPr>
              <w:t>mg/L</w:t>
            </w:r>
          </w:p>
        </w:tc>
      </w:tr>
      <w:tr w14:paraId="252EE2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5CFE5C04">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29EC5B33">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钙</w:t>
            </w:r>
          </w:p>
        </w:tc>
        <w:tc>
          <w:tcPr>
            <w:tcW w:w="3806" w:type="dxa"/>
            <w:tcBorders>
              <w:tl2br w:val="nil"/>
              <w:tr2bl w:val="nil"/>
            </w:tcBorders>
            <w:vAlign w:val="center"/>
          </w:tcPr>
          <w:p w14:paraId="6156163F">
            <w:pPr>
              <w:keepNext w:val="0"/>
              <w:keepLines w:val="0"/>
              <w:pageBreakBefore w:val="0"/>
              <w:kinsoku/>
              <w:wordWrap/>
              <w:overflowPunct/>
              <w:topLinePunct w:val="0"/>
              <w:autoSpaceDE/>
              <w:autoSpaceDN/>
              <w:bidi w:val="0"/>
              <w:adjustRightInd/>
              <w:snapToGrid/>
              <w:spacing w:line="260" w:lineRule="exact"/>
              <w:ind w:left="0" w:leftChars="0" w:right="0" w:rightChars="0" w:firstLine="0" w:firstLineChars="0"/>
              <w:jc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《地下水质分析方法 第13部分：钙量的测定 乙二胺四乙酸二钠滴定法》</w:t>
            </w:r>
          </w:p>
          <w:p w14:paraId="3C3CEED1">
            <w:pPr>
              <w:keepNext w:val="0"/>
              <w:keepLines w:val="0"/>
              <w:pageBreakBefore w:val="0"/>
              <w:kinsoku/>
              <w:wordWrap/>
              <w:overflowPunct/>
              <w:topLinePunct w:val="0"/>
              <w:autoSpaceDE/>
              <w:autoSpaceDN/>
              <w:bidi w:val="0"/>
              <w:adjustRightInd/>
              <w:snapToGrid/>
              <w:spacing w:line="260" w:lineRule="exact"/>
              <w:ind w:left="0" w:leftChars="0" w:right="0" w:rightChars="0" w:firstLine="0" w:firstLineChars="0"/>
              <w:jc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DZ/T 0064.13-2021</w:t>
            </w:r>
          </w:p>
        </w:tc>
        <w:tc>
          <w:tcPr>
            <w:tcW w:w="2186" w:type="dxa"/>
            <w:tcBorders>
              <w:tl2br w:val="nil"/>
              <w:tr2bl w:val="nil"/>
            </w:tcBorders>
            <w:vAlign w:val="center"/>
          </w:tcPr>
          <w:p w14:paraId="1ADBAF6F">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kern w:val="0"/>
                <w:sz w:val="21"/>
                <w:szCs w:val="21"/>
                <w:highlight w:val="none"/>
                <w:lang w:val="en-US" w:eastAsia="zh-CN" w:bidi="ar"/>
              </w:rPr>
              <w:t>滴定管</w:t>
            </w:r>
          </w:p>
        </w:tc>
        <w:tc>
          <w:tcPr>
            <w:tcW w:w="1368" w:type="dxa"/>
            <w:tcBorders>
              <w:tl2br w:val="nil"/>
              <w:tr2bl w:val="nil"/>
            </w:tcBorders>
            <w:vAlign w:val="center"/>
          </w:tcPr>
          <w:p w14:paraId="3543F7EB">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w:t>
            </w:r>
            <w:r>
              <w:rPr>
                <w:rFonts w:hint="default" w:ascii="Times New Roman" w:hAnsi="Times New Roman" w:eastAsia="宋体" w:cs="Times New Roman"/>
                <w:sz w:val="21"/>
                <w:szCs w:val="21"/>
              </w:rPr>
              <w:t>mg/L</w:t>
            </w:r>
          </w:p>
        </w:tc>
      </w:tr>
      <w:tr w14:paraId="41ACE9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4DCB7511">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3A5961A5">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镁</w:t>
            </w:r>
          </w:p>
        </w:tc>
        <w:tc>
          <w:tcPr>
            <w:tcW w:w="3806" w:type="dxa"/>
            <w:tcBorders>
              <w:tl2br w:val="nil"/>
              <w:tr2bl w:val="nil"/>
            </w:tcBorders>
            <w:vAlign w:val="center"/>
          </w:tcPr>
          <w:p w14:paraId="6B182B20">
            <w:pPr>
              <w:keepNext w:val="0"/>
              <w:keepLines w:val="0"/>
              <w:pageBreakBefore w:val="0"/>
              <w:kinsoku/>
              <w:wordWrap/>
              <w:overflowPunct/>
              <w:topLinePunct w:val="0"/>
              <w:autoSpaceDE/>
              <w:autoSpaceDN/>
              <w:bidi w:val="0"/>
              <w:adjustRightInd/>
              <w:snapToGrid/>
              <w:spacing w:line="260" w:lineRule="exact"/>
              <w:ind w:left="0" w:leftChars="0" w:right="0" w:rightChars="0" w:firstLine="0" w:firstLineChars="0"/>
              <w:jc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《地下水质分析方法 第14部分：镁量的测定 乙二胺四乙酸二钠滴定法》DZ/T 0064.14-2021</w:t>
            </w:r>
          </w:p>
        </w:tc>
        <w:tc>
          <w:tcPr>
            <w:tcW w:w="2186" w:type="dxa"/>
            <w:tcBorders>
              <w:tl2br w:val="nil"/>
              <w:tr2bl w:val="nil"/>
            </w:tcBorders>
            <w:vAlign w:val="center"/>
          </w:tcPr>
          <w:p w14:paraId="4E1BE366">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kern w:val="0"/>
                <w:sz w:val="21"/>
                <w:szCs w:val="21"/>
                <w:highlight w:val="none"/>
                <w:lang w:val="en-US" w:eastAsia="zh-CN" w:bidi="ar"/>
              </w:rPr>
              <w:t>滴定管</w:t>
            </w:r>
          </w:p>
        </w:tc>
        <w:tc>
          <w:tcPr>
            <w:tcW w:w="1368" w:type="dxa"/>
            <w:tcBorders>
              <w:tl2br w:val="nil"/>
              <w:tr2bl w:val="nil"/>
            </w:tcBorders>
            <w:vAlign w:val="center"/>
          </w:tcPr>
          <w:p w14:paraId="7BE910A3">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w:t>
            </w:r>
            <w:r>
              <w:rPr>
                <w:rFonts w:hint="default" w:ascii="Times New Roman" w:hAnsi="Times New Roman" w:eastAsia="宋体" w:cs="Times New Roman"/>
                <w:sz w:val="21"/>
                <w:szCs w:val="21"/>
              </w:rPr>
              <w:t>mg/L</w:t>
            </w:r>
          </w:p>
        </w:tc>
      </w:tr>
      <w:tr w14:paraId="7E9F9E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6F824117">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59FE929B">
            <w:pPr>
              <w:spacing w:line="2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碳酸根</w:t>
            </w:r>
          </w:p>
        </w:tc>
        <w:tc>
          <w:tcPr>
            <w:tcW w:w="3806" w:type="dxa"/>
            <w:tcBorders>
              <w:tl2br w:val="nil"/>
              <w:tr2bl w:val="nil"/>
            </w:tcBorders>
            <w:vAlign w:val="center"/>
          </w:tcPr>
          <w:p w14:paraId="5A21F2B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eastAsia="zh-CN"/>
              </w:rPr>
              <w:t xml:space="preserve">《地下水质分析方法 第49部分：碳酸根、重碳酸根和氢氧根离子的测定 滴定法》DZ/T 0064.49-2021 </w:t>
            </w:r>
          </w:p>
        </w:tc>
        <w:tc>
          <w:tcPr>
            <w:tcW w:w="2186" w:type="dxa"/>
            <w:tcBorders>
              <w:tl2br w:val="nil"/>
              <w:tr2bl w:val="nil"/>
            </w:tcBorders>
            <w:vAlign w:val="center"/>
          </w:tcPr>
          <w:p w14:paraId="5CFB5204">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滴定管</w:t>
            </w:r>
          </w:p>
        </w:tc>
        <w:tc>
          <w:tcPr>
            <w:tcW w:w="1368" w:type="dxa"/>
            <w:tcBorders>
              <w:tl2br w:val="nil"/>
              <w:tr2bl w:val="nil"/>
            </w:tcBorders>
            <w:vAlign w:val="center"/>
          </w:tcPr>
          <w:p w14:paraId="3990370A">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5</w:t>
            </w:r>
            <w:r>
              <w:rPr>
                <w:rFonts w:hint="default" w:ascii="Times New Roman" w:hAnsi="Times New Roman" w:eastAsia="宋体" w:cs="Times New Roman"/>
                <w:sz w:val="21"/>
                <w:szCs w:val="21"/>
              </w:rPr>
              <w:t>mg/L</w:t>
            </w:r>
          </w:p>
        </w:tc>
      </w:tr>
      <w:tr w14:paraId="384552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19131FAB">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7E46F4A5">
            <w:pPr>
              <w:spacing w:line="2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重碳酸根</w:t>
            </w:r>
          </w:p>
        </w:tc>
        <w:tc>
          <w:tcPr>
            <w:tcW w:w="3806" w:type="dxa"/>
            <w:tcBorders>
              <w:tl2br w:val="nil"/>
              <w:tr2bl w:val="nil"/>
            </w:tcBorders>
            <w:vAlign w:val="center"/>
          </w:tcPr>
          <w:p w14:paraId="38AD3A7D">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eastAsia="zh-CN"/>
              </w:rPr>
              <w:t xml:space="preserve">《地下水质分析方法 第49部分：碳酸根、重碳酸根和氢氧根离子的测定 滴定法》DZ/T 0064.49-2021 </w:t>
            </w:r>
          </w:p>
        </w:tc>
        <w:tc>
          <w:tcPr>
            <w:tcW w:w="2186" w:type="dxa"/>
            <w:tcBorders>
              <w:tl2br w:val="nil"/>
              <w:tr2bl w:val="nil"/>
            </w:tcBorders>
            <w:vAlign w:val="center"/>
          </w:tcPr>
          <w:p w14:paraId="68818FD5">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滴定管</w:t>
            </w:r>
          </w:p>
        </w:tc>
        <w:tc>
          <w:tcPr>
            <w:tcW w:w="1368" w:type="dxa"/>
            <w:tcBorders>
              <w:tl2br w:val="nil"/>
              <w:tr2bl w:val="nil"/>
            </w:tcBorders>
            <w:vAlign w:val="center"/>
          </w:tcPr>
          <w:p w14:paraId="708E0826">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5</w:t>
            </w:r>
            <w:r>
              <w:rPr>
                <w:rFonts w:hint="default" w:ascii="Times New Roman" w:hAnsi="Times New Roman" w:eastAsia="宋体" w:cs="Times New Roman"/>
                <w:sz w:val="21"/>
                <w:szCs w:val="21"/>
              </w:rPr>
              <w:t>mg/L</w:t>
            </w:r>
          </w:p>
        </w:tc>
      </w:tr>
      <w:tr w14:paraId="3C6211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1036EBF8">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6A3F8F97">
            <w:pPr>
              <w:spacing w:line="2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硫酸盐</w:t>
            </w:r>
          </w:p>
        </w:tc>
        <w:tc>
          <w:tcPr>
            <w:tcW w:w="3806" w:type="dxa"/>
            <w:tcBorders>
              <w:tl2br w:val="nil"/>
              <w:tr2bl w:val="nil"/>
            </w:tcBorders>
            <w:vAlign w:val="center"/>
          </w:tcPr>
          <w:p w14:paraId="0502781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《水质 无机阴离子（F</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 xml:space="preserve"> 、Cl</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、NO</w:t>
            </w:r>
            <w:r>
              <w:rPr>
                <w:rFonts w:hint="default" w:ascii="Times New Roman" w:hAnsi="Times New Roman" w:eastAsia="宋体" w:cs="Times New Roman"/>
                <w:color w:val="000000" w:themeColor="text1"/>
                <w:sz w:val="21"/>
                <w:szCs w:val="21"/>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、Br</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、NO</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、PO</w:t>
            </w:r>
            <w:r>
              <w:rPr>
                <w:rFonts w:hint="default" w:ascii="Times New Roman" w:hAnsi="Times New Roman" w:eastAsia="宋体" w:cs="Times New Roman"/>
                <w:color w:val="000000" w:themeColor="text1"/>
                <w:sz w:val="21"/>
                <w:szCs w:val="21"/>
                <w:vertAlign w:val="subscript"/>
                <w14:textFill>
                  <w14:solidFill>
                    <w14:schemeClr w14:val="tx1"/>
                  </w14:solidFill>
                </w14:textFill>
              </w:rPr>
              <w:t>4</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、SO</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、SO</w:t>
            </w:r>
            <w:r>
              <w:rPr>
                <w:rFonts w:hint="default" w:ascii="Times New Roman" w:hAnsi="Times New Roman" w:eastAsia="宋体" w:cs="Times New Roman"/>
                <w:color w:val="000000" w:themeColor="text1"/>
                <w:sz w:val="21"/>
                <w:szCs w:val="21"/>
                <w:vertAlign w:val="subscript"/>
                <w14:textFill>
                  <w14:solidFill>
                    <w14:schemeClr w14:val="tx1"/>
                  </w14:solidFill>
                </w14:textFill>
              </w:rPr>
              <w:t>4</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）的测定</w:t>
            </w:r>
          </w:p>
          <w:p w14:paraId="360D827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离子色谱法》HJ 84-2016</w:t>
            </w:r>
          </w:p>
        </w:tc>
        <w:tc>
          <w:tcPr>
            <w:tcW w:w="2186" w:type="dxa"/>
            <w:tcBorders>
              <w:tl2br w:val="nil"/>
              <w:tr2bl w:val="nil"/>
            </w:tcBorders>
            <w:vAlign w:val="center"/>
          </w:tcPr>
          <w:p w14:paraId="06AC2496">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CIC-D1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0离子色谱仪</w:t>
            </w:r>
          </w:p>
        </w:tc>
        <w:tc>
          <w:tcPr>
            <w:tcW w:w="1368" w:type="dxa"/>
            <w:tcBorders>
              <w:tl2br w:val="nil"/>
              <w:tr2bl w:val="nil"/>
            </w:tcBorders>
            <w:vAlign w:val="center"/>
          </w:tcPr>
          <w:p w14:paraId="2C34019F">
            <w:pPr>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0.018</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mg/L</w:t>
            </w:r>
          </w:p>
        </w:tc>
      </w:tr>
      <w:tr w14:paraId="2C4674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39A96CF8">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48C13430">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氯化物</w:t>
            </w:r>
          </w:p>
        </w:tc>
        <w:tc>
          <w:tcPr>
            <w:tcW w:w="3806" w:type="dxa"/>
            <w:tcBorders>
              <w:tl2br w:val="nil"/>
              <w:tr2bl w:val="nil"/>
            </w:tcBorders>
            <w:vAlign w:val="center"/>
          </w:tcPr>
          <w:p w14:paraId="6A3C91B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《水质 无机阴离子（F</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 xml:space="preserve"> 、Cl</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、NO</w:t>
            </w:r>
            <w:r>
              <w:rPr>
                <w:rFonts w:hint="default" w:ascii="Times New Roman" w:hAnsi="Times New Roman" w:eastAsia="宋体" w:cs="Times New Roman"/>
                <w:color w:val="000000" w:themeColor="text1"/>
                <w:sz w:val="21"/>
                <w:szCs w:val="21"/>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、Br</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、NO</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、PO</w:t>
            </w:r>
            <w:r>
              <w:rPr>
                <w:rFonts w:hint="default" w:ascii="Times New Roman" w:hAnsi="Times New Roman" w:eastAsia="宋体" w:cs="Times New Roman"/>
                <w:color w:val="000000" w:themeColor="text1"/>
                <w:sz w:val="21"/>
                <w:szCs w:val="21"/>
                <w:vertAlign w:val="subscript"/>
                <w14:textFill>
                  <w14:solidFill>
                    <w14:schemeClr w14:val="tx1"/>
                  </w14:solidFill>
                </w14:textFill>
              </w:rPr>
              <w:t>4</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、SO</w:t>
            </w:r>
            <w:r>
              <w:rPr>
                <w:rFonts w:hint="default" w:ascii="Times New Roman" w:hAnsi="Times New Roman" w:eastAsia="宋体" w:cs="Times New Roman"/>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、SO</w:t>
            </w:r>
            <w:r>
              <w:rPr>
                <w:rFonts w:hint="default" w:ascii="Times New Roman" w:hAnsi="Times New Roman" w:eastAsia="宋体" w:cs="Times New Roman"/>
                <w:color w:val="000000" w:themeColor="text1"/>
                <w:sz w:val="21"/>
                <w:szCs w:val="21"/>
                <w:vertAlign w:val="subscript"/>
                <w14:textFill>
                  <w14:solidFill>
                    <w14:schemeClr w14:val="tx1"/>
                  </w14:solidFill>
                </w14:textFill>
              </w:rPr>
              <w:t>4</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）的测定</w:t>
            </w:r>
          </w:p>
          <w:p w14:paraId="3F3245C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离子色谱法》 HJ 84-2016</w:t>
            </w:r>
          </w:p>
        </w:tc>
        <w:tc>
          <w:tcPr>
            <w:tcW w:w="2186" w:type="dxa"/>
            <w:tcBorders>
              <w:tl2br w:val="nil"/>
              <w:tr2bl w:val="nil"/>
            </w:tcBorders>
            <w:vAlign w:val="center"/>
          </w:tcPr>
          <w:p w14:paraId="4060AA65">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CIC-D1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0离子色谱仪</w:t>
            </w:r>
          </w:p>
        </w:tc>
        <w:tc>
          <w:tcPr>
            <w:tcW w:w="1368" w:type="dxa"/>
            <w:tcBorders>
              <w:tl2br w:val="nil"/>
              <w:tr2bl w:val="nil"/>
            </w:tcBorders>
            <w:vAlign w:val="center"/>
          </w:tcPr>
          <w:p w14:paraId="0C13587B">
            <w:pPr>
              <w:keepNext w:val="0"/>
              <w:keepLines w:val="0"/>
              <w:pageBreakBefore w:val="0"/>
              <w:kinsoku/>
              <w:wordWrap/>
              <w:overflowPunct/>
              <w:topLinePunct w:val="0"/>
              <w:autoSpaceDE/>
              <w:autoSpaceDN/>
              <w:bidi w:val="0"/>
              <w:adjustRightInd/>
              <w:snapToGrid/>
              <w:spacing w:line="240" w:lineRule="auto"/>
              <w:ind w:left="-42" w:leftChars="-20" w:right="-42" w:rightChars="-20" w:firstLine="0" w:firstLineChars="0"/>
              <w:jc w:val="center"/>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0.007</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mg/L</w:t>
            </w:r>
          </w:p>
        </w:tc>
      </w:tr>
      <w:tr w14:paraId="7F8FB3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229379B4">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48D8742B">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硝酸盐氮</w:t>
            </w:r>
          </w:p>
          <w:p w14:paraId="646FEF9E">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(以N计)</w:t>
            </w:r>
          </w:p>
        </w:tc>
        <w:tc>
          <w:tcPr>
            <w:tcW w:w="3806" w:type="dxa"/>
            <w:tcBorders>
              <w:tl2br w:val="nil"/>
              <w:tr2bl w:val="nil"/>
            </w:tcBorders>
            <w:vAlign w:val="center"/>
          </w:tcPr>
          <w:p w14:paraId="231CAB2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《水质 无机阴离子（F</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 xml:space="preserve"> 、Cl</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、Br</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、PO</w:t>
            </w:r>
            <w:r>
              <w:rPr>
                <w:rFonts w:hint="default" w:ascii="Times New Roman" w:hAnsi="Times New Roman" w:eastAsia="宋体" w:cs="Times New Roman"/>
                <w:color w:val="auto"/>
                <w:sz w:val="21"/>
                <w:szCs w:val="21"/>
                <w:vertAlign w:val="subscript"/>
              </w:rPr>
              <w:t>4</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4</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）的测定</w:t>
            </w:r>
          </w:p>
          <w:p w14:paraId="4DBC578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离子色谱法》HJ 84-2016</w:t>
            </w:r>
          </w:p>
        </w:tc>
        <w:tc>
          <w:tcPr>
            <w:tcW w:w="2186" w:type="dxa"/>
            <w:tcBorders>
              <w:tl2br w:val="nil"/>
              <w:tr2bl w:val="nil"/>
            </w:tcBorders>
            <w:vAlign w:val="center"/>
          </w:tcPr>
          <w:p w14:paraId="70E7C69D">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CIC-D1</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0离子色谱仪</w:t>
            </w:r>
          </w:p>
        </w:tc>
        <w:tc>
          <w:tcPr>
            <w:tcW w:w="1368" w:type="dxa"/>
            <w:tcBorders>
              <w:tl2br w:val="nil"/>
              <w:tr2bl w:val="nil"/>
            </w:tcBorders>
            <w:vAlign w:val="center"/>
          </w:tcPr>
          <w:p w14:paraId="362C7EAD">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0.004</w:t>
            </w:r>
            <w:r>
              <w:rPr>
                <w:rFonts w:hint="default" w:ascii="Times New Roman" w:hAnsi="Times New Roman" w:eastAsia="宋体" w:cs="Times New Roman"/>
                <w:color w:val="auto"/>
                <w:sz w:val="21"/>
                <w:szCs w:val="21"/>
                <w:lang w:val="en-US" w:eastAsia="zh-CN"/>
              </w:rPr>
              <w:t>mg/L</w:t>
            </w:r>
          </w:p>
        </w:tc>
      </w:tr>
      <w:tr w14:paraId="7D4C7E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14A14329">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76B5CA32">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亚硝酸盐氮</w:t>
            </w:r>
          </w:p>
          <w:p w14:paraId="36B2C502">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(以N计)</w:t>
            </w:r>
          </w:p>
        </w:tc>
        <w:tc>
          <w:tcPr>
            <w:tcW w:w="3806" w:type="dxa"/>
            <w:tcBorders>
              <w:tl2br w:val="nil"/>
              <w:tr2bl w:val="nil"/>
            </w:tcBorders>
            <w:vAlign w:val="center"/>
          </w:tcPr>
          <w:p w14:paraId="56FB7D7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《水质 无机阴离子（F</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 xml:space="preserve"> 、Cl</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、Br</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、PO</w:t>
            </w:r>
            <w:r>
              <w:rPr>
                <w:rFonts w:hint="default" w:ascii="Times New Roman" w:hAnsi="Times New Roman" w:eastAsia="宋体" w:cs="Times New Roman"/>
                <w:color w:val="auto"/>
                <w:sz w:val="21"/>
                <w:szCs w:val="21"/>
                <w:vertAlign w:val="subscript"/>
              </w:rPr>
              <w:t>4</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4</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）的测定</w:t>
            </w:r>
          </w:p>
          <w:p w14:paraId="5E0E26D6">
            <w:pPr>
              <w:keepNext w:val="0"/>
              <w:keepLines w:val="0"/>
              <w:pageBreakBefore w:val="0"/>
              <w:widowControl/>
              <w:kinsoku/>
              <w:wordWrap/>
              <w:overflowPunct/>
              <w:topLinePunct w:val="0"/>
              <w:autoSpaceDE/>
              <w:autoSpaceDN/>
              <w:bidi w:val="0"/>
              <w:adjustRightInd/>
              <w:snapToGrid/>
              <w:ind w:left="-42" w:leftChars="-20" w:right="-42" w:rightChars="-20" w:firstLine="0" w:firstLineChars="0"/>
              <w:jc w:val="center"/>
              <w:textAlignment w:val="center"/>
              <w:outlineLvl w:val="9"/>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color w:val="auto"/>
                <w:sz w:val="21"/>
                <w:szCs w:val="21"/>
              </w:rPr>
              <w:t>离子色谱法》HJ 84-2016</w:t>
            </w:r>
          </w:p>
        </w:tc>
        <w:tc>
          <w:tcPr>
            <w:tcW w:w="2186" w:type="dxa"/>
            <w:tcBorders>
              <w:tl2br w:val="nil"/>
              <w:tr2bl w:val="nil"/>
            </w:tcBorders>
            <w:vAlign w:val="center"/>
          </w:tcPr>
          <w:p w14:paraId="09FC649B">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CIC-D1</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0离子色谱仪</w:t>
            </w:r>
          </w:p>
        </w:tc>
        <w:tc>
          <w:tcPr>
            <w:tcW w:w="1368" w:type="dxa"/>
            <w:tcBorders>
              <w:tl2br w:val="nil"/>
              <w:tr2bl w:val="nil"/>
            </w:tcBorders>
            <w:vAlign w:val="center"/>
          </w:tcPr>
          <w:p w14:paraId="50509B4B">
            <w:pPr>
              <w:keepNext w:val="0"/>
              <w:keepLines w:val="0"/>
              <w:pageBreakBefore w:val="0"/>
              <w:widowControl/>
              <w:kinsoku/>
              <w:wordWrap/>
              <w:overflowPunct/>
              <w:topLinePunct w:val="0"/>
              <w:autoSpaceDE/>
              <w:autoSpaceDN/>
              <w:bidi w:val="0"/>
              <w:adjustRightInd/>
              <w:snapToGrid/>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0.005mg/L</w:t>
            </w:r>
          </w:p>
        </w:tc>
      </w:tr>
      <w:tr w14:paraId="6892B0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6CD0230F">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362F41F0">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挥发酚</w:t>
            </w:r>
          </w:p>
        </w:tc>
        <w:tc>
          <w:tcPr>
            <w:tcW w:w="3806" w:type="dxa"/>
            <w:tcBorders>
              <w:tl2br w:val="nil"/>
              <w:tr2bl w:val="nil"/>
            </w:tcBorders>
            <w:vAlign w:val="center"/>
          </w:tcPr>
          <w:p w14:paraId="7E5889F5">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 </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水质 挥发酚的测定 4-氨基安替比林</w:t>
            </w:r>
          </w:p>
          <w:p w14:paraId="409313D7">
            <w:pPr>
              <w:spacing w:line="240" w:lineRule="exact"/>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分光光度法</w:t>
            </w:r>
            <w:r>
              <w:rPr>
                <w:rFonts w:hint="default" w:ascii="Times New Roman" w:hAnsi="Times New Roman" w:eastAsia="宋体" w:cs="Times New Roman"/>
                <w:sz w:val="21"/>
                <w:szCs w:val="21"/>
                <w:lang w:eastAsia="zh-CN"/>
              </w:rPr>
              <w:t>》（萃取分光光度法）</w:t>
            </w:r>
          </w:p>
          <w:p w14:paraId="02DA807F">
            <w:pPr>
              <w:spacing w:line="24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HJ 503-2009</w:t>
            </w:r>
          </w:p>
        </w:tc>
        <w:tc>
          <w:tcPr>
            <w:tcW w:w="2186" w:type="dxa"/>
            <w:tcBorders>
              <w:tl2br w:val="nil"/>
              <w:tr2bl w:val="nil"/>
            </w:tcBorders>
            <w:vAlign w:val="center"/>
          </w:tcPr>
          <w:p w14:paraId="2A82E1F6">
            <w:pPr>
              <w:keepNext w:val="0"/>
              <w:keepLines w:val="0"/>
              <w:pageBreakBefore w:val="0"/>
              <w:widowControl/>
              <w:kinsoku/>
              <w:wordWrap/>
              <w:overflowPunct/>
              <w:topLinePunct w:val="0"/>
              <w:autoSpaceDE/>
              <w:autoSpaceDN/>
              <w:bidi w:val="0"/>
              <w:adjustRightInd/>
              <w:snapToGrid/>
              <w:spacing w:line="240" w:lineRule="auto"/>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SP-722</w:t>
            </w:r>
          </w:p>
          <w:p w14:paraId="6256A6BB">
            <w:pPr>
              <w:spacing w:line="24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可见分光光度计</w:t>
            </w:r>
          </w:p>
        </w:tc>
        <w:tc>
          <w:tcPr>
            <w:tcW w:w="1368" w:type="dxa"/>
            <w:tcBorders>
              <w:tl2br w:val="nil"/>
              <w:tr2bl w:val="nil"/>
            </w:tcBorders>
            <w:vAlign w:val="center"/>
          </w:tcPr>
          <w:p w14:paraId="5850755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0.0003mg/L</w:t>
            </w:r>
          </w:p>
        </w:tc>
      </w:tr>
      <w:tr w14:paraId="43652A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2D28F2F6">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16D019B2">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砷</w:t>
            </w:r>
          </w:p>
        </w:tc>
        <w:tc>
          <w:tcPr>
            <w:tcW w:w="3806" w:type="dxa"/>
            <w:tcBorders>
              <w:tl2br w:val="nil"/>
              <w:tr2bl w:val="nil"/>
            </w:tcBorders>
            <w:vAlign w:val="center"/>
          </w:tcPr>
          <w:p w14:paraId="2F359CFE">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《水质 汞、砷、硒、铋和锑的测定</w:t>
            </w:r>
          </w:p>
          <w:p w14:paraId="38984A81">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eastAsia="zh-CN"/>
              </w:rPr>
              <w:t>原子荧光法》HJ 694-2014</w:t>
            </w:r>
          </w:p>
        </w:tc>
        <w:tc>
          <w:tcPr>
            <w:tcW w:w="2186" w:type="dxa"/>
            <w:tcBorders>
              <w:tl2br w:val="nil"/>
              <w:tr2bl w:val="nil"/>
            </w:tcBorders>
            <w:vAlign w:val="center"/>
          </w:tcPr>
          <w:p w14:paraId="6BD05C9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AFS-230E</w:t>
            </w:r>
          </w:p>
          <w:p w14:paraId="3652A014">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原子荧光光谱仪</w:t>
            </w:r>
          </w:p>
        </w:tc>
        <w:tc>
          <w:tcPr>
            <w:tcW w:w="1368" w:type="dxa"/>
            <w:tcBorders>
              <w:tl2br w:val="nil"/>
              <w:tr2bl w:val="nil"/>
            </w:tcBorders>
            <w:vAlign w:val="center"/>
          </w:tcPr>
          <w:p w14:paraId="4F9B49AE">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highlight w:val="none"/>
                <w:lang w:val="en-US" w:eastAsia="zh-CN"/>
              </w:rPr>
              <w:t>0.0003mg/L</w:t>
            </w:r>
          </w:p>
        </w:tc>
      </w:tr>
      <w:tr w14:paraId="20BDDC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729D3446">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7CC1EF6F">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汞</w:t>
            </w:r>
          </w:p>
        </w:tc>
        <w:tc>
          <w:tcPr>
            <w:tcW w:w="3806" w:type="dxa"/>
            <w:tcBorders>
              <w:tl2br w:val="nil"/>
              <w:tr2bl w:val="nil"/>
            </w:tcBorders>
            <w:vAlign w:val="center"/>
          </w:tcPr>
          <w:p w14:paraId="48024A83">
            <w:pPr>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《水质 汞、砷、硒、铋和锑的测定</w:t>
            </w:r>
          </w:p>
          <w:p w14:paraId="6D29C000">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sz w:val="21"/>
                <w:szCs w:val="21"/>
              </w:rPr>
              <w:t>原子荧光法》 HJ 694-2014</w:t>
            </w:r>
          </w:p>
        </w:tc>
        <w:tc>
          <w:tcPr>
            <w:tcW w:w="2186" w:type="dxa"/>
            <w:tcBorders>
              <w:tl2br w:val="nil"/>
              <w:tr2bl w:val="nil"/>
            </w:tcBorders>
            <w:vAlign w:val="center"/>
          </w:tcPr>
          <w:p w14:paraId="12CA8E1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AFS-230E</w:t>
            </w:r>
          </w:p>
          <w:p w14:paraId="17CB5DF6">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原子荧光光谱仪</w:t>
            </w:r>
          </w:p>
        </w:tc>
        <w:tc>
          <w:tcPr>
            <w:tcW w:w="1368" w:type="dxa"/>
            <w:tcBorders>
              <w:tl2br w:val="nil"/>
              <w:tr2bl w:val="nil"/>
            </w:tcBorders>
            <w:vAlign w:val="center"/>
          </w:tcPr>
          <w:p w14:paraId="4EE5DEA8">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sz w:val="21"/>
                <w:szCs w:val="21"/>
              </w:rPr>
              <w:t>0.0</w:t>
            </w:r>
            <w:r>
              <w:rPr>
                <w:rFonts w:hint="default" w:ascii="Times New Roman" w:hAnsi="Times New Roman" w:eastAsia="宋体" w:cs="Times New Roman"/>
                <w:color w:val="000000"/>
                <w:sz w:val="21"/>
                <w:szCs w:val="21"/>
                <w:lang w:val="en-US" w:eastAsia="zh-CN"/>
              </w:rPr>
              <w:t>000</w:t>
            </w:r>
            <w:r>
              <w:rPr>
                <w:rFonts w:hint="default" w:ascii="Times New Roman" w:hAnsi="Times New Roman" w:eastAsia="宋体" w:cs="Times New Roman"/>
                <w:color w:val="000000"/>
                <w:sz w:val="21"/>
                <w:szCs w:val="21"/>
              </w:rPr>
              <w:t>4</w:t>
            </w:r>
            <w:r>
              <w:rPr>
                <w:rFonts w:hint="default" w:ascii="Times New Roman" w:hAnsi="Times New Roman" w:eastAsia="宋体" w:cs="Times New Roman"/>
                <w:color w:val="000000"/>
                <w:sz w:val="21"/>
                <w:szCs w:val="21"/>
                <w:lang w:val="en-US" w:eastAsia="zh-CN"/>
              </w:rPr>
              <w:t>m</w:t>
            </w:r>
            <w:r>
              <w:rPr>
                <w:rFonts w:hint="default" w:ascii="Times New Roman" w:hAnsi="Times New Roman" w:eastAsia="宋体" w:cs="Times New Roman"/>
                <w:color w:val="000000"/>
                <w:sz w:val="21"/>
                <w:szCs w:val="21"/>
              </w:rPr>
              <w:t>g/L</w:t>
            </w:r>
          </w:p>
        </w:tc>
      </w:tr>
      <w:tr w14:paraId="1678A2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077C4691">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1E428ED4">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铅</w:t>
            </w:r>
          </w:p>
        </w:tc>
        <w:tc>
          <w:tcPr>
            <w:tcW w:w="3806" w:type="dxa"/>
            <w:tcBorders>
              <w:tl2br w:val="nil"/>
              <w:tr2bl w:val="nil"/>
            </w:tcBorders>
            <w:vAlign w:val="center"/>
          </w:tcPr>
          <w:p w14:paraId="1C7CFADA">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《水和废水监测分析方法》（第四版</w:t>
            </w:r>
          </w:p>
          <w:p w14:paraId="23409F49">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增补版）国家环境保护总局（2002）</w:t>
            </w:r>
          </w:p>
          <w:p w14:paraId="448734D2">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石墨炉原子吸收法</w:t>
            </w:r>
          </w:p>
        </w:tc>
        <w:tc>
          <w:tcPr>
            <w:tcW w:w="2186" w:type="dxa"/>
            <w:tcBorders>
              <w:tl2br w:val="nil"/>
              <w:tr2bl w:val="nil"/>
            </w:tcBorders>
            <w:vAlign w:val="center"/>
          </w:tcPr>
          <w:p w14:paraId="6893309F">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AA</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-6880</w:t>
            </w:r>
          </w:p>
          <w:p w14:paraId="05ACFA5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原子吸收分光光度计</w:t>
            </w:r>
          </w:p>
        </w:tc>
        <w:tc>
          <w:tcPr>
            <w:tcW w:w="1368" w:type="dxa"/>
            <w:tcBorders>
              <w:tl2br w:val="nil"/>
              <w:tr2bl w:val="nil"/>
            </w:tcBorders>
            <w:vAlign w:val="center"/>
          </w:tcPr>
          <w:p w14:paraId="67B572E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0.001mg/L</w:t>
            </w:r>
          </w:p>
        </w:tc>
      </w:tr>
      <w:tr w14:paraId="7E29C2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049955C5">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74841B4C">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镉</w:t>
            </w:r>
          </w:p>
        </w:tc>
        <w:tc>
          <w:tcPr>
            <w:tcW w:w="3806" w:type="dxa"/>
            <w:tcBorders>
              <w:tl2br w:val="nil"/>
              <w:tr2bl w:val="nil"/>
            </w:tcBorders>
            <w:vAlign w:val="center"/>
          </w:tcPr>
          <w:p w14:paraId="64CD4BFE">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《水和废水监测分析方法》（第四版</w:t>
            </w:r>
          </w:p>
          <w:p w14:paraId="32D20710">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增补版）国家环境保护总局（2002）</w:t>
            </w:r>
          </w:p>
          <w:p w14:paraId="052B4E7F">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石墨炉原子吸收法</w:t>
            </w:r>
          </w:p>
        </w:tc>
        <w:tc>
          <w:tcPr>
            <w:tcW w:w="2186" w:type="dxa"/>
            <w:tcBorders>
              <w:tl2br w:val="nil"/>
              <w:tr2bl w:val="nil"/>
            </w:tcBorders>
            <w:vAlign w:val="center"/>
          </w:tcPr>
          <w:p w14:paraId="1C77630B">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AA</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-6880</w:t>
            </w:r>
          </w:p>
          <w:p w14:paraId="1B430A0F">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原子吸收分光光度计</w:t>
            </w:r>
          </w:p>
        </w:tc>
        <w:tc>
          <w:tcPr>
            <w:tcW w:w="1368" w:type="dxa"/>
            <w:tcBorders>
              <w:tl2br w:val="nil"/>
              <w:tr2bl w:val="nil"/>
            </w:tcBorders>
            <w:vAlign w:val="center"/>
          </w:tcPr>
          <w:p w14:paraId="6E8BD82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0.0001mg/L</w:t>
            </w:r>
          </w:p>
        </w:tc>
      </w:tr>
      <w:tr w14:paraId="4BD008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295AB79B">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330D8122">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锰</w:t>
            </w:r>
          </w:p>
        </w:tc>
        <w:tc>
          <w:tcPr>
            <w:tcW w:w="3806" w:type="dxa"/>
            <w:tcBorders>
              <w:tl2br w:val="nil"/>
              <w:tr2bl w:val="nil"/>
            </w:tcBorders>
            <w:vAlign w:val="center"/>
          </w:tcPr>
          <w:p w14:paraId="73507063">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《水质 铁、锰的测定 火焰原子吸收分光光度法》GB 11911-1989</w:t>
            </w:r>
          </w:p>
        </w:tc>
        <w:tc>
          <w:tcPr>
            <w:tcW w:w="2186" w:type="dxa"/>
            <w:tcBorders>
              <w:tl2br w:val="nil"/>
              <w:tr2bl w:val="nil"/>
            </w:tcBorders>
            <w:vAlign w:val="center"/>
          </w:tcPr>
          <w:p w14:paraId="4DA3188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TAS-990</w:t>
            </w:r>
          </w:p>
          <w:p w14:paraId="41FA17B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原子吸收分光光度计</w:t>
            </w:r>
          </w:p>
        </w:tc>
        <w:tc>
          <w:tcPr>
            <w:tcW w:w="1368" w:type="dxa"/>
            <w:tcBorders>
              <w:tl2br w:val="nil"/>
              <w:tr2bl w:val="nil"/>
            </w:tcBorders>
            <w:vAlign w:val="center"/>
          </w:tcPr>
          <w:p w14:paraId="339C991B">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0.01mg/L</w:t>
            </w:r>
          </w:p>
        </w:tc>
      </w:tr>
      <w:tr w14:paraId="577357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3AE1FE41">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089B2790">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铁</w:t>
            </w:r>
          </w:p>
        </w:tc>
        <w:tc>
          <w:tcPr>
            <w:tcW w:w="3806" w:type="dxa"/>
            <w:tcBorders>
              <w:tl2br w:val="nil"/>
              <w:tr2bl w:val="nil"/>
            </w:tcBorders>
            <w:vAlign w:val="center"/>
          </w:tcPr>
          <w:p w14:paraId="48542205">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《水质 铁、锰的测定 火焰原子吸收分光光度法》GB 11911-1989</w:t>
            </w:r>
          </w:p>
        </w:tc>
        <w:tc>
          <w:tcPr>
            <w:tcW w:w="2186" w:type="dxa"/>
            <w:tcBorders>
              <w:tl2br w:val="nil"/>
              <w:tr2bl w:val="nil"/>
            </w:tcBorders>
            <w:vAlign w:val="center"/>
          </w:tcPr>
          <w:p w14:paraId="16382EB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TAS-990</w:t>
            </w:r>
          </w:p>
          <w:p w14:paraId="366DD9B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原子吸收分光光度计</w:t>
            </w:r>
          </w:p>
        </w:tc>
        <w:tc>
          <w:tcPr>
            <w:tcW w:w="1368" w:type="dxa"/>
            <w:tcBorders>
              <w:tl2br w:val="nil"/>
              <w:tr2bl w:val="nil"/>
            </w:tcBorders>
            <w:vAlign w:val="center"/>
          </w:tcPr>
          <w:p w14:paraId="00321EDE">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0.03mg/L</w:t>
            </w:r>
          </w:p>
        </w:tc>
      </w:tr>
      <w:tr w14:paraId="5070DC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7AB44C22">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1AD35CF5">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六价铬</w:t>
            </w:r>
          </w:p>
        </w:tc>
        <w:tc>
          <w:tcPr>
            <w:tcW w:w="3806" w:type="dxa"/>
            <w:tcBorders>
              <w:tl2br w:val="nil"/>
              <w:tr2bl w:val="nil"/>
            </w:tcBorders>
            <w:vAlign w:val="center"/>
          </w:tcPr>
          <w:p w14:paraId="60305B81">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《水质 六价铬的测定 二苯碳酰二肼分光光度法》GB 7467-1987</w:t>
            </w:r>
          </w:p>
        </w:tc>
        <w:tc>
          <w:tcPr>
            <w:tcW w:w="2186" w:type="dxa"/>
            <w:tcBorders>
              <w:tl2br w:val="nil"/>
              <w:tr2bl w:val="nil"/>
            </w:tcBorders>
            <w:vAlign w:val="center"/>
          </w:tcPr>
          <w:p w14:paraId="1ED2708C">
            <w:pPr>
              <w:keepNext w:val="0"/>
              <w:keepLines w:val="0"/>
              <w:pageBreakBefore w:val="0"/>
              <w:widowControl/>
              <w:kinsoku/>
              <w:wordWrap/>
              <w:overflowPunct/>
              <w:topLinePunct w:val="0"/>
              <w:autoSpaceDE/>
              <w:autoSpaceDN/>
              <w:bidi w:val="0"/>
              <w:adjustRightInd/>
              <w:snapToGrid/>
              <w:spacing w:line="240" w:lineRule="auto"/>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SP-722</w:t>
            </w:r>
          </w:p>
          <w:p w14:paraId="6203EA57">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可见分光光度计</w:t>
            </w:r>
          </w:p>
        </w:tc>
        <w:tc>
          <w:tcPr>
            <w:tcW w:w="1368" w:type="dxa"/>
            <w:tcBorders>
              <w:tl2br w:val="nil"/>
              <w:tr2bl w:val="nil"/>
            </w:tcBorders>
            <w:vAlign w:val="center"/>
          </w:tcPr>
          <w:p w14:paraId="267EDB08">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0.004mg/L</w:t>
            </w:r>
          </w:p>
        </w:tc>
      </w:tr>
      <w:tr w14:paraId="497D6A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4C2C31B2">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086C7C04">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氨氮</w:t>
            </w:r>
          </w:p>
        </w:tc>
        <w:tc>
          <w:tcPr>
            <w:tcW w:w="3806" w:type="dxa"/>
            <w:tcBorders>
              <w:tl2br w:val="nil"/>
              <w:tr2bl w:val="nil"/>
            </w:tcBorders>
            <w:vAlign w:val="center"/>
          </w:tcPr>
          <w:p w14:paraId="50EF22F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《水质</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氨氮的测定</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纳氏试剂分光光度</w:t>
            </w:r>
            <w:r>
              <w:rPr>
                <w:rFonts w:hint="default" w:ascii="Times New Roman" w:hAnsi="Times New Roman" w:eastAsia="宋体" w:cs="Times New Roman"/>
                <w:sz w:val="21"/>
                <w:szCs w:val="21"/>
                <w:lang w:eastAsia="zh-CN"/>
              </w:rPr>
              <w:t>法</w:t>
            </w:r>
            <w:r>
              <w:rPr>
                <w:rFonts w:hint="default" w:ascii="Times New Roman" w:hAnsi="Times New Roman" w:eastAsia="宋体" w:cs="Times New Roman"/>
                <w:sz w:val="21"/>
                <w:szCs w:val="21"/>
              </w:rPr>
              <w:t>》HJ 535-2009</w:t>
            </w:r>
          </w:p>
        </w:tc>
        <w:tc>
          <w:tcPr>
            <w:tcW w:w="2186" w:type="dxa"/>
            <w:tcBorders>
              <w:tl2br w:val="nil"/>
              <w:tr2bl w:val="nil"/>
            </w:tcBorders>
            <w:vAlign w:val="center"/>
          </w:tcPr>
          <w:p w14:paraId="0EEE4EAD">
            <w:pPr>
              <w:keepNext w:val="0"/>
              <w:keepLines w:val="0"/>
              <w:pageBreakBefore w:val="0"/>
              <w:widowControl/>
              <w:kinsoku/>
              <w:wordWrap/>
              <w:overflowPunct/>
              <w:topLinePunct w:val="0"/>
              <w:autoSpaceDE/>
              <w:autoSpaceDN/>
              <w:bidi w:val="0"/>
              <w:adjustRightInd/>
              <w:snapToGrid/>
              <w:spacing w:line="240" w:lineRule="auto"/>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SP-722</w:t>
            </w:r>
          </w:p>
          <w:p w14:paraId="0A46B58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可见分光光度计</w:t>
            </w:r>
          </w:p>
        </w:tc>
        <w:tc>
          <w:tcPr>
            <w:tcW w:w="1368" w:type="dxa"/>
            <w:tcBorders>
              <w:tl2br w:val="nil"/>
              <w:tr2bl w:val="nil"/>
            </w:tcBorders>
            <w:vAlign w:val="center"/>
          </w:tcPr>
          <w:p w14:paraId="4DBD3F5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0.025mg/L</w:t>
            </w:r>
          </w:p>
        </w:tc>
      </w:tr>
      <w:tr w14:paraId="60F2C4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5F801C0B">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18C28646">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溶解性</w:t>
            </w:r>
          </w:p>
          <w:p w14:paraId="1BE3A828">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总固体</w:t>
            </w:r>
          </w:p>
        </w:tc>
        <w:tc>
          <w:tcPr>
            <w:tcW w:w="3806" w:type="dxa"/>
            <w:tcBorders>
              <w:tl2br w:val="nil"/>
              <w:tr2bl w:val="nil"/>
            </w:tcBorders>
            <w:vAlign w:val="center"/>
          </w:tcPr>
          <w:p w14:paraId="266B7D05">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《地下水质分析方法 第9部分：溶解性固体总量的测定 重量法》DZ/T 0064.9-2021</w:t>
            </w:r>
          </w:p>
        </w:tc>
        <w:tc>
          <w:tcPr>
            <w:tcW w:w="2186" w:type="dxa"/>
            <w:tcBorders>
              <w:tl2br w:val="nil"/>
              <w:tr2bl w:val="nil"/>
            </w:tcBorders>
            <w:vAlign w:val="center"/>
          </w:tcPr>
          <w:p w14:paraId="29537BD9">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PR224ZH/E</w:t>
            </w:r>
          </w:p>
          <w:p w14:paraId="65B3DA80">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color w:val="auto"/>
                <w:sz w:val="21"/>
                <w:szCs w:val="21"/>
                <w:lang w:val="en-US" w:eastAsia="zh-CN"/>
              </w:rPr>
              <w:t>万分之一天平</w:t>
            </w:r>
          </w:p>
        </w:tc>
        <w:tc>
          <w:tcPr>
            <w:tcW w:w="1368" w:type="dxa"/>
            <w:tcBorders>
              <w:tl2br w:val="nil"/>
              <w:tr2bl w:val="nil"/>
            </w:tcBorders>
            <w:vAlign w:val="center"/>
          </w:tcPr>
          <w:p w14:paraId="11568C02">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w:t>
            </w:r>
          </w:p>
        </w:tc>
      </w:tr>
      <w:tr w14:paraId="4FD1BC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71BD49FD">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23D967E6">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eastAsia="zh-CN"/>
              </w:rPr>
              <w:t>总硬度</w:t>
            </w:r>
          </w:p>
        </w:tc>
        <w:tc>
          <w:tcPr>
            <w:tcW w:w="3806" w:type="dxa"/>
            <w:tcBorders>
              <w:tl2br w:val="nil"/>
              <w:tr2bl w:val="nil"/>
            </w:tcBorders>
            <w:vAlign w:val="center"/>
          </w:tcPr>
          <w:p w14:paraId="7DF9202A">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《水质 钙和镁总量测定</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EDTA滴定法》</w:t>
            </w:r>
          </w:p>
          <w:p w14:paraId="596EC255">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GB 7477-1987</w:t>
            </w:r>
          </w:p>
        </w:tc>
        <w:tc>
          <w:tcPr>
            <w:tcW w:w="2186" w:type="dxa"/>
            <w:tcBorders>
              <w:tl2br w:val="nil"/>
              <w:tr2bl w:val="nil"/>
            </w:tcBorders>
            <w:vAlign w:val="center"/>
          </w:tcPr>
          <w:p w14:paraId="432E6A61">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滴定管</w:t>
            </w:r>
          </w:p>
        </w:tc>
        <w:tc>
          <w:tcPr>
            <w:tcW w:w="1368" w:type="dxa"/>
            <w:tcBorders>
              <w:tl2br w:val="nil"/>
              <w:tr2bl w:val="nil"/>
            </w:tcBorders>
            <w:vAlign w:val="center"/>
          </w:tcPr>
          <w:p w14:paraId="1A478A32">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highlight w:val="none"/>
                <w:shd w:val="clear" w:color="auto" w:fill="auto"/>
                <w:lang w:val="en-US" w:eastAsia="zh-CN"/>
              </w:rPr>
              <w:t>5mg/L</w:t>
            </w:r>
          </w:p>
        </w:tc>
      </w:tr>
      <w:tr w14:paraId="01F86D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5F3707A1">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6E076EBA">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氰化物</w:t>
            </w:r>
          </w:p>
        </w:tc>
        <w:tc>
          <w:tcPr>
            <w:tcW w:w="3806" w:type="dxa"/>
            <w:tcBorders>
              <w:tl2br w:val="nil"/>
              <w:tr2bl w:val="nil"/>
            </w:tcBorders>
            <w:vAlign w:val="center"/>
          </w:tcPr>
          <w:p w14:paraId="27F4289A">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水质 氰化物的测定 容量法和分光</w:t>
            </w:r>
          </w:p>
          <w:p w14:paraId="1EB7D792">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光度法</w:t>
            </w:r>
            <w:r>
              <w:rPr>
                <w:rFonts w:hint="default" w:ascii="Times New Roman" w:hAnsi="Times New Roman" w:eastAsia="宋体" w:cs="Times New Roman"/>
                <w:sz w:val="21"/>
                <w:szCs w:val="21"/>
                <w:lang w:eastAsia="zh-CN"/>
              </w:rPr>
              <w:t>》（异烟酸</w:t>
            </w:r>
            <w:r>
              <w:rPr>
                <w:rFonts w:hint="default" w:ascii="Times New Roman" w:hAnsi="Times New Roman" w:eastAsia="宋体" w:cs="Times New Roman"/>
                <w:sz w:val="21"/>
                <w:szCs w:val="21"/>
                <w:lang w:val="en-US" w:eastAsia="zh-CN"/>
              </w:rPr>
              <w:t>-吡唑啉酮分光光度法）</w:t>
            </w:r>
            <w:r>
              <w:rPr>
                <w:rFonts w:hint="default" w:ascii="Times New Roman" w:hAnsi="Times New Roman" w:eastAsia="宋体" w:cs="Times New Roman"/>
                <w:sz w:val="21"/>
                <w:szCs w:val="21"/>
              </w:rPr>
              <w:t>HJ 484-2009</w:t>
            </w:r>
          </w:p>
        </w:tc>
        <w:tc>
          <w:tcPr>
            <w:tcW w:w="2186" w:type="dxa"/>
            <w:tcBorders>
              <w:tl2br w:val="nil"/>
              <w:tr2bl w:val="nil"/>
            </w:tcBorders>
            <w:vAlign w:val="center"/>
          </w:tcPr>
          <w:p w14:paraId="73B17A92">
            <w:pPr>
              <w:keepNext w:val="0"/>
              <w:keepLines w:val="0"/>
              <w:pageBreakBefore w:val="0"/>
              <w:widowControl/>
              <w:kinsoku/>
              <w:wordWrap/>
              <w:overflowPunct/>
              <w:topLinePunct w:val="0"/>
              <w:autoSpaceDE/>
              <w:autoSpaceDN/>
              <w:bidi w:val="0"/>
              <w:adjustRightInd/>
              <w:snapToGrid/>
              <w:spacing w:line="240" w:lineRule="auto"/>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SP-722</w:t>
            </w:r>
          </w:p>
          <w:p w14:paraId="24AF9584">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可见分光光度计</w:t>
            </w:r>
          </w:p>
        </w:tc>
        <w:tc>
          <w:tcPr>
            <w:tcW w:w="1368" w:type="dxa"/>
            <w:tcBorders>
              <w:tl2br w:val="nil"/>
              <w:tr2bl w:val="nil"/>
            </w:tcBorders>
            <w:vAlign w:val="center"/>
          </w:tcPr>
          <w:p w14:paraId="6A03B0B2">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0.004mg/L</w:t>
            </w:r>
          </w:p>
        </w:tc>
      </w:tr>
      <w:tr w14:paraId="272B36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3FB3ECA5">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767DF207">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氟化物</w:t>
            </w:r>
          </w:p>
        </w:tc>
        <w:tc>
          <w:tcPr>
            <w:tcW w:w="3806" w:type="dxa"/>
            <w:tcBorders>
              <w:tl2br w:val="nil"/>
              <w:tr2bl w:val="nil"/>
            </w:tcBorders>
            <w:vAlign w:val="center"/>
          </w:tcPr>
          <w:p w14:paraId="5762ECC1">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《水质 无机阴离子（F</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 xml:space="preserve"> 、Cl</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、Br</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、PO</w:t>
            </w:r>
            <w:r>
              <w:rPr>
                <w:rFonts w:hint="default" w:ascii="Times New Roman" w:hAnsi="Times New Roman" w:eastAsia="宋体" w:cs="Times New Roman"/>
                <w:color w:val="auto"/>
                <w:sz w:val="21"/>
                <w:szCs w:val="21"/>
                <w:vertAlign w:val="subscript"/>
              </w:rPr>
              <w:t>4</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4</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）的测定</w:t>
            </w:r>
          </w:p>
          <w:p w14:paraId="1507EA6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color w:val="auto"/>
                <w:sz w:val="21"/>
                <w:szCs w:val="21"/>
              </w:rPr>
              <w:t>离子色谱法》HJ 84-2016</w:t>
            </w:r>
          </w:p>
        </w:tc>
        <w:tc>
          <w:tcPr>
            <w:tcW w:w="2186" w:type="dxa"/>
            <w:tcBorders>
              <w:tl2br w:val="nil"/>
              <w:tr2bl w:val="nil"/>
            </w:tcBorders>
            <w:vAlign w:val="center"/>
          </w:tcPr>
          <w:p w14:paraId="618AC5AA">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CIC-D1</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0离子色谱仪</w:t>
            </w:r>
          </w:p>
        </w:tc>
        <w:tc>
          <w:tcPr>
            <w:tcW w:w="1368" w:type="dxa"/>
            <w:tcBorders>
              <w:tl2br w:val="nil"/>
              <w:tr2bl w:val="nil"/>
            </w:tcBorders>
            <w:vAlign w:val="center"/>
          </w:tcPr>
          <w:p w14:paraId="1D036811">
            <w:pPr>
              <w:keepNext w:val="0"/>
              <w:keepLines w:val="0"/>
              <w:pageBreakBefore w:val="0"/>
              <w:widowControl/>
              <w:suppressLineNumbers w:val="0"/>
              <w:kinsoku/>
              <w:wordWrap/>
              <w:overflowPunct/>
              <w:topLinePunct w:val="0"/>
              <w:autoSpaceDE/>
              <w:autoSpaceDN/>
              <w:bidi w:val="0"/>
              <w:adjustRightInd/>
              <w:snapToGrid/>
              <w:spacing w:line="240" w:lineRule="auto"/>
              <w:ind w:left="-42" w:leftChars="-20" w:right="-42" w:rightChars="-20" w:firstLine="0" w:firstLineChars="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highlight w:val="none"/>
                <w:lang w:val="en-US" w:eastAsia="zh-CN"/>
              </w:rPr>
              <w:t>0.006</w:t>
            </w:r>
            <w:r>
              <w:rPr>
                <w:rFonts w:hint="default" w:ascii="Times New Roman" w:hAnsi="Times New Roman" w:eastAsia="宋体" w:cs="Times New Roman"/>
                <w:color w:val="auto"/>
                <w:sz w:val="21"/>
                <w:szCs w:val="21"/>
                <w:lang w:val="en-US" w:eastAsia="zh-CN"/>
              </w:rPr>
              <w:t>mg/L</w:t>
            </w:r>
          </w:p>
        </w:tc>
      </w:tr>
      <w:tr w14:paraId="43DC2C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49197841">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119D2B1F">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高锰酸盐</w:t>
            </w:r>
          </w:p>
          <w:p w14:paraId="567747AC">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指数</w:t>
            </w:r>
          </w:p>
        </w:tc>
        <w:tc>
          <w:tcPr>
            <w:tcW w:w="3806" w:type="dxa"/>
            <w:tcBorders>
              <w:tl2br w:val="nil"/>
              <w:tr2bl w:val="nil"/>
            </w:tcBorders>
            <w:vAlign w:val="center"/>
          </w:tcPr>
          <w:p w14:paraId="3EAFB042">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《水质</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高锰酸盐指数的测定》</w:t>
            </w:r>
          </w:p>
          <w:p w14:paraId="2418F01C">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GB 11892-1989</w:t>
            </w:r>
          </w:p>
        </w:tc>
        <w:tc>
          <w:tcPr>
            <w:tcW w:w="2186" w:type="dxa"/>
            <w:tcBorders>
              <w:tl2br w:val="nil"/>
              <w:tr2bl w:val="nil"/>
            </w:tcBorders>
            <w:vAlign w:val="center"/>
          </w:tcPr>
          <w:p w14:paraId="4F557683">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滴定管</w:t>
            </w:r>
          </w:p>
        </w:tc>
        <w:tc>
          <w:tcPr>
            <w:tcW w:w="1368" w:type="dxa"/>
            <w:tcBorders>
              <w:tl2br w:val="nil"/>
              <w:tr2bl w:val="nil"/>
            </w:tcBorders>
            <w:vAlign w:val="center"/>
          </w:tcPr>
          <w:p w14:paraId="449FD1FC">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highlight w:val="none"/>
                <w:shd w:val="clear" w:color="auto" w:fill="auto"/>
                <w:lang w:val="en-US" w:eastAsia="zh-CN"/>
              </w:rPr>
              <w:t>0.5mg/L</w:t>
            </w:r>
          </w:p>
        </w:tc>
      </w:tr>
      <w:tr w14:paraId="775EA6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13960C88">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5ADD1EF9">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总大肠菌群</w:t>
            </w:r>
          </w:p>
        </w:tc>
        <w:tc>
          <w:tcPr>
            <w:tcW w:w="3806" w:type="dxa"/>
            <w:tcBorders>
              <w:tl2br w:val="nil"/>
              <w:tr2bl w:val="nil"/>
            </w:tcBorders>
            <w:vAlign w:val="center"/>
          </w:tcPr>
          <w:p w14:paraId="1151B126">
            <w:pPr>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sz w:val="21"/>
                <w:szCs w:val="21"/>
                <w:lang w:eastAsia="zh-CN"/>
              </w:rPr>
              <w:t>《生活饮用水标准检验方法</w:t>
            </w:r>
            <w:r>
              <w:rPr>
                <w:rFonts w:hint="default" w:ascii="Times New Roman" w:hAnsi="Times New Roman" w:eastAsia="宋体" w:cs="Times New Roman"/>
                <w:sz w:val="21"/>
                <w:szCs w:val="21"/>
                <w:lang w:val="en-US" w:eastAsia="zh-CN"/>
              </w:rPr>
              <w:t xml:space="preserve"> 微生物指标》（5.1 多管发酵法）GB/T 5750.12-2023</w:t>
            </w:r>
          </w:p>
        </w:tc>
        <w:tc>
          <w:tcPr>
            <w:tcW w:w="2186" w:type="dxa"/>
            <w:tcBorders>
              <w:tl2br w:val="nil"/>
              <w:tr2bl w:val="nil"/>
            </w:tcBorders>
            <w:vAlign w:val="center"/>
          </w:tcPr>
          <w:p w14:paraId="02F6050F">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DHP-9052</w:t>
            </w:r>
          </w:p>
          <w:p w14:paraId="58E408CB">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电热恒温培养箱</w:t>
            </w:r>
          </w:p>
        </w:tc>
        <w:tc>
          <w:tcPr>
            <w:tcW w:w="1368" w:type="dxa"/>
            <w:tcBorders>
              <w:tl2br w:val="nil"/>
              <w:tr2bl w:val="nil"/>
            </w:tcBorders>
            <w:vAlign w:val="center"/>
          </w:tcPr>
          <w:p w14:paraId="665F1A8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z w:val="21"/>
                <w:szCs w:val="21"/>
                <w:lang w:val="en-US" w:eastAsia="zh-CN"/>
              </w:rPr>
              <w:t>/</w:t>
            </w:r>
          </w:p>
        </w:tc>
      </w:tr>
      <w:tr w14:paraId="71588B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10F47D27">
            <w:pPr>
              <w:jc w:val="center"/>
              <w:rPr>
                <w:rFonts w:hint="default" w:ascii="Times New Roman" w:hAnsi="Times New Roman" w:eastAsia="宋体" w:cs="Times New Roman"/>
                <w:sz w:val="21"/>
                <w:szCs w:val="21"/>
                <w:lang w:val="en-US" w:eastAsia="zh-CN"/>
              </w:rPr>
            </w:pPr>
          </w:p>
        </w:tc>
        <w:tc>
          <w:tcPr>
            <w:tcW w:w="1392" w:type="dxa"/>
            <w:tcBorders>
              <w:tl2br w:val="nil"/>
              <w:tr2bl w:val="nil"/>
            </w:tcBorders>
            <w:vAlign w:val="center"/>
          </w:tcPr>
          <w:p w14:paraId="53C07436">
            <w:pPr>
              <w:spacing w:line="2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细菌总数</w:t>
            </w:r>
          </w:p>
        </w:tc>
        <w:tc>
          <w:tcPr>
            <w:tcW w:w="3806" w:type="dxa"/>
            <w:tcBorders>
              <w:tl2br w:val="nil"/>
              <w:tr2bl w:val="nil"/>
            </w:tcBorders>
            <w:vAlign w:val="center"/>
          </w:tcPr>
          <w:p w14:paraId="59A5C1BB">
            <w:pPr>
              <w:spacing w:line="2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eastAsia="zh-CN"/>
              </w:rPr>
              <w:t>《生活饮用水标准检验方法</w:t>
            </w:r>
            <w:r>
              <w:rPr>
                <w:rFonts w:hint="default" w:ascii="Times New Roman" w:hAnsi="Times New Roman" w:eastAsia="宋体" w:cs="Times New Roman"/>
                <w:sz w:val="21"/>
                <w:szCs w:val="21"/>
                <w:lang w:val="en-US" w:eastAsia="zh-CN"/>
              </w:rPr>
              <w:t xml:space="preserve"> 微生物指标》GB/T 5750.12-2023</w:t>
            </w:r>
          </w:p>
        </w:tc>
        <w:tc>
          <w:tcPr>
            <w:tcW w:w="2186" w:type="dxa"/>
            <w:tcBorders>
              <w:tl2br w:val="nil"/>
              <w:tr2bl w:val="nil"/>
            </w:tcBorders>
            <w:vAlign w:val="center"/>
          </w:tcPr>
          <w:p w14:paraId="0E8DF396">
            <w:pPr>
              <w:spacing w:line="2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DHP-9052</w:t>
            </w:r>
          </w:p>
          <w:p w14:paraId="027FD4D9">
            <w:pPr>
              <w:spacing w:line="24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电热恒温培养箱</w:t>
            </w:r>
          </w:p>
        </w:tc>
        <w:tc>
          <w:tcPr>
            <w:tcW w:w="1368" w:type="dxa"/>
            <w:tcBorders>
              <w:tl2br w:val="nil"/>
              <w:tr2bl w:val="nil"/>
            </w:tcBorders>
            <w:vAlign w:val="center"/>
          </w:tcPr>
          <w:p w14:paraId="3EA2007E">
            <w:pPr>
              <w:spacing w:line="24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w:t>
            </w:r>
          </w:p>
        </w:tc>
      </w:tr>
    </w:tbl>
    <w:p w14:paraId="6F4F4BB1">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bookmarkStart w:id="136" w:name="_Toc346269300"/>
      <w:bookmarkStart w:id="137" w:name="_Toc349391620"/>
      <w:bookmarkStart w:id="138" w:name="_Toc349896063"/>
      <w:r>
        <w:rPr>
          <w:rFonts w:hint="default" w:ascii="Times New Roman" w:hAnsi="Times New Roman" w:eastAsia="宋体" w:cs="Times New Roman"/>
          <w:b/>
          <w:bCs/>
          <w:color w:val="auto"/>
          <w:spacing w:val="0"/>
          <w:w w:val="100"/>
          <w:kern w:val="0"/>
          <w:position w:val="0"/>
          <w:sz w:val="24"/>
          <w:u w:val="none" w:color="auto"/>
          <w:lang w:val="en-US" w:eastAsia="zh-CN"/>
        </w:rPr>
        <w:t>5、评价标准</w:t>
      </w:r>
      <w:bookmarkEnd w:id="136"/>
      <w:bookmarkEnd w:id="137"/>
      <w:bookmarkEnd w:id="138"/>
    </w:p>
    <w:p w14:paraId="4C51D8F3">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《地下水质量标准》（GB/T14848-2017）Ⅲ类标准。</w:t>
      </w:r>
    </w:p>
    <w:p w14:paraId="67692B51">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6、评价方法</w:t>
      </w:r>
    </w:p>
    <w:p w14:paraId="6CD908F5">
      <w:pPr>
        <w:pageBreakBefore w:val="0"/>
        <w:kinsoku w:val="0"/>
        <w:wordWrap w:val="0"/>
        <w:overflowPunct/>
        <w:topLinePunct/>
        <w:autoSpaceDE/>
        <w:autoSpaceDN/>
        <w:bidi w:val="0"/>
        <w:spacing w:line="360" w:lineRule="auto"/>
        <w:ind w:firstLine="480" w:firstLineChars="200"/>
        <w:rPr>
          <w:rFonts w:hint="default" w:ascii="Times New Roman" w:hAnsi="Times New Roman" w:eastAsia="宋体" w:cs="Times New Roman"/>
          <w:caps w:val="0"/>
          <w:smallCaps w:val="0"/>
          <w:color w:val="auto"/>
          <w:spacing w:val="0"/>
          <w:w w:val="100"/>
          <w:position w:val="0"/>
          <w:sz w:val="24"/>
          <w:u w:val="none" w:color="auto"/>
        </w:rPr>
      </w:pPr>
      <w:r>
        <w:rPr>
          <w:rFonts w:hint="default" w:ascii="Times New Roman" w:hAnsi="Times New Roman" w:eastAsia="宋体" w:cs="Times New Roman"/>
          <w:caps w:val="0"/>
          <w:smallCaps w:val="0"/>
          <w:color w:val="auto"/>
          <w:spacing w:val="0"/>
          <w:w w:val="100"/>
          <w:position w:val="0"/>
          <w:sz w:val="24"/>
          <w:u w:val="none" w:color="auto"/>
        </w:rPr>
        <w:t>采用《环境影响评价技术导则 地下水环境》（HJ610-2016）中推荐的标准指数法进行评价。公式为：</w:t>
      </w:r>
    </w:p>
    <w:p w14:paraId="7766692D">
      <w:pPr>
        <w:pageBreakBefore w:val="0"/>
        <w:kinsoku w:val="0"/>
        <w:wordWrap w:val="0"/>
        <w:overflowPunct/>
        <w:topLinePunct/>
        <w:autoSpaceDE/>
        <w:autoSpaceDN/>
        <w:bidi w:val="0"/>
        <w:spacing w:line="520" w:lineRule="exact"/>
        <w:ind w:firstLine="480" w:firstLineChars="200"/>
        <w:jc w:val="center"/>
        <w:rPr>
          <w:rFonts w:hint="default" w:ascii="Times New Roman" w:hAnsi="Times New Roman" w:eastAsia="宋体" w:cs="Times New Roman"/>
          <w:caps w:val="0"/>
          <w:smallCaps w:val="0"/>
          <w:color w:val="auto"/>
          <w:spacing w:val="0"/>
          <w:w w:val="100"/>
          <w:position w:val="0"/>
          <w:sz w:val="24"/>
          <w:u w:val="none" w:color="auto"/>
        </w:rPr>
      </w:pPr>
      <w:bookmarkStart w:id="139" w:name="_Toc515894725"/>
      <w:r>
        <w:rPr>
          <w:rFonts w:hint="default" w:ascii="Times New Roman" w:hAnsi="Times New Roman" w:eastAsia="宋体" w:cs="Times New Roman"/>
          <w:i/>
          <w:caps w:val="0"/>
          <w:smallCaps w:val="0"/>
          <w:color w:val="auto"/>
          <w:spacing w:val="0"/>
          <w:w w:val="100"/>
          <w:position w:val="0"/>
          <w:sz w:val="24"/>
          <w:u w:val="none" w:color="auto"/>
        </w:rPr>
        <w:t>P</w:t>
      </w:r>
      <w:r>
        <w:rPr>
          <w:rFonts w:hint="default" w:ascii="Times New Roman" w:hAnsi="Times New Roman" w:eastAsia="宋体" w:cs="Times New Roman"/>
          <w:i/>
          <w:caps w:val="0"/>
          <w:smallCaps w:val="0"/>
          <w:color w:val="auto"/>
          <w:spacing w:val="0"/>
          <w:w w:val="100"/>
          <w:position w:val="0"/>
          <w:sz w:val="24"/>
          <w:u w:val="none" w:color="auto"/>
          <w:vertAlign w:val="subscript"/>
        </w:rPr>
        <w:t>i</w:t>
      </w:r>
      <w:r>
        <w:rPr>
          <w:rFonts w:hint="default" w:ascii="Times New Roman" w:hAnsi="Times New Roman" w:eastAsia="宋体" w:cs="Times New Roman"/>
          <w:caps w:val="0"/>
          <w:smallCaps w:val="0"/>
          <w:color w:val="auto"/>
          <w:spacing w:val="0"/>
          <w:w w:val="100"/>
          <w:position w:val="0"/>
          <w:sz w:val="24"/>
          <w:u w:val="none" w:color="auto"/>
        </w:rPr>
        <w:t>=</w:t>
      </w:r>
      <w:r>
        <w:rPr>
          <w:rFonts w:hint="default" w:ascii="Times New Roman" w:hAnsi="Times New Roman" w:eastAsia="宋体" w:cs="Times New Roman"/>
          <w:i/>
          <w:caps w:val="0"/>
          <w:smallCaps w:val="0"/>
          <w:color w:val="auto"/>
          <w:spacing w:val="0"/>
          <w:w w:val="100"/>
          <w:position w:val="0"/>
          <w:sz w:val="24"/>
          <w:u w:val="none" w:color="auto"/>
        </w:rPr>
        <w:t>C</w:t>
      </w:r>
      <w:r>
        <w:rPr>
          <w:rFonts w:hint="default" w:ascii="Times New Roman" w:hAnsi="Times New Roman" w:eastAsia="宋体" w:cs="Times New Roman"/>
          <w:i/>
          <w:caps w:val="0"/>
          <w:smallCaps w:val="0"/>
          <w:color w:val="auto"/>
          <w:spacing w:val="0"/>
          <w:w w:val="100"/>
          <w:position w:val="0"/>
          <w:sz w:val="24"/>
          <w:u w:val="none" w:color="auto"/>
          <w:vertAlign w:val="subscript"/>
        </w:rPr>
        <w:t>i</w:t>
      </w:r>
      <w:r>
        <w:rPr>
          <w:rFonts w:hint="default" w:ascii="Times New Roman" w:hAnsi="Times New Roman" w:eastAsia="宋体" w:cs="Times New Roman"/>
          <w:caps w:val="0"/>
          <w:smallCaps w:val="0"/>
          <w:color w:val="auto"/>
          <w:spacing w:val="0"/>
          <w:w w:val="100"/>
          <w:position w:val="0"/>
          <w:sz w:val="24"/>
          <w:u w:val="none" w:color="auto"/>
        </w:rPr>
        <w:t>/</w:t>
      </w:r>
      <w:r>
        <w:rPr>
          <w:rFonts w:hint="default" w:ascii="Times New Roman" w:hAnsi="Times New Roman" w:eastAsia="宋体" w:cs="Times New Roman"/>
          <w:i/>
          <w:caps w:val="0"/>
          <w:smallCaps w:val="0"/>
          <w:color w:val="auto"/>
          <w:spacing w:val="0"/>
          <w:w w:val="100"/>
          <w:position w:val="0"/>
          <w:sz w:val="24"/>
          <w:u w:val="none" w:color="auto"/>
        </w:rPr>
        <w:t>C</w:t>
      </w:r>
      <w:r>
        <w:rPr>
          <w:rFonts w:hint="default" w:ascii="Times New Roman" w:hAnsi="Times New Roman" w:eastAsia="宋体" w:cs="Times New Roman"/>
          <w:i/>
          <w:caps w:val="0"/>
          <w:smallCaps w:val="0"/>
          <w:color w:val="auto"/>
          <w:spacing w:val="0"/>
          <w:w w:val="100"/>
          <w:position w:val="0"/>
          <w:sz w:val="24"/>
          <w:u w:val="none" w:color="auto"/>
          <w:vertAlign w:val="subscript"/>
        </w:rPr>
        <w:t>s</w:t>
      </w:r>
      <w:bookmarkEnd w:id="139"/>
      <w:r>
        <w:rPr>
          <w:rFonts w:hint="default" w:ascii="Times New Roman" w:hAnsi="Times New Roman" w:eastAsia="宋体" w:cs="Times New Roman"/>
          <w:i/>
          <w:caps w:val="0"/>
          <w:smallCaps w:val="0"/>
          <w:color w:val="auto"/>
          <w:spacing w:val="0"/>
          <w:w w:val="100"/>
          <w:position w:val="0"/>
          <w:sz w:val="24"/>
          <w:u w:val="none" w:color="auto"/>
          <w:vertAlign w:val="subscript"/>
        </w:rPr>
        <w:t>i</w:t>
      </w:r>
    </w:p>
    <w:p w14:paraId="4AEF3162">
      <w:pPr>
        <w:pageBreakBefore w:val="0"/>
        <w:kinsoku w:val="0"/>
        <w:wordWrap w:val="0"/>
        <w:overflowPunct/>
        <w:topLinePunct/>
        <w:autoSpaceDE/>
        <w:autoSpaceDN/>
        <w:bidi w:val="0"/>
        <w:spacing w:line="520" w:lineRule="exact"/>
        <w:ind w:firstLine="1080" w:firstLineChars="450"/>
        <w:rPr>
          <w:rFonts w:hint="default" w:ascii="Times New Roman" w:hAnsi="Times New Roman" w:eastAsia="宋体" w:cs="Times New Roman"/>
          <w:caps w:val="0"/>
          <w:smallCaps w:val="0"/>
          <w:color w:val="auto"/>
          <w:spacing w:val="0"/>
          <w:w w:val="100"/>
          <w:position w:val="0"/>
          <w:sz w:val="24"/>
          <w:u w:val="none" w:color="auto"/>
        </w:rPr>
      </w:pPr>
      <w:r>
        <w:rPr>
          <w:rFonts w:hint="default" w:ascii="Times New Roman" w:hAnsi="Times New Roman" w:eastAsia="宋体" w:cs="Times New Roman"/>
          <w:caps w:val="0"/>
          <w:smallCaps w:val="0"/>
          <w:color w:val="auto"/>
          <w:spacing w:val="0"/>
          <w:w w:val="100"/>
          <w:position w:val="0"/>
          <w:sz w:val="24"/>
          <w:u w:val="none" w:color="auto"/>
        </w:rPr>
        <w:t>式中：</w:t>
      </w:r>
      <w:r>
        <w:rPr>
          <w:rFonts w:hint="default" w:ascii="Times New Roman" w:hAnsi="Times New Roman" w:eastAsia="宋体" w:cs="Times New Roman"/>
          <w:i/>
          <w:caps w:val="0"/>
          <w:smallCaps w:val="0"/>
          <w:color w:val="auto"/>
          <w:spacing w:val="0"/>
          <w:w w:val="100"/>
          <w:position w:val="0"/>
          <w:sz w:val="24"/>
          <w:u w:val="none" w:color="auto"/>
        </w:rPr>
        <w:t>P</w:t>
      </w:r>
      <w:r>
        <w:rPr>
          <w:rFonts w:hint="default" w:ascii="Times New Roman" w:hAnsi="Times New Roman" w:eastAsia="宋体" w:cs="Times New Roman"/>
          <w:i/>
          <w:caps w:val="0"/>
          <w:smallCaps w:val="0"/>
          <w:color w:val="auto"/>
          <w:spacing w:val="0"/>
          <w:w w:val="100"/>
          <w:position w:val="0"/>
          <w:sz w:val="24"/>
          <w:u w:val="none" w:color="auto"/>
          <w:vertAlign w:val="subscript"/>
        </w:rPr>
        <w:t>i</w:t>
      </w:r>
      <w:r>
        <w:rPr>
          <w:rFonts w:hint="default" w:ascii="Times New Roman" w:hAnsi="Times New Roman" w:eastAsia="宋体" w:cs="Times New Roman"/>
          <w:caps w:val="0"/>
          <w:smallCaps w:val="0"/>
          <w:color w:val="auto"/>
          <w:spacing w:val="0"/>
          <w:w w:val="100"/>
          <w:position w:val="0"/>
          <w:sz w:val="24"/>
          <w:u w:val="none" w:color="auto"/>
        </w:rPr>
        <w:t>——第i个水质因子的标准指数，无量纲；</w:t>
      </w:r>
    </w:p>
    <w:p w14:paraId="28B34FB9">
      <w:pPr>
        <w:pageBreakBefore w:val="0"/>
        <w:kinsoku w:val="0"/>
        <w:wordWrap w:val="0"/>
        <w:overflowPunct/>
        <w:topLinePunct/>
        <w:autoSpaceDE/>
        <w:autoSpaceDN/>
        <w:bidi w:val="0"/>
        <w:spacing w:line="520" w:lineRule="exact"/>
        <w:ind w:firstLine="1800" w:firstLineChars="750"/>
        <w:rPr>
          <w:rFonts w:hint="default" w:ascii="Times New Roman" w:hAnsi="Times New Roman" w:eastAsia="宋体" w:cs="Times New Roman"/>
          <w:caps w:val="0"/>
          <w:smallCaps w:val="0"/>
          <w:color w:val="auto"/>
          <w:spacing w:val="0"/>
          <w:w w:val="100"/>
          <w:position w:val="0"/>
          <w:sz w:val="24"/>
          <w:u w:val="none" w:color="auto"/>
        </w:rPr>
      </w:pPr>
      <w:r>
        <w:rPr>
          <w:rFonts w:hint="default" w:ascii="Times New Roman" w:hAnsi="Times New Roman" w:eastAsia="宋体" w:cs="Times New Roman"/>
          <w:i/>
          <w:caps w:val="0"/>
          <w:smallCaps w:val="0"/>
          <w:color w:val="auto"/>
          <w:spacing w:val="0"/>
          <w:w w:val="100"/>
          <w:position w:val="0"/>
          <w:sz w:val="24"/>
          <w:u w:val="none" w:color="auto"/>
        </w:rPr>
        <w:t>C</w:t>
      </w:r>
      <w:r>
        <w:rPr>
          <w:rFonts w:hint="default" w:ascii="Times New Roman" w:hAnsi="Times New Roman" w:eastAsia="宋体" w:cs="Times New Roman"/>
          <w:i/>
          <w:caps w:val="0"/>
          <w:smallCaps w:val="0"/>
          <w:color w:val="auto"/>
          <w:spacing w:val="0"/>
          <w:w w:val="100"/>
          <w:position w:val="0"/>
          <w:sz w:val="24"/>
          <w:u w:val="none" w:color="auto"/>
          <w:vertAlign w:val="subscript"/>
        </w:rPr>
        <w:t>i</w:t>
      </w:r>
      <w:r>
        <w:rPr>
          <w:rFonts w:hint="default" w:ascii="Times New Roman" w:hAnsi="Times New Roman" w:eastAsia="宋体" w:cs="Times New Roman"/>
          <w:caps w:val="0"/>
          <w:smallCaps w:val="0"/>
          <w:color w:val="auto"/>
          <w:spacing w:val="0"/>
          <w:w w:val="100"/>
          <w:position w:val="0"/>
          <w:sz w:val="24"/>
          <w:u w:val="none" w:color="auto"/>
        </w:rPr>
        <w:t>——第i个水质因子的监测浓度值，mg/L；</w:t>
      </w:r>
    </w:p>
    <w:p w14:paraId="7A219F8C">
      <w:pPr>
        <w:pageBreakBefore w:val="0"/>
        <w:kinsoku w:val="0"/>
        <w:wordWrap w:val="0"/>
        <w:overflowPunct/>
        <w:topLinePunct/>
        <w:autoSpaceDE/>
        <w:autoSpaceDN/>
        <w:bidi w:val="0"/>
        <w:spacing w:line="520" w:lineRule="exact"/>
        <w:ind w:firstLine="1800" w:firstLineChars="750"/>
        <w:rPr>
          <w:rFonts w:hint="default" w:ascii="Times New Roman" w:hAnsi="Times New Roman" w:eastAsia="宋体" w:cs="Times New Roman"/>
          <w:caps w:val="0"/>
          <w:smallCaps w:val="0"/>
          <w:color w:val="auto"/>
          <w:spacing w:val="0"/>
          <w:w w:val="100"/>
          <w:position w:val="0"/>
          <w:sz w:val="24"/>
          <w:u w:val="none" w:color="auto"/>
        </w:rPr>
      </w:pPr>
      <w:r>
        <w:rPr>
          <w:rFonts w:hint="default" w:ascii="Times New Roman" w:hAnsi="Times New Roman" w:eastAsia="宋体" w:cs="Times New Roman"/>
          <w:i/>
          <w:caps w:val="0"/>
          <w:smallCaps w:val="0"/>
          <w:color w:val="auto"/>
          <w:spacing w:val="0"/>
          <w:w w:val="100"/>
          <w:position w:val="0"/>
          <w:sz w:val="24"/>
          <w:u w:val="none" w:color="auto"/>
        </w:rPr>
        <w:t>C</w:t>
      </w:r>
      <w:r>
        <w:rPr>
          <w:rFonts w:hint="default" w:ascii="Times New Roman" w:hAnsi="Times New Roman" w:eastAsia="宋体" w:cs="Times New Roman"/>
          <w:i/>
          <w:caps w:val="0"/>
          <w:smallCaps w:val="0"/>
          <w:color w:val="auto"/>
          <w:spacing w:val="0"/>
          <w:w w:val="100"/>
          <w:position w:val="0"/>
          <w:sz w:val="24"/>
          <w:u w:val="none" w:color="auto"/>
          <w:vertAlign w:val="subscript"/>
        </w:rPr>
        <w:t>si</w:t>
      </w:r>
      <w:r>
        <w:rPr>
          <w:rFonts w:hint="default" w:ascii="Times New Roman" w:hAnsi="Times New Roman" w:eastAsia="宋体" w:cs="Times New Roman"/>
          <w:caps w:val="0"/>
          <w:smallCaps w:val="0"/>
          <w:color w:val="auto"/>
          <w:spacing w:val="0"/>
          <w:w w:val="100"/>
          <w:position w:val="0"/>
          <w:sz w:val="24"/>
          <w:u w:val="none" w:color="auto"/>
        </w:rPr>
        <w:t>——第i个水质因子的标准浓度值，mg/L。</w:t>
      </w:r>
    </w:p>
    <w:p w14:paraId="00B79354">
      <w:pPr>
        <w:pageBreakBefore w:val="0"/>
        <w:kinsoku w:val="0"/>
        <w:wordWrap w:val="0"/>
        <w:overflowPunct/>
        <w:topLinePunct/>
        <w:autoSpaceDE/>
        <w:autoSpaceDN/>
        <w:bidi w:val="0"/>
        <w:spacing w:line="520" w:lineRule="exact"/>
        <w:ind w:firstLine="480" w:firstLineChars="200"/>
        <w:rPr>
          <w:rFonts w:hint="default" w:ascii="Times New Roman" w:hAnsi="Times New Roman" w:eastAsia="宋体" w:cs="Times New Roman"/>
          <w:caps w:val="0"/>
          <w:smallCaps w:val="0"/>
          <w:color w:val="auto"/>
          <w:spacing w:val="0"/>
          <w:w w:val="100"/>
          <w:position w:val="0"/>
          <w:sz w:val="24"/>
          <w:u w:val="none" w:color="auto"/>
        </w:rPr>
      </w:pPr>
      <w:r>
        <w:rPr>
          <w:rFonts w:hint="default" w:ascii="Times New Roman" w:hAnsi="Times New Roman" w:eastAsia="宋体" w:cs="Times New Roman"/>
          <w:caps w:val="0"/>
          <w:smallCaps w:val="0"/>
          <w:color w:val="auto"/>
          <w:spacing w:val="0"/>
          <w:w w:val="100"/>
          <w:position w:val="0"/>
          <w:sz w:val="24"/>
          <w:u w:val="none" w:color="auto"/>
        </w:rPr>
        <w:t>pH的标准指数为：</w:t>
      </w:r>
    </w:p>
    <w:p w14:paraId="245AB395">
      <w:pPr>
        <w:pageBreakBefore w:val="0"/>
        <w:widowControl/>
        <w:kinsoku w:val="0"/>
        <w:wordWrap w:val="0"/>
        <w:overflowPunct/>
        <w:topLinePunct/>
        <w:autoSpaceDE/>
        <w:autoSpaceDN/>
        <w:bidi w:val="0"/>
        <w:jc w:val="center"/>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drawing>
          <wp:inline distT="0" distB="0" distL="0" distR="0">
            <wp:extent cx="2116455" cy="1007745"/>
            <wp:effectExtent l="0" t="0" r="17145" b="1905"/>
            <wp:docPr id="238" name="图片 238" descr="C:\Users\Administrator\AppData\Roaming\Tencent\Users\378854036\QQ\WinTemp\RichOle\(P(Z6SF5%3HC1(G(M1MCV6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C:\Users\Administrator\AppData\Roaming\Tencent\Users\378854036\QQ\WinTemp\RichOle\(P(Z6SF5%3HC1(G(M1MCV6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2116800" cy="1008000"/>
                    </a:xfrm>
                    <a:prstGeom prst="rect">
                      <a:avLst/>
                    </a:prstGeom>
                    <a:noFill/>
                    <a:ln>
                      <a:noFill/>
                    </a:ln>
                  </pic:spPr>
                </pic:pic>
              </a:graphicData>
            </a:graphic>
          </wp:inline>
        </w:drawing>
      </w:r>
    </w:p>
    <w:p w14:paraId="3C95B658">
      <w:pPr>
        <w:pageBreakBefore w:val="0"/>
        <w:kinsoku w:val="0"/>
        <w:wordWrap w:val="0"/>
        <w:overflowPunct/>
        <w:topLinePunct/>
        <w:autoSpaceDE/>
        <w:autoSpaceDN/>
        <w:bidi w:val="0"/>
        <w:adjustRightInd w:val="0"/>
        <w:snapToGrid w:val="0"/>
        <w:spacing w:line="360" w:lineRule="auto"/>
        <w:ind w:firstLine="1080" w:firstLineChars="450"/>
        <w:rPr>
          <w:rFonts w:hint="default" w:ascii="Times New Roman" w:hAnsi="Times New Roman" w:eastAsia="宋体" w:cs="Times New Roman"/>
          <w:caps w:val="0"/>
          <w:smallCaps w:val="0"/>
          <w:color w:val="auto"/>
          <w:spacing w:val="0"/>
          <w:w w:val="100"/>
          <w:position w:val="0"/>
          <w:sz w:val="24"/>
          <w:u w:val="none" w:color="auto"/>
        </w:rPr>
      </w:pPr>
      <w:r>
        <w:rPr>
          <w:rFonts w:hint="default" w:ascii="Times New Roman" w:hAnsi="Times New Roman" w:eastAsia="宋体" w:cs="Times New Roman"/>
          <w:caps w:val="0"/>
          <w:smallCaps w:val="0"/>
          <w:color w:val="auto"/>
          <w:spacing w:val="0"/>
          <w:w w:val="100"/>
          <w:position w:val="0"/>
          <w:sz w:val="24"/>
          <w:u w:val="none" w:color="auto"/>
        </w:rPr>
        <w:t>式中：</w:t>
      </w:r>
      <w:r>
        <w:rPr>
          <w:rFonts w:hint="default" w:ascii="Times New Roman" w:hAnsi="Times New Roman" w:eastAsia="宋体" w:cs="Times New Roman"/>
          <w:i/>
          <w:caps w:val="0"/>
          <w:smallCaps w:val="0"/>
          <w:color w:val="auto"/>
          <w:spacing w:val="0"/>
          <w:w w:val="100"/>
          <w:position w:val="0"/>
          <w:sz w:val="24"/>
          <w:u w:val="none" w:color="auto"/>
        </w:rPr>
        <w:t>P</w:t>
      </w:r>
      <w:r>
        <w:rPr>
          <w:rFonts w:hint="default" w:ascii="Times New Roman" w:hAnsi="Times New Roman" w:eastAsia="宋体" w:cs="Times New Roman"/>
          <w:i/>
          <w:caps w:val="0"/>
          <w:smallCaps w:val="0"/>
          <w:color w:val="auto"/>
          <w:spacing w:val="0"/>
          <w:w w:val="100"/>
          <w:position w:val="0"/>
          <w:sz w:val="24"/>
          <w:u w:val="none" w:color="auto"/>
          <w:vertAlign w:val="subscript"/>
        </w:rPr>
        <w:t>p</w:t>
      </w:r>
      <w:r>
        <w:rPr>
          <w:rFonts w:hint="default" w:ascii="Times New Roman" w:hAnsi="Times New Roman" w:eastAsia="宋体" w:cs="Times New Roman"/>
          <w:caps w:val="0"/>
          <w:smallCaps w:val="0"/>
          <w:color w:val="auto"/>
          <w:spacing w:val="0"/>
          <w:w w:val="100"/>
          <w:position w:val="0"/>
          <w:sz w:val="24"/>
          <w:u w:val="none" w:color="auto"/>
          <w:vertAlign w:val="subscript"/>
        </w:rPr>
        <w:t>H</w:t>
      </w:r>
      <w:r>
        <w:rPr>
          <w:rFonts w:hint="default" w:ascii="Times New Roman" w:hAnsi="Times New Roman" w:eastAsia="宋体" w:cs="Times New Roman"/>
          <w:caps w:val="0"/>
          <w:smallCaps w:val="0"/>
          <w:color w:val="auto"/>
          <w:spacing w:val="0"/>
          <w:w w:val="100"/>
          <w:position w:val="0"/>
          <w:sz w:val="24"/>
          <w:u w:val="none" w:color="auto"/>
        </w:rPr>
        <w:t>——pH的标准指数，无量纲；</w:t>
      </w:r>
    </w:p>
    <w:p w14:paraId="2901F31E">
      <w:pPr>
        <w:pageBreakBefore w:val="0"/>
        <w:kinsoku w:val="0"/>
        <w:wordWrap w:val="0"/>
        <w:overflowPunct/>
        <w:topLinePunct/>
        <w:autoSpaceDE/>
        <w:autoSpaceDN/>
        <w:bidi w:val="0"/>
        <w:adjustRightInd w:val="0"/>
        <w:snapToGrid w:val="0"/>
        <w:spacing w:line="360" w:lineRule="auto"/>
        <w:ind w:firstLine="1800" w:firstLineChars="750"/>
        <w:rPr>
          <w:rFonts w:hint="default" w:ascii="Times New Roman" w:hAnsi="Times New Roman" w:eastAsia="宋体" w:cs="Times New Roman"/>
          <w:caps w:val="0"/>
          <w:smallCaps w:val="0"/>
          <w:color w:val="auto"/>
          <w:spacing w:val="0"/>
          <w:w w:val="100"/>
          <w:position w:val="0"/>
          <w:sz w:val="24"/>
          <w:u w:val="none" w:color="auto"/>
        </w:rPr>
      </w:pPr>
      <w:r>
        <w:rPr>
          <w:rFonts w:hint="default" w:ascii="Times New Roman" w:hAnsi="Times New Roman" w:eastAsia="宋体" w:cs="Times New Roman"/>
          <w:i/>
          <w:caps w:val="0"/>
          <w:smallCaps w:val="0"/>
          <w:color w:val="auto"/>
          <w:spacing w:val="0"/>
          <w:w w:val="100"/>
          <w:position w:val="0"/>
          <w:sz w:val="24"/>
          <w:u w:val="none" w:color="auto"/>
        </w:rPr>
        <w:t>pH</w:t>
      </w:r>
      <w:r>
        <w:rPr>
          <w:rFonts w:hint="default" w:ascii="Times New Roman" w:hAnsi="Times New Roman" w:eastAsia="宋体" w:cs="Times New Roman"/>
          <w:caps w:val="0"/>
          <w:smallCaps w:val="0"/>
          <w:color w:val="auto"/>
          <w:spacing w:val="0"/>
          <w:w w:val="100"/>
          <w:position w:val="0"/>
          <w:sz w:val="24"/>
          <w:u w:val="none" w:color="auto"/>
        </w:rPr>
        <w:t>——pH测量值；</w:t>
      </w:r>
    </w:p>
    <w:p w14:paraId="0DFC832A">
      <w:pPr>
        <w:pageBreakBefore w:val="0"/>
        <w:kinsoku w:val="0"/>
        <w:wordWrap w:val="0"/>
        <w:overflowPunct/>
        <w:topLinePunct/>
        <w:autoSpaceDE/>
        <w:autoSpaceDN/>
        <w:bidi w:val="0"/>
        <w:adjustRightInd w:val="0"/>
        <w:snapToGrid w:val="0"/>
        <w:spacing w:line="360" w:lineRule="auto"/>
        <w:ind w:firstLine="1800" w:firstLineChars="750"/>
        <w:rPr>
          <w:rFonts w:hint="default" w:ascii="Times New Roman" w:hAnsi="Times New Roman" w:eastAsia="宋体" w:cs="Times New Roman"/>
          <w:caps w:val="0"/>
          <w:smallCaps w:val="0"/>
          <w:color w:val="auto"/>
          <w:spacing w:val="0"/>
          <w:w w:val="100"/>
          <w:position w:val="0"/>
          <w:sz w:val="24"/>
          <w:u w:val="none" w:color="auto"/>
        </w:rPr>
      </w:pPr>
      <w:r>
        <w:rPr>
          <w:rFonts w:hint="default" w:ascii="Times New Roman" w:hAnsi="Times New Roman" w:eastAsia="宋体" w:cs="Times New Roman"/>
          <w:i/>
          <w:caps w:val="0"/>
          <w:smallCaps w:val="0"/>
          <w:color w:val="auto"/>
          <w:spacing w:val="0"/>
          <w:w w:val="100"/>
          <w:position w:val="0"/>
          <w:sz w:val="24"/>
          <w:u w:val="none" w:color="auto"/>
        </w:rPr>
        <w:t>pH</w:t>
      </w:r>
      <w:r>
        <w:rPr>
          <w:rFonts w:hint="default" w:ascii="Times New Roman" w:hAnsi="Times New Roman" w:eastAsia="宋体" w:cs="Times New Roman"/>
          <w:i/>
          <w:caps w:val="0"/>
          <w:smallCaps w:val="0"/>
          <w:color w:val="auto"/>
          <w:spacing w:val="0"/>
          <w:w w:val="100"/>
          <w:position w:val="0"/>
          <w:sz w:val="24"/>
          <w:u w:val="none" w:color="auto"/>
          <w:vertAlign w:val="subscript"/>
        </w:rPr>
        <w:t>su</w:t>
      </w:r>
      <w:r>
        <w:rPr>
          <w:rFonts w:hint="default" w:ascii="Times New Roman" w:hAnsi="Times New Roman" w:eastAsia="宋体" w:cs="Times New Roman"/>
          <w:caps w:val="0"/>
          <w:smallCaps w:val="0"/>
          <w:color w:val="auto"/>
          <w:spacing w:val="0"/>
          <w:w w:val="100"/>
          <w:position w:val="0"/>
          <w:sz w:val="24"/>
          <w:u w:val="none" w:color="auto"/>
        </w:rPr>
        <w:t>——标准中pH的上限值；</w:t>
      </w:r>
    </w:p>
    <w:p w14:paraId="77DF2A8F">
      <w:pPr>
        <w:pageBreakBefore w:val="0"/>
        <w:kinsoku w:val="0"/>
        <w:wordWrap w:val="0"/>
        <w:overflowPunct/>
        <w:topLinePunct/>
        <w:autoSpaceDE/>
        <w:autoSpaceDN/>
        <w:bidi w:val="0"/>
        <w:adjustRightInd w:val="0"/>
        <w:snapToGrid w:val="0"/>
        <w:spacing w:line="360" w:lineRule="auto"/>
        <w:ind w:firstLine="1800" w:firstLineChars="750"/>
        <w:rPr>
          <w:rFonts w:hint="default" w:ascii="Times New Roman" w:hAnsi="Times New Roman" w:eastAsia="宋体" w:cs="Times New Roman"/>
          <w:caps w:val="0"/>
          <w:smallCaps w:val="0"/>
          <w:color w:val="auto"/>
          <w:spacing w:val="0"/>
          <w:w w:val="100"/>
          <w:position w:val="0"/>
          <w:sz w:val="24"/>
          <w:u w:val="none" w:color="auto"/>
        </w:rPr>
      </w:pPr>
      <w:r>
        <w:rPr>
          <w:rFonts w:hint="default" w:ascii="Times New Roman" w:hAnsi="Times New Roman" w:eastAsia="宋体" w:cs="Times New Roman"/>
          <w:i/>
          <w:caps w:val="0"/>
          <w:smallCaps w:val="0"/>
          <w:color w:val="auto"/>
          <w:spacing w:val="0"/>
          <w:w w:val="100"/>
          <w:position w:val="0"/>
          <w:sz w:val="24"/>
          <w:u w:val="none" w:color="auto"/>
        </w:rPr>
        <w:t>pH</w:t>
      </w:r>
      <w:r>
        <w:rPr>
          <w:rFonts w:hint="default" w:ascii="Times New Roman" w:hAnsi="Times New Roman" w:eastAsia="宋体" w:cs="Times New Roman"/>
          <w:i/>
          <w:caps w:val="0"/>
          <w:smallCaps w:val="0"/>
          <w:color w:val="auto"/>
          <w:spacing w:val="0"/>
          <w:w w:val="100"/>
          <w:position w:val="0"/>
          <w:sz w:val="24"/>
          <w:u w:val="none" w:color="auto"/>
          <w:vertAlign w:val="subscript"/>
        </w:rPr>
        <w:t>sd</w:t>
      </w:r>
      <w:r>
        <w:rPr>
          <w:rFonts w:hint="default" w:ascii="Times New Roman" w:hAnsi="Times New Roman" w:eastAsia="宋体" w:cs="Times New Roman"/>
          <w:caps w:val="0"/>
          <w:smallCaps w:val="0"/>
          <w:color w:val="auto"/>
          <w:spacing w:val="0"/>
          <w:w w:val="100"/>
          <w:position w:val="0"/>
          <w:sz w:val="24"/>
          <w:u w:val="none" w:color="auto"/>
        </w:rPr>
        <w:t>——标准中pH的下限值。</w:t>
      </w:r>
    </w:p>
    <w:p w14:paraId="2504262A">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position w:val="0"/>
          <w:sz w:val="24"/>
          <w:u w:val="none" w:color="auto"/>
        </w:rPr>
      </w:pPr>
      <w:r>
        <w:rPr>
          <w:rFonts w:hint="default" w:ascii="Times New Roman" w:hAnsi="Times New Roman" w:eastAsia="宋体" w:cs="Times New Roman"/>
          <w:caps w:val="0"/>
          <w:smallCaps w:val="0"/>
          <w:color w:val="auto"/>
          <w:spacing w:val="0"/>
          <w:w w:val="100"/>
          <w:position w:val="0"/>
          <w:sz w:val="24"/>
          <w:u w:val="none" w:color="auto"/>
        </w:rPr>
        <w:t>标准指数&gt;1，表明该水质因子已超标，标准指数越大，超标越严重。对于未检出的各指标，其监测值取检出限的一半进行评价。</w:t>
      </w:r>
    </w:p>
    <w:p w14:paraId="5793D9D1">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7、监测及评价结果</w:t>
      </w:r>
    </w:p>
    <w:p w14:paraId="75DD4901">
      <w:pPr>
        <w:keepNext w:val="0"/>
        <w:keepLines w:val="0"/>
        <w:pageBreakBefore w:val="0"/>
        <w:widowControl w:val="0"/>
        <w:kinsoku w:val="0"/>
        <w:wordWrap w:val="0"/>
        <w:overflowPunct/>
        <w:topLinePunct/>
        <w:autoSpaceDE/>
        <w:autoSpaceDN/>
        <w:bidi w:val="0"/>
        <w:adjustRightInd/>
        <w:snapToGrid/>
        <w:spacing w:before="164" w:beforeLines="50"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4"/>
          <w:u w:val="none" w:color="auto"/>
          <w:lang w:eastAsia="zh-CN"/>
        </w:rPr>
      </w:pPr>
      <w:r>
        <w:rPr>
          <w:rFonts w:hint="default" w:ascii="Times New Roman" w:hAnsi="Times New Roman" w:eastAsia="宋体" w:cs="Times New Roman"/>
          <w:caps w:val="0"/>
          <w:smallCaps w:val="0"/>
          <w:color w:val="auto"/>
          <w:spacing w:val="0"/>
          <w:w w:val="100"/>
          <w:position w:val="0"/>
          <w:sz w:val="24"/>
          <w:szCs w:val="24"/>
          <w:u w:val="none" w:color="auto"/>
          <w:lang w:eastAsia="zh-CN"/>
        </w:rPr>
        <w:t>地</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下</w:t>
      </w:r>
      <w:r>
        <w:rPr>
          <w:rFonts w:hint="default" w:ascii="Times New Roman" w:hAnsi="Times New Roman" w:eastAsia="宋体" w:cs="Times New Roman"/>
          <w:caps w:val="0"/>
          <w:smallCaps w:val="0"/>
          <w:color w:val="auto"/>
          <w:spacing w:val="0"/>
          <w:w w:val="100"/>
          <w:position w:val="0"/>
          <w:sz w:val="24"/>
          <w:szCs w:val="24"/>
          <w:u w:val="none" w:color="auto"/>
          <w:lang w:eastAsia="zh-CN"/>
        </w:rPr>
        <w:t>水</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水文参数见表3.2-10，地下水</w:t>
      </w:r>
      <w:r>
        <w:rPr>
          <w:rFonts w:hint="default" w:ascii="Times New Roman" w:hAnsi="Times New Roman" w:eastAsia="宋体" w:cs="Times New Roman"/>
          <w:caps w:val="0"/>
          <w:smallCaps w:val="0"/>
          <w:color w:val="auto"/>
          <w:spacing w:val="0"/>
          <w:w w:val="100"/>
          <w:position w:val="0"/>
          <w:sz w:val="24"/>
          <w:szCs w:val="24"/>
          <w:u w:val="none" w:color="auto"/>
          <w:lang w:eastAsia="zh-CN"/>
        </w:rPr>
        <w:t>环境</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质量</w:t>
      </w:r>
      <w:r>
        <w:rPr>
          <w:rFonts w:hint="default" w:ascii="Times New Roman" w:hAnsi="Times New Roman" w:eastAsia="宋体" w:cs="Times New Roman"/>
          <w:caps w:val="0"/>
          <w:smallCaps w:val="0"/>
          <w:color w:val="auto"/>
          <w:spacing w:val="0"/>
          <w:w w:val="100"/>
          <w:position w:val="0"/>
          <w:sz w:val="24"/>
          <w:szCs w:val="24"/>
          <w:u w:val="none" w:color="auto"/>
          <w:lang w:eastAsia="zh-CN"/>
        </w:rPr>
        <w:t>现状监测结果与评价结果见表3</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.2</w:t>
      </w:r>
      <w:r>
        <w:rPr>
          <w:rFonts w:hint="default" w:ascii="Times New Roman" w:hAnsi="Times New Roman" w:eastAsia="宋体" w:cs="Times New Roman"/>
          <w:caps w:val="0"/>
          <w:smallCaps w:val="0"/>
          <w:color w:val="auto"/>
          <w:spacing w:val="0"/>
          <w:w w:val="100"/>
          <w:position w:val="0"/>
          <w:sz w:val="24"/>
          <w:szCs w:val="24"/>
          <w:u w:val="none" w:color="auto"/>
          <w:lang w:eastAsia="zh-CN"/>
        </w:rPr>
        <w:t>-</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11</w:t>
      </w:r>
      <w:r>
        <w:rPr>
          <w:rFonts w:hint="default" w:ascii="Times New Roman" w:hAnsi="Times New Roman" w:eastAsia="宋体" w:cs="Times New Roman"/>
          <w:caps w:val="0"/>
          <w:smallCaps w:val="0"/>
          <w:color w:val="auto"/>
          <w:spacing w:val="0"/>
          <w:w w:val="100"/>
          <w:position w:val="0"/>
          <w:sz w:val="24"/>
          <w:szCs w:val="24"/>
          <w:u w:val="none" w:color="auto"/>
          <w:lang w:eastAsia="zh-CN"/>
        </w:rPr>
        <w:t>。</w:t>
      </w:r>
    </w:p>
    <w:p w14:paraId="212C53A1">
      <w:pPr>
        <w:keepNext w:val="0"/>
        <w:keepLines w:val="0"/>
        <w:pageBreakBefore w:val="0"/>
        <w:widowControl w:val="0"/>
        <w:kinsoku w:val="0"/>
        <w:wordWrap w:val="0"/>
        <w:overflowPunct/>
        <w:topLinePunct/>
        <w:autoSpaceDE/>
        <w:autoSpaceDN/>
        <w:bidi w:val="0"/>
        <w:adjustRightInd/>
        <w:snapToGrid/>
        <w:spacing w:before="0" w:beforeLines="50" w:line="360" w:lineRule="auto"/>
        <w:jc w:val="center"/>
        <w:textAlignment w:val="auto"/>
        <w:rPr>
          <w:rFonts w:hint="default" w:ascii="Times New Roman" w:hAnsi="Times New Roman" w:eastAsia="宋体" w:cs="Times New Roman"/>
          <w:b/>
          <w:caps w:val="0"/>
          <w:smallCaps w:val="0"/>
          <w:color w:val="auto"/>
          <w:spacing w:val="0"/>
          <w:w w:val="100"/>
          <w:position w:val="0"/>
          <w:szCs w:val="21"/>
          <w:u w:val="none" w:color="auto"/>
          <w:lang w:val="en-US" w:eastAsia="zh-CN"/>
        </w:rPr>
      </w:pPr>
      <w:r>
        <w:rPr>
          <w:rFonts w:hint="default" w:ascii="Times New Roman" w:hAnsi="Times New Roman" w:eastAsia="宋体" w:cs="Times New Roman"/>
          <w:b/>
          <w:caps w:val="0"/>
          <w:smallCaps w:val="0"/>
          <w:color w:val="auto"/>
          <w:spacing w:val="0"/>
          <w:w w:val="100"/>
          <w:position w:val="0"/>
          <w:szCs w:val="21"/>
          <w:u w:val="none" w:color="auto"/>
          <w:lang w:val="en-US" w:eastAsia="zh-CN"/>
        </w:rPr>
        <w:t>表</w:t>
      </w:r>
      <w:r>
        <w:rPr>
          <w:rFonts w:hint="default" w:ascii="Times New Roman" w:hAnsi="Times New Roman" w:eastAsia="宋体" w:cs="Times New Roman"/>
          <w:b/>
          <w:caps w:val="0"/>
          <w:smallCaps w:val="0"/>
          <w:color w:val="auto"/>
          <w:spacing w:val="0"/>
          <w:w w:val="100"/>
          <w:position w:val="0"/>
          <w:szCs w:val="21"/>
          <w:u w:val="none" w:color="auto"/>
        </w:rPr>
        <w:t>3</w:t>
      </w:r>
      <w:r>
        <w:rPr>
          <w:rFonts w:hint="default" w:ascii="Times New Roman" w:hAnsi="Times New Roman" w:eastAsia="宋体" w:cs="Times New Roman"/>
          <w:b/>
          <w:caps w:val="0"/>
          <w:smallCaps w:val="0"/>
          <w:color w:val="auto"/>
          <w:spacing w:val="0"/>
          <w:w w:val="100"/>
          <w:position w:val="0"/>
          <w:szCs w:val="21"/>
          <w:u w:val="none" w:color="auto"/>
          <w:lang w:val="en-US" w:eastAsia="zh-CN"/>
        </w:rPr>
        <w:t>.2</w:t>
      </w:r>
      <w:r>
        <w:rPr>
          <w:rFonts w:hint="default" w:ascii="Times New Roman" w:hAnsi="Times New Roman" w:eastAsia="宋体" w:cs="Times New Roman"/>
          <w:b/>
          <w:caps w:val="0"/>
          <w:smallCaps w:val="0"/>
          <w:color w:val="auto"/>
          <w:spacing w:val="0"/>
          <w:w w:val="100"/>
          <w:position w:val="0"/>
          <w:szCs w:val="21"/>
          <w:u w:val="none" w:color="auto"/>
        </w:rPr>
        <w:t>-</w:t>
      </w:r>
      <w:r>
        <w:rPr>
          <w:rFonts w:hint="default" w:ascii="Times New Roman" w:hAnsi="Times New Roman" w:eastAsia="宋体" w:cs="Times New Roman"/>
          <w:b/>
          <w:caps w:val="0"/>
          <w:smallCaps w:val="0"/>
          <w:color w:val="auto"/>
          <w:spacing w:val="0"/>
          <w:w w:val="100"/>
          <w:position w:val="0"/>
          <w:szCs w:val="21"/>
          <w:u w:val="none" w:color="auto"/>
          <w:lang w:val="en-US" w:eastAsia="zh-CN"/>
        </w:rPr>
        <w:t>10   地下水水文参数</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384"/>
        <w:gridCol w:w="3236"/>
        <w:gridCol w:w="1048"/>
        <w:gridCol w:w="2673"/>
      </w:tblGrid>
      <w:tr w14:paraId="0C2829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1426" w:type="dxa"/>
            <w:tcBorders>
              <w:tl2br w:val="nil"/>
              <w:tr2bl w:val="nil"/>
            </w:tcBorders>
            <w:noWrap w:val="0"/>
            <w:vAlign w:val="center"/>
          </w:tcPr>
          <w:p w14:paraId="33534D6F">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采样时间</w:t>
            </w:r>
          </w:p>
        </w:tc>
        <w:tc>
          <w:tcPr>
            <w:tcW w:w="3336" w:type="dxa"/>
            <w:tcBorders>
              <w:tl2br w:val="nil"/>
              <w:tr2bl w:val="nil"/>
            </w:tcBorders>
            <w:noWrap w:val="0"/>
            <w:vAlign w:val="center"/>
          </w:tcPr>
          <w:p w14:paraId="0772121F">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采样点位</w:t>
            </w:r>
          </w:p>
        </w:tc>
        <w:tc>
          <w:tcPr>
            <w:tcW w:w="1080" w:type="dxa"/>
            <w:tcBorders>
              <w:tl2br w:val="nil"/>
              <w:tr2bl w:val="nil"/>
            </w:tcBorders>
            <w:noWrap w:val="0"/>
            <w:vAlign w:val="center"/>
          </w:tcPr>
          <w:p w14:paraId="1FAA98D9">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检测项目</w:t>
            </w:r>
          </w:p>
        </w:tc>
        <w:tc>
          <w:tcPr>
            <w:tcW w:w="2755" w:type="dxa"/>
            <w:tcBorders>
              <w:tl2br w:val="nil"/>
              <w:tr2bl w:val="nil"/>
            </w:tcBorders>
            <w:noWrap w:val="0"/>
            <w:vAlign w:val="center"/>
          </w:tcPr>
          <w:p w14:paraId="15C5FFED">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检测结果（m）</w:t>
            </w:r>
          </w:p>
        </w:tc>
      </w:tr>
      <w:tr w14:paraId="714BA9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26" w:type="dxa"/>
            <w:vMerge w:val="restart"/>
            <w:tcBorders>
              <w:tl2br w:val="nil"/>
              <w:tr2bl w:val="nil"/>
            </w:tcBorders>
            <w:noWrap w:val="0"/>
            <w:vAlign w:val="center"/>
          </w:tcPr>
          <w:p w14:paraId="37FA24E6">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2024.05.08</w:t>
            </w:r>
          </w:p>
        </w:tc>
        <w:tc>
          <w:tcPr>
            <w:tcW w:w="3336" w:type="dxa"/>
            <w:tcBorders>
              <w:tl2br w:val="nil"/>
              <w:tr2bl w:val="nil"/>
            </w:tcBorders>
            <w:noWrap w:val="0"/>
            <w:vAlign w:val="center"/>
          </w:tcPr>
          <w:p w14:paraId="73C65E37">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D1坝址东侧约320m居民水井</w:t>
            </w:r>
          </w:p>
        </w:tc>
        <w:tc>
          <w:tcPr>
            <w:tcW w:w="1080" w:type="dxa"/>
            <w:tcBorders>
              <w:tl2br w:val="nil"/>
              <w:tr2bl w:val="nil"/>
            </w:tcBorders>
            <w:noWrap w:val="0"/>
            <w:vAlign w:val="center"/>
          </w:tcPr>
          <w:p w14:paraId="2FDAA8AF">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水位</w:t>
            </w:r>
          </w:p>
        </w:tc>
        <w:tc>
          <w:tcPr>
            <w:tcW w:w="2755" w:type="dxa"/>
            <w:tcBorders>
              <w:tl2br w:val="nil"/>
              <w:tr2bl w:val="nil"/>
            </w:tcBorders>
            <w:noWrap w:val="0"/>
            <w:vAlign w:val="center"/>
          </w:tcPr>
          <w:p w14:paraId="1DADD20D">
            <w:pPr>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45.6</w:t>
            </w:r>
          </w:p>
        </w:tc>
      </w:tr>
      <w:tr w14:paraId="2192AD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26" w:type="dxa"/>
            <w:vMerge w:val="continue"/>
            <w:tcBorders>
              <w:tl2br w:val="nil"/>
              <w:tr2bl w:val="nil"/>
            </w:tcBorders>
            <w:noWrap w:val="0"/>
            <w:vAlign w:val="center"/>
          </w:tcPr>
          <w:p w14:paraId="2F21B1D2">
            <w:pPr>
              <w:jc w:val="center"/>
              <w:rPr>
                <w:rFonts w:hint="default" w:ascii="Times New Roman" w:hAnsi="Times New Roman" w:eastAsia="宋体" w:cs="Times New Roman"/>
                <w:color w:val="000000"/>
                <w:kern w:val="2"/>
                <w:sz w:val="21"/>
                <w:szCs w:val="21"/>
                <w:lang w:val="en-US" w:eastAsia="zh-CN" w:bidi="ar-SA"/>
              </w:rPr>
            </w:pPr>
          </w:p>
        </w:tc>
        <w:tc>
          <w:tcPr>
            <w:tcW w:w="3336" w:type="dxa"/>
            <w:tcBorders>
              <w:tl2br w:val="nil"/>
              <w:tr2bl w:val="nil"/>
            </w:tcBorders>
            <w:noWrap w:val="0"/>
            <w:vAlign w:val="center"/>
          </w:tcPr>
          <w:p w14:paraId="62DCDCD9">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D2坝址南侧约20m水井</w:t>
            </w:r>
          </w:p>
        </w:tc>
        <w:tc>
          <w:tcPr>
            <w:tcW w:w="1080" w:type="dxa"/>
            <w:tcBorders>
              <w:tl2br w:val="nil"/>
              <w:tr2bl w:val="nil"/>
            </w:tcBorders>
            <w:noWrap w:val="0"/>
            <w:vAlign w:val="center"/>
          </w:tcPr>
          <w:p w14:paraId="49A5A152">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水位</w:t>
            </w:r>
          </w:p>
        </w:tc>
        <w:tc>
          <w:tcPr>
            <w:tcW w:w="2755" w:type="dxa"/>
            <w:tcBorders>
              <w:tl2br w:val="nil"/>
              <w:tr2bl w:val="nil"/>
            </w:tcBorders>
            <w:noWrap w:val="0"/>
            <w:vAlign w:val="center"/>
          </w:tcPr>
          <w:p w14:paraId="07DAE47E">
            <w:pPr>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43.9</w:t>
            </w:r>
          </w:p>
        </w:tc>
      </w:tr>
      <w:tr w14:paraId="70936D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26" w:type="dxa"/>
            <w:vMerge w:val="continue"/>
            <w:tcBorders>
              <w:tl2br w:val="nil"/>
              <w:tr2bl w:val="nil"/>
            </w:tcBorders>
            <w:noWrap w:val="0"/>
            <w:vAlign w:val="center"/>
          </w:tcPr>
          <w:p w14:paraId="20AC4933">
            <w:pPr>
              <w:jc w:val="center"/>
              <w:rPr>
                <w:rFonts w:hint="default" w:ascii="Times New Roman" w:hAnsi="Times New Roman" w:eastAsia="宋体" w:cs="Times New Roman"/>
                <w:color w:val="000000"/>
                <w:kern w:val="2"/>
                <w:sz w:val="21"/>
                <w:szCs w:val="21"/>
                <w:lang w:val="en-US" w:eastAsia="zh-CN" w:bidi="ar-SA"/>
              </w:rPr>
            </w:pPr>
          </w:p>
        </w:tc>
        <w:tc>
          <w:tcPr>
            <w:tcW w:w="3336" w:type="dxa"/>
            <w:tcBorders>
              <w:tl2br w:val="nil"/>
              <w:tr2bl w:val="nil"/>
            </w:tcBorders>
            <w:noWrap w:val="0"/>
            <w:vAlign w:val="center"/>
          </w:tcPr>
          <w:p w14:paraId="6BF4C5A6">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D3坝址西北侧约1400m居民水井</w:t>
            </w:r>
          </w:p>
        </w:tc>
        <w:tc>
          <w:tcPr>
            <w:tcW w:w="1080" w:type="dxa"/>
            <w:tcBorders>
              <w:tl2br w:val="nil"/>
              <w:tr2bl w:val="nil"/>
            </w:tcBorders>
            <w:noWrap w:val="0"/>
            <w:vAlign w:val="center"/>
          </w:tcPr>
          <w:p w14:paraId="36A9F25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水位</w:t>
            </w:r>
          </w:p>
        </w:tc>
        <w:tc>
          <w:tcPr>
            <w:tcW w:w="2755" w:type="dxa"/>
            <w:tcBorders>
              <w:tl2br w:val="nil"/>
              <w:tr2bl w:val="nil"/>
            </w:tcBorders>
            <w:noWrap w:val="0"/>
            <w:vAlign w:val="center"/>
          </w:tcPr>
          <w:p w14:paraId="3EE175E1">
            <w:pPr>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39.7</w:t>
            </w:r>
          </w:p>
        </w:tc>
      </w:tr>
      <w:tr w14:paraId="1C3484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26" w:type="dxa"/>
            <w:vMerge w:val="continue"/>
            <w:tcBorders>
              <w:tl2br w:val="nil"/>
              <w:tr2bl w:val="nil"/>
            </w:tcBorders>
            <w:noWrap w:val="0"/>
            <w:vAlign w:val="center"/>
          </w:tcPr>
          <w:p w14:paraId="47344E2C">
            <w:pPr>
              <w:jc w:val="center"/>
              <w:rPr>
                <w:rFonts w:hint="default" w:ascii="Times New Roman" w:hAnsi="Times New Roman" w:eastAsia="宋体" w:cs="Times New Roman"/>
                <w:color w:val="000000"/>
                <w:kern w:val="2"/>
                <w:sz w:val="21"/>
                <w:szCs w:val="21"/>
                <w:lang w:val="en-US" w:eastAsia="zh-CN" w:bidi="ar-SA"/>
              </w:rPr>
            </w:pPr>
          </w:p>
        </w:tc>
        <w:tc>
          <w:tcPr>
            <w:tcW w:w="3336" w:type="dxa"/>
            <w:tcBorders>
              <w:tl2br w:val="nil"/>
              <w:tr2bl w:val="nil"/>
            </w:tcBorders>
            <w:noWrap w:val="0"/>
            <w:vAlign w:val="center"/>
          </w:tcPr>
          <w:p w14:paraId="225FF36C">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D4坝址西南侧约1800m居民水井</w:t>
            </w:r>
          </w:p>
        </w:tc>
        <w:tc>
          <w:tcPr>
            <w:tcW w:w="1080" w:type="dxa"/>
            <w:tcBorders>
              <w:tl2br w:val="nil"/>
              <w:tr2bl w:val="nil"/>
            </w:tcBorders>
            <w:noWrap w:val="0"/>
            <w:vAlign w:val="center"/>
          </w:tcPr>
          <w:p w14:paraId="1920C62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水位</w:t>
            </w:r>
          </w:p>
        </w:tc>
        <w:tc>
          <w:tcPr>
            <w:tcW w:w="2755" w:type="dxa"/>
            <w:tcBorders>
              <w:tl2br w:val="nil"/>
              <w:tr2bl w:val="nil"/>
            </w:tcBorders>
            <w:noWrap w:val="0"/>
            <w:vAlign w:val="center"/>
          </w:tcPr>
          <w:p w14:paraId="441667C1">
            <w:pPr>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40.8</w:t>
            </w:r>
          </w:p>
        </w:tc>
      </w:tr>
      <w:tr w14:paraId="1650ED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26" w:type="dxa"/>
            <w:vMerge w:val="continue"/>
            <w:tcBorders>
              <w:tl2br w:val="nil"/>
              <w:tr2bl w:val="nil"/>
            </w:tcBorders>
            <w:noWrap w:val="0"/>
            <w:vAlign w:val="center"/>
          </w:tcPr>
          <w:p w14:paraId="032A5F78">
            <w:pPr>
              <w:jc w:val="center"/>
              <w:rPr>
                <w:rFonts w:hint="default" w:ascii="Times New Roman" w:hAnsi="Times New Roman" w:eastAsia="宋体" w:cs="Times New Roman"/>
                <w:sz w:val="21"/>
                <w:szCs w:val="21"/>
                <w:lang w:val="en-US" w:eastAsia="zh-CN"/>
              </w:rPr>
            </w:pPr>
          </w:p>
        </w:tc>
        <w:tc>
          <w:tcPr>
            <w:tcW w:w="3336" w:type="dxa"/>
            <w:tcBorders>
              <w:tl2br w:val="nil"/>
              <w:tr2bl w:val="nil"/>
            </w:tcBorders>
            <w:noWrap w:val="0"/>
            <w:vAlign w:val="center"/>
          </w:tcPr>
          <w:p w14:paraId="4716B785">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D5坝址西北侧约450m水井</w:t>
            </w:r>
          </w:p>
        </w:tc>
        <w:tc>
          <w:tcPr>
            <w:tcW w:w="1080" w:type="dxa"/>
            <w:tcBorders>
              <w:tl2br w:val="nil"/>
              <w:tr2bl w:val="nil"/>
            </w:tcBorders>
            <w:noWrap w:val="0"/>
            <w:vAlign w:val="center"/>
          </w:tcPr>
          <w:p w14:paraId="03F9C302">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水位</w:t>
            </w:r>
          </w:p>
        </w:tc>
        <w:tc>
          <w:tcPr>
            <w:tcW w:w="2755" w:type="dxa"/>
            <w:tcBorders>
              <w:tl2br w:val="nil"/>
              <w:tr2bl w:val="nil"/>
            </w:tcBorders>
            <w:noWrap w:val="0"/>
            <w:vAlign w:val="center"/>
          </w:tcPr>
          <w:p w14:paraId="3F734CA1">
            <w:pPr>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44.6</w:t>
            </w:r>
          </w:p>
        </w:tc>
      </w:tr>
      <w:tr w14:paraId="6FD7AE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26" w:type="dxa"/>
            <w:vMerge w:val="continue"/>
            <w:tcBorders>
              <w:tl2br w:val="nil"/>
              <w:tr2bl w:val="nil"/>
            </w:tcBorders>
            <w:noWrap w:val="0"/>
            <w:vAlign w:val="center"/>
          </w:tcPr>
          <w:p w14:paraId="65FA5BC5">
            <w:pPr>
              <w:jc w:val="center"/>
              <w:rPr>
                <w:rFonts w:hint="default" w:ascii="Times New Roman" w:hAnsi="Times New Roman" w:eastAsia="宋体" w:cs="Times New Roman"/>
                <w:sz w:val="21"/>
                <w:szCs w:val="21"/>
                <w:lang w:val="en-US" w:eastAsia="zh-CN"/>
              </w:rPr>
            </w:pPr>
          </w:p>
        </w:tc>
        <w:tc>
          <w:tcPr>
            <w:tcW w:w="3336" w:type="dxa"/>
            <w:tcBorders>
              <w:tl2br w:val="nil"/>
              <w:tr2bl w:val="nil"/>
            </w:tcBorders>
            <w:noWrap w:val="0"/>
            <w:vAlign w:val="center"/>
          </w:tcPr>
          <w:p w14:paraId="2C930C6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D6坝址西侧约1550m水井</w:t>
            </w:r>
          </w:p>
        </w:tc>
        <w:tc>
          <w:tcPr>
            <w:tcW w:w="1080" w:type="dxa"/>
            <w:tcBorders>
              <w:tl2br w:val="nil"/>
              <w:tr2bl w:val="nil"/>
            </w:tcBorders>
            <w:noWrap w:val="0"/>
            <w:vAlign w:val="center"/>
          </w:tcPr>
          <w:p w14:paraId="6DDDE3C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水位</w:t>
            </w:r>
          </w:p>
        </w:tc>
        <w:tc>
          <w:tcPr>
            <w:tcW w:w="2755" w:type="dxa"/>
            <w:tcBorders>
              <w:tl2br w:val="nil"/>
              <w:tr2bl w:val="nil"/>
            </w:tcBorders>
            <w:noWrap w:val="0"/>
            <w:vAlign w:val="center"/>
          </w:tcPr>
          <w:p w14:paraId="64C0C94B">
            <w:pPr>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42.7</w:t>
            </w:r>
          </w:p>
        </w:tc>
      </w:tr>
    </w:tbl>
    <w:p w14:paraId="05062159">
      <w:pPr>
        <w:keepNext w:val="0"/>
        <w:keepLines w:val="0"/>
        <w:pageBreakBefore w:val="0"/>
        <w:widowControl w:val="0"/>
        <w:kinsoku w:val="0"/>
        <w:wordWrap w:val="0"/>
        <w:overflowPunct/>
        <w:topLinePunct/>
        <w:autoSpaceDE/>
        <w:autoSpaceDN/>
        <w:bidi w:val="0"/>
        <w:adjustRightInd/>
        <w:snapToGrid/>
        <w:spacing w:before="0" w:beforeLines="50" w:line="360" w:lineRule="auto"/>
        <w:jc w:val="center"/>
        <w:textAlignment w:val="auto"/>
        <w:rPr>
          <w:rFonts w:hint="default" w:ascii="Times New Roman" w:hAnsi="Times New Roman" w:eastAsia="宋体" w:cs="Times New Roman"/>
          <w:b/>
          <w:caps w:val="0"/>
          <w:smallCaps w:val="0"/>
          <w:color w:val="auto"/>
          <w:spacing w:val="0"/>
          <w:w w:val="100"/>
          <w:position w:val="0"/>
          <w:szCs w:val="21"/>
          <w:u w:val="none" w:color="auto"/>
        </w:rPr>
      </w:pPr>
      <w:r>
        <w:rPr>
          <w:rFonts w:hint="default" w:ascii="Times New Roman" w:hAnsi="Times New Roman" w:eastAsia="宋体" w:cs="Times New Roman"/>
          <w:b/>
          <w:caps w:val="0"/>
          <w:smallCaps w:val="0"/>
          <w:color w:val="auto"/>
          <w:spacing w:val="0"/>
          <w:w w:val="100"/>
          <w:position w:val="0"/>
          <w:szCs w:val="21"/>
          <w:u w:val="none" w:color="auto"/>
        </w:rPr>
        <w:t>表3</w:t>
      </w:r>
      <w:r>
        <w:rPr>
          <w:rFonts w:hint="default" w:ascii="Times New Roman" w:hAnsi="Times New Roman" w:eastAsia="宋体" w:cs="Times New Roman"/>
          <w:b/>
          <w:caps w:val="0"/>
          <w:smallCaps w:val="0"/>
          <w:color w:val="auto"/>
          <w:spacing w:val="0"/>
          <w:w w:val="100"/>
          <w:position w:val="0"/>
          <w:szCs w:val="21"/>
          <w:u w:val="none" w:color="auto"/>
          <w:lang w:val="en-US" w:eastAsia="zh-CN"/>
        </w:rPr>
        <w:t>.2</w:t>
      </w:r>
      <w:r>
        <w:rPr>
          <w:rFonts w:hint="default" w:ascii="Times New Roman" w:hAnsi="Times New Roman" w:eastAsia="宋体" w:cs="Times New Roman"/>
          <w:b/>
          <w:caps w:val="0"/>
          <w:smallCaps w:val="0"/>
          <w:color w:val="auto"/>
          <w:spacing w:val="0"/>
          <w:w w:val="100"/>
          <w:position w:val="0"/>
          <w:szCs w:val="21"/>
          <w:u w:val="none" w:color="auto"/>
        </w:rPr>
        <w:t>-</w:t>
      </w:r>
      <w:r>
        <w:rPr>
          <w:rFonts w:hint="default" w:ascii="Times New Roman" w:hAnsi="Times New Roman" w:eastAsia="宋体" w:cs="Times New Roman"/>
          <w:b/>
          <w:caps w:val="0"/>
          <w:smallCaps w:val="0"/>
          <w:color w:val="auto"/>
          <w:spacing w:val="0"/>
          <w:w w:val="100"/>
          <w:position w:val="0"/>
          <w:szCs w:val="21"/>
          <w:u w:val="none" w:color="auto"/>
          <w:lang w:val="en-US" w:eastAsia="zh-CN"/>
        </w:rPr>
        <w:t>11   地下水</w:t>
      </w:r>
      <w:r>
        <w:rPr>
          <w:rFonts w:hint="default" w:ascii="Times New Roman" w:hAnsi="Times New Roman" w:eastAsia="宋体" w:cs="Times New Roman"/>
          <w:b/>
          <w:caps w:val="0"/>
          <w:smallCaps w:val="0"/>
          <w:color w:val="auto"/>
          <w:spacing w:val="0"/>
          <w:w w:val="100"/>
          <w:position w:val="0"/>
          <w:szCs w:val="21"/>
          <w:u w:val="none" w:color="auto"/>
          <w:lang w:eastAsia="zh-CN"/>
        </w:rPr>
        <w:t>环境</w:t>
      </w:r>
      <w:r>
        <w:rPr>
          <w:rFonts w:hint="default" w:ascii="Times New Roman" w:hAnsi="Times New Roman" w:eastAsia="宋体" w:cs="Times New Roman"/>
          <w:b/>
          <w:caps w:val="0"/>
          <w:smallCaps w:val="0"/>
          <w:color w:val="auto"/>
          <w:spacing w:val="0"/>
          <w:w w:val="100"/>
          <w:position w:val="0"/>
          <w:szCs w:val="21"/>
          <w:u w:val="none" w:color="auto"/>
          <w:lang w:val="en-US" w:eastAsia="zh-CN"/>
        </w:rPr>
        <w:t>质量</w:t>
      </w:r>
      <w:r>
        <w:rPr>
          <w:rFonts w:hint="default" w:ascii="Times New Roman" w:hAnsi="Times New Roman" w:eastAsia="宋体" w:cs="Times New Roman"/>
          <w:b/>
          <w:caps w:val="0"/>
          <w:smallCaps w:val="0"/>
          <w:color w:val="auto"/>
          <w:spacing w:val="0"/>
          <w:w w:val="100"/>
          <w:position w:val="0"/>
          <w:szCs w:val="21"/>
          <w:u w:val="none" w:color="auto"/>
          <w:lang w:eastAsia="zh-CN"/>
        </w:rPr>
        <w:t>现状监测结果与评价结果</w:t>
      </w:r>
      <w:r>
        <w:rPr>
          <w:rFonts w:hint="default" w:ascii="Times New Roman" w:hAnsi="Times New Roman" w:eastAsia="宋体" w:cs="Times New Roman"/>
          <w:b/>
          <w:caps w:val="0"/>
          <w:smallCaps w:val="0"/>
          <w:color w:val="auto"/>
          <w:spacing w:val="0"/>
          <w:w w:val="100"/>
          <w:position w:val="0"/>
          <w:szCs w:val="21"/>
          <w:u w:val="none" w:color="auto"/>
        </w:rPr>
        <w:t>表</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551"/>
        <w:gridCol w:w="808"/>
        <w:gridCol w:w="1218"/>
        <w:gridCol w:w="1281"/>
        <w:gridCol w:w="1231"/>
        <w:gridCol w:w="896"/>
        <w:gridCol w:w="673"/>
        <w:gridCol w:w="684"/>
      </w:tblGrid>
      <w:tr w14:paraId="1F316E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930" w:type="pct"/>
            <w:vMerge w:val="restart"/>
            <w:tcBorders>
              <w:tl2br w:val="nil"/>
              <w:tr2bl w:val="nil"/>
            </w:tcBorders>
            <w:noWrap w:val="0"/>
            <w:vAlign w:val="center"/>
          </w:tcPr>
          <w:p w14:paraId="7A577FB7">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检测项目</w:t>
            </w:r>
          </w:p>
        </w:tc>
        <w:tc>
          <w:tcPr>
            <w:tcW w:w="484" w:type="pct"/>
            <w:vMerge w:val="restart"/>
            <w:tcBorders>
              <w:tl2br w:val="nil"/>
              <w:tr2bl w:val="nil"/>
            </w:tcBorders>
            <w:noWrap w:val="0"/>
            <w:vAlign w:val="center"/>
          </w:tcPr>
          <w:p w14:paraId="6DB47A74">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单位</w:t>
            </w:r>
          </w:p>
        </w:tc>
        <w:tc>
          <w:tcPr>
            <w:tcW w:w="2236" w:type="pct"/>
            <w:gridSpan w:val="3"/>
            <w:tcBorders>
              <w:tl2br w:val="nil"/>
              <w:tr2bl w:val="nil"/>
            </w:tcBorders>
            <w:noWrap w:val="0"/>
            <w:vAlign w:val="center"/>
          </w:tcPr>
          <w:p w14:paraId="2ED5A7E5">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采样点位及检测结果</w:t>
            </w:r>
          </w:p>
        </w:tc>
        <w:tc>
          <w:tcPr>
            <w:tcW w:w="537" w:type="pct"/>
            <w:vMerge w:val="restart"/>
            <w:tcBorders>
              <w:tl2br w:val="nil"/>
              <w:tr2bl w:val="nil"/>
            </w:tcBorders>
            <w:noWrap w:val="0"/>
            <w:vAlign w:val="center"/>
          </w:tcPr>
          <w:p w14:paraId="401C2929">
            <w:pPr>
              <w:widowControl/>
              <w:jc w:val="center"/>
              <w:textAlignment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color w:val="auto"/>
                <w:spacing w:val="0"/>
                <w:w w:val="100"/>
                <w:position w:val="0"/>
                <w:sz w:val="21"/>
                <w:szCs w:val="21"/>
                <w:u w:val="none" w:color="auto"/>
                <w:lang w:val="en-US" w:eastAsia="zh-CN"/>
              </w:rPr>
              <w:t>III类标准</w:t>
            </w:r>
            <w:r>
              <w:rPr>
                <w:rFonts w:hint="default" w:ascii="Times New Roman" w:hAnsi="Times New Roman" w:eastAsia="宋体" w:cs="Times New Roman"/>
                <w:b/>
                <w:bCs/>
                <w:color w:val="auto"/>
                <w:spacing w:val="0"/>
                <w:w w:val="100"/>
                <w:position w:val="0"/>
                <w:sz w:val="21"/>
                <w:szCs w:val="21"/>
                <w:u w:val="none" w:color="auto"/>
                <w:lang w:eastAsia="zh-CN"/>
              </w:rPr>
              <w:t>限值</w:t>
            </w:r>
          </w:p>
        </w:tc>
        <w:tc>
          <w:tcPr>
            <w:tcW w:w="403" w:type="pct"/>
            <w:vMerge w:val="restart"/>
            <w:tcBorders>
              <w:tl2br w:val="nil"/>
              <w:tr2bl w:val="nil"/>
            </w:tcBorders>
            <w:noWrap w:val="0"/>
            <w:vAlign w:val="center"/>
          </w:tcPr>
          <w:p w14:paraId="0145E11C">
            <w:pPr>
              <w:widowControl/>
              <w:spacing w:beforeLines="10" w:afterLines="10"/>
              <w:jc w:val="center"/>
              <w:textAlignment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color w:val="auto"/>
                <w:spacing w:val="0"/>
                <w:w w:val="100"/>
                <w:position w:val="0"/>
                <w:sz w:val="21"/>
                <w:szCs w:val="21"/>
                <w:u w:val="none" w:color="auto"/>
                <w:lang w:val="en-US" w:eastAsia="zh-CN" w:bidi="ar-SA"/>
              </w:rPr>
              <w:t>最大标准指数</w:t>
            </w:r>
          </w:p>
        </w:tc>
        <w:tc>
          <w:tcPr>
            <w:tcW w:w="407" w:type="pct"/>
            <w:vMerge w:val="restart"/>
            <w:tcBorders>
              <w:tl2br w:val="nil"/>
              <w:tr2bl w:val="nil"/>
            </w:tcBorders>
            <w:noWrap w:val="0"/>
            <w:vAlign w:val="center"/>
          </w:tcPr>
          <w:p w14:paraId="78237B2C">
            <w:pPr>
              <w:widowControl/>
              <w:spacing w:beforeLines="10" w:afterLines="10"/>
              <w:jc w:val="center"/>
              <w:textAlignment w:val="center"/>
              <w:rPr>
                <w:rFonts w:hint="default" w:ascii="Times New Roman" w:hAnsi="Times New Roman" w:eastAsia="宋体" w:cs="Times New Roman"/>
                <w:b/>
                <w:bCs/>
                <w:color w:val="auto"/>
                <w:spacing w:val="0"/>
                <w:w w:val="100"/>
                <w:position w:val="0"/>
                <w:sz w:val="21"/>
                <w:szCs w:val="21"/>
                <w:u w:val="none" w:color="auto"/>
                <w:lang w:val="en-US" w:eastAsia="zh-CN" w:bidi="ar-SA"/>
              </w:rPr>
            </w:pPr>
            <w:r>
              <w:rPr>
                <w:rFonts w:hint="default" w:ascii="Times New Roman" w:hAnsi="Times New Roman" w:eastAsia="宋体" w:cs="Times New Roman"/>
                <w:b/>
                <w:bCs/>
                <w:color w:val="auto"/>
                <w:spacing w:val="0"/>
                <w:w w:val="100"/>
                <w:position w:val="0"/>
                <w:sz w:val="21"/>
                <w:szCs w:val="21"/>
                <w:u w:val="none" w:color="auto"/>
                <w:lang w:val="en-US" w:eastAsia="zh-CN" w:bidi="ar-SA"/>
              </w:rPr>
              <w:t>达标</w:t>
            </w:r>
          </w:p>
          <w:p w14:paraId="37A11A48">
            <w:pPr>
              <w:widowControl/>
              <w:spacing w:beforeLines="10" w:afterLines="10"/>
              <w:jc w:val="center"/>
              <w:textAlignment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color w:val="auto"/>
                <w:spacing w:val="0"/>
                <w:w w:val="100"/>
                <w:position w:val="0"/>
                <w:sz w:val="21"/>
                <w:szCs w:val="21"/>
                <w:u w:val="none" w:color="auto"/>
                <w:lang w:val="en-US" w:eastAsia="zh-CN" w:bidi="ar-SA"/>
              </w:rPr>
              <w:t>情况</w:t>
            </w:r>
          </w:p>
        </w:tc>
      </w:tr>
      <w:tr w14:paraId="5A323D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930" w:type="pct"/>
            <w:vMerge w:val="continue"/>
            <w:tcBorders>
              <w:tl2br w:val="nil"/>
              <w:tr2bl w:val="nil"/>
            </w:tcBorders>
            <w:noWrap w:val="0"/>
            <w:vAlign w:val="center"/>
          </w:tcPr>
          <w:p w14:paraId="036F5E60">
            <w:pPr>
              <w:jc w:val="center"/>
              <w:rPr>
                <w:rFonts w:hint="default" w:ascii="Times New Roman" w:hAnsi="Times New Roman" w:eastAsia="宋体" w:cs="Times New Roman"/>
                <w:sz w:val="21"/>
                <w:szCs w:val="21"/>
              </w:rPr>
            </w:pPr>
          </w:p>
        </w:tc>
        <w:tc>
          <w:tcPr>
            <w:tcW w:w="484" w:type="pct"/>
            <w:vMerge w:val="continue"/>
            <w:tcBorders>
              <w:tl2br w:val="nil"/>
              <w:tr2bl w:val="nil"/>
            </w:tcBorders>
            <w:noWrap w:val="0"/>
            <w:vAlign w:val="center"/>
          </w:tcPr>
          <w:p w14:paraId="1BA715C7">
            <w:pPr>
              <w:jc w:val="center"/>
              <w:rPr>
                <w:rFonts w:hint="default" w:ascii="Times New Roman" w:hAnsi="Times New Roman" w:eastAsia="宋体" w:cs="Times New Roman"/>
                <w:sz w:val="21"/>
                <w:szCs w:val="21"/>
              </w:rPr>
            </w:pPr>
          </w:p>
        </w:tc>
        <w:tc>
          <w:tcPr>
            <w:tcW w:w="730" w:type="pct"/>
            <w:tcBorders>
              <w:tl2br w:val="nil"/>
              <w:tr2bl w:val="nil"/>
            </w:tcBorders>
            <w:noWrap w:val="0"/>
            <w:vAlign w:val="center"/>
          </w:tcPr>
          <w:p w14:paraId="582B85F9">
            <w:pPr>
              <w:pStyle w:val="116"/>
              <w:rPr>
                <w:rFonts w:hint="default" w:ascii="Times New Roman" w:hAnsi="Times New Roman" w:eastAsia="宋体" w:cs="Times New Roman"/>
                <w:b/>
                <w:bCs/>
                <w:snapToGrid/>
                <w:color w:val="000000"/>
                <w:kern w:val="2"/>
                <w:sz w:val="21"/>
                <w:szCs w:val="21"/>
                <w:lang w:val="en-US" w:eastAsia="zh-CN" w:bidi="ar-SA"/>
              </w:rPr>
            </w:pPr>
            <w:r>
              <w:rPr>
                <w:rFonts w:hint="default" w:ascii="Times New Roman" w:hAnsi="Times New Roman" w:eastAsia="宋体" w:cs="Times New Roman"/>
                <w:b/>
                <w:bCs/>
                <w:color w:val="000000"/>
                <w:kern w:val="2"/>
                <w:sz w:val="21"/>
                <w:szCs w:val="21"/>
                <w:lang w:val="en-US" w:eastAsia="zh-CN" w:bidi="ar-SA"/>
              </w:rPr>
              <w:t>D1坝址东侧约320m居民水井</w:t>
            </w:r>
          </w:p>
        </w:tc>
        <w:tc>
          <w:tcPr>
            <w:tcW w:w="768" w:type="pct"/>
            <w:tcBorders>
              <w:tl2br w:val="nil"/>
              <w:tr2bl w:val="nil"/>
            </w:tcBorders>
            <w:noWrap w:val="0"/>
            <w:vAlign w:val="center"/>
          </w:tcPr>
          <w:p w14:paraId="4028BA91">
            <w:pPr>
              <w:snapToGrid w:val="0"/>
              <w:jc w:val="center"/>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color w:val="000000"/>
                <w:kern w:val="2"/>
                <w:sz w:val="21"/>
                <w:szCs w:val="21"/>
                <w:lang w:val="en-US" w:eastAsia="zh-CN" w:bidi="ar-SA"/>
              </w:rPr>
              <w:t>D2坝址南侧约20m水井</w:t>
            </w:r>
          </w:p>
        </w:tc>
        <w:tc>
          <w:tcPr>
            <w:tcW w:w="737" w:type="pct"/>
            <w:tcBorders>
              <w:tl2br w:val="nil"/>
              <w:tr2bl w:val="nil"/>
            </w:tcBorders>
            <w:noWrap w:val="0"/>
            <w:vAlign w:val="center"/>
          </w:tcPr>
          <w:p w14:paraId="332A39A8">
            <w:pPr>
              <w:snapToGrid w:val="0"/>
              <w:jc w:val="center"/>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color w:val="000000"/>
                <w:kern w:val="2"/>
                <w:sz w:val="21"/>
                <w:szCs w:val="21"/>
                <w:lang w:val="en-US" w:eastAsia="zh-CN" w:bidi="ar-SA"/>
              </w:rPr>
              <w:t>D3坝址西北侧约1400m居民水井</w:t>
            </w:r>
          </w:p>
        </w:tc>
        <w:tc>
          <w:tcPr>
            <w:tcW w:w="537" w:type="pct"/>
            <w:vMerge w:val="continue"/>
            <w:tcBorders>
              <w:tl2br w:val="nil"/>
              <w:tr2bl w:val="nil"/>
            </w:tcBorders>
            <w:noWrap w:val="0"/>
            <w:vAlign w:val="center"/>
          </w:tcPr>
          <w:p w14:paraId="0F69879E">
            <w:pPr>
              <w:snapToGrid w:val="0"/>
              <w:jc w:val="center"/>
              <w:rPr>
                <w:rFonts w:hint="default" w:ascii="Times New Roman" w:hAnsi="Times New Roman" w:eastAsia="宋体" w:cs="Times New Roman"/>
                <w:color w:val="000000"/>
                <w:kern w:val="2"/>
                <w:sz w:val="21"/>
                <w:szCs w:val="21"/>
                <w:lang w:val="en-US" w:eastAsia="zh-CN" w:bidi="ar-SA"/>
              </w:rPr>
            </w:pPr>
          </w:p>
        </w:tc>
        <w:tc>
          <w:tcPr>
            <w:tcW w:w="403" w:type="pct"/>
            <w:vMerge w:val="continue"/>
            <w:tcBorders>
              <w:tl2br w:val="nil"/>
              <w:tr2bl w:val="nil"/>
            </w:tcBorders>
            <w:noWrap w:val="0"/>
            <w:vAlign w:val="center"/>
          </w:tcPr>
          <w:p w14:paraId="422254B0">
            <w:pPr>
              <w:snapToGrid w:val="0"/>
              <w:jc w:val="center"/>
              <w:rPr>
                <w:rFonts w:hint="default" w:ascii="Times New Roman" w:hAnsi="Times New Roman" w:eastAsia="宋体" w:cs="Times New Roman"/>
                <w:color w:val="000000"/>
                <w:kern w:val="2"/>
                <w:sz w:val="21"/>
                <w:szCs w:val="21"/>
                <w:lang w:val="en-US" w:eastAsia="zh-CN" w:bidi="ar-SA"/>
              </w:rPr>
            </w:pPr>
          </w:p>
        </w:tc>
        <w:tc>
          <w:tcPr>
            <w:tcW w:w="407" w:type="pct"/>
            <w:vMerge w:val="continue"/>
            <w:tcBorders>
              <w:tl2br w:val="nil"/>
              <w:tr2bl w:val="nil"/>
            </w:tcBorders>
            <w:noWrap w:val="0"/>
            <w:vAlign w:val="center"/>
          </w:tcPr>
          <w:p w14:paraId="117A2511">
            <w:pPr>
              <w:snapToGrid w:val="0"/>
              <w:jc w:val="center"/>
              <w:rPr>
                <w:rFonts w:hint="default" w:ascii="Times New Roman" w:hAnsi="Times New Roman" w:eastAsia="宋体" w:cs="Times New Roman"/>
                <w:color w:val="000000"/>
                <w:kern w:val="2"/>
                <w:sz w:val="21"/>
                <w:szCs w:val="21"/>
                <w:lang w:val="en-US" w:eastAsia="zh-CN" w:bidi="ar-SA"/>
              </w:rPr>
            </w:pPr>
          </w:p>
        </w:tc>
      </w:tr>
      <w:tr w14:paraId="1282EA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0E9966FF">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pH值</w:t>
            </w:r>
          </w:p>
        </w:tc>
        <w:tc>
          <w:tcPr>
            <w:tcW w:w="484" w:type="pct"/>
            <w:tcBorders>
              <w:tl2br w:val="nil"/>
              <w:tr2bl w:val="nil"/>
            </w:tcBorders>
            <w:noWrap w:val="0"/>
            <w:vAlign w:val="center"/>
          </w:tcPr>
          <w:p w14:paraId="08D58528">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无量纲</w:t>
            </w:r>
          </w:p>
        </w:tc>
        <w:tc>
          <w:tcPr>
            <w:tcW w:w="730" w:type="pct"/>
            <w:tcBorders>
              <w:tl2br w:val="nil"/>
              <w:tr2bl w:val="nil"/>
            </w:tcBorders>
            <w:noWrap w:val="0"/>
            <w:vAlign w:val="center"/>
          </w:tcPr>
          <w:p w14:paraId="3D933EC6">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7.1</w:t>
            </w:r>
          </w:p>
        </w:tc>
        <w:tc>
          <w:tcPr>
            <w:tcW w:w="768" w:type="pct"/>
            <w:tcBorders>
              <w:tl2br w:val="nil"/>
              <w:tr2bl w:val="nil"/>
            </w:tcBorders>
            <w:noWrap w:val="0"/>
            <w:vAlign w:val="center"/>
          </w:tcPr>
          <w:p w14:paraId="5D0069DD">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7.0</w:t>
            </w:r>
          </w:p>
        </w:tc>
        <w:tc>
          <w:tcPr>
            <w:tcW w:w="737" w:type="pct"/>
            <w:tcBorders>
              <w:tl2br w:val="nil"/>
              <w:tr2bl w:val="nil"/>
            </w:tcBorders>
            <w:noWrap w:val="0"/>
            <w:vAlign w:val="center"/>
          </w:tcPr>
          <w:p w14:paraId="31B541ED">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7.2</w:t>
            </w:r>
          </w:p>
        </w:tc>
        <w:tc>
          <w:tcPr>
            <w:tcW w:w="537" w:type="pct"/>
            <w:tcBorders>
              <w:tl2br w:val="nil"/>
              <w:tr2bl w:val="nil"/>
            </w:tcBorders>
            <w:noWrap w:val="0"/>
            <w:vAlign w:val="center"/>
          </w:tcPr>
          <w:p w14:paraId="124F9480">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6.5-8.5</w:t>
            </w:r>
          </w:p>
        </w:tc>
        <w:tc>
          <w:tcPr>
            <w:tcW w:w="403" w:type="pct"/>
            <w:tcBorders>
              <w:tl2br w:val="nil"/>
              <w:tr2bl w:val="nil"/>
            </w:tcBorders>
            <w:noWrap w:val="0"/>
            <w:vAlign w:val="center"/>
          </w:tcPr>
          <w:p w14:paraId="3D002B30">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0.133 </w:t>
            </w:r>
          </w:p>
        </w:tc>
        <w:tc>
          <w:tcPr>
            <w:tcW w:w="407" w:type="pct"/>
            <w:tcBorders>
              <w:tl2br w:val="nil"/>
              <w:tr2bl w:val="nil"/>
            </w:tcBorders>
            <w:noWrap w:val="0"/>
            <w:vAlign w:val="center"/>
          </w:tcPr>
          <w:p w14:paraId="7436B32E">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0946CC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0711EEE8">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钾</w:t>
            </w:r>
          </w:p>
        </w:tc>
        <w:tc>
          <w:tcPr>
            <w:tcW w:w="484" w:type="pct"/>
            <w:tcBorders>
              <w:tl2br w:val="nil"/>
              <w:tr2bl w:val="nil"/>
            </w:tcBorders>
            <w:noWrap w:val="0"/>
            <w:vAlign w:val="center"/>
          </w:tcPr>
          <w:p w14:paraId="0FF539CD">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16A9C0A7">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1.68 </w:t>
            </w:r>
          </w:p>
        </w:tc>
        <w:tc>
          <w:tcPr>
            <w:tcW w:w="768" w:type="pct"/>
            <w:tcBorders>
              <w:tl2br w:val="nil"/>
              <w:tr2bl w:val="nil"/>
            </w:tcBorders>
            <w:noWrap w:val="0"/>
            <w:vAlign w:val="center"/>
          </w:tcPr>
          <w:p w14:paraId="5AB7C85C">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1.66 </w:t>
            </w:r>
          </w:p>
        </w:tc>
        <w:tc>
          <w:tcPr>
            <w:tcW w:w="737" w:type="pct"/>
            <w:tcBorders>
              <w:tl2br w:val="nil"/>
              <w:tr2bl w:val="nil"/>
            </w:tcBorders>
            <w:noWrap w:val="0"/>
            <w:vAlign w:val="center"/>
          </w:tcPr>
          <w:p w14:paraId="36F93272">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1.66</w:t>
            </w:r>
          </w:p>
        </w:tc>
        <w:tc>
          <w:tcPr>
            <w:tcW w:w="537" w:type="pct"/>
            <w:tcBorders>
              <w:tl2br w:val="nil"/>
              <w:tr2bl w:val="nil"/>
            </w:tcBorders>
            <w:noWrap w:val="0"/>
            <w:vAlign w:val="center"/>
          </w:tcPr>
          <w:p w14:paraId="5B256238">
            <w:pPr>
              <w:widowControl/>
              <w:spacing w:beforeLines="10" w:afterLines="1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403" w:type="pct"/>
            <w:tcBorders>
              <w:tl2br w:val="nil"/>
              <w:tr2bl w:val="nil"/>
            </w:tcBorders>
            <w:noWrap w:val="0"/>
            <w:vAlign w:val="center"/>
          </w:tcPr>
          <w:p w14:paraId="63B668C8">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c>
          <w:tcPr>
            <w:tcW w:w="407" w:type="pct"/>
            <w:tcBorders>
              <w:tl2br w:val="nil"/>
              <w:tr2bl w:val="nil"/>
            </w:tcBorders>
            <w:noWrap w:val="0"/>
            <w:vAlign w:val="center"/>
          </w:tcPr>
          <w:p w14:paraId="1B60DCE4">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r>
      <w:tr w14:paraId="26813E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0250F0CA">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钠</w:t>
            </w:r>
          </w:p>
        </w:tc>
        <w:tc>
          <w:tcPr>
            <w:tcW w:w="484" w:type="pct"/>
            <w:tcBorders>
              <w:tl2br w:val="nil"/>
              <w:tr2bl w:val="nil"/>
            </w:tcBorders>
            <w:noWrap w:val="0"/>
            <w:vAlign w:val="center"/>
          </w:tcPr>
          <w:p w14:paraId="600524AE">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23D05BB2">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1.64 </w:t>
            </w:r>
          </w:p>
        </w:tc>
        <w:tc>
          <w:tcPr>
            <w:tcW w:w="768" w:type="pct"/>
            <w:tcBorders>
              <w:tl2br w:val="nil"/>
              <w:tr2bl w:val="nil"/>
            </w:tcBorders>
            <w:noWrap w:val="0"/>
            <w:vAlign w:val="center"/>
          </w:tcPr>
          <w:p w14:paraId="7B47E5E6">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1.62 </w:t>
            </w:r>
          </w:p>
        </w:tc>
        <w:tc>
          <w:tcPr>
            <w:tcW w:w="737" w:type="pct"/>
            <w:tcBorders>
              <w:tl2br w:val="nil"/>
              <w:tr2bl w:val="nil"/>
            </w:tcBorders>
            <w:noWrap w:val="0"/>
            <w:vAlign w:val="center"/>
          </w:tcPr>
          <w:p w14:paraId="278C123F">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1.64 </w:t>
            </w:r>
          </w:p>
        </w:tc>
        <w:tc>
          <w:tcPr>
            <w:tcW w:w="537" w:type="pct"/>
            <w:tcBorders>
              <w:tl2br w:val="nil"/>
              <w:tr2bl w:val="nil"/>
            </w:tcBorders>
            <w:noWrap w:val="0"/>
            <w:vAlign w:val="center"/>
          </w:tcPr>
          <w:p w14:paraId="40E16C67">
            <w:pPr>
              <w:widowControl/>
              <w:spacing w:beforeLines="10" w:afterLines="1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403" w:type="pct"/>
            <w:tcBorders>
              <w:tl2br w:val="nil"/>
              <w:tr2bl w:val="nil"/>
            </w:tcBorders>
            <w:noWrap w:val="0"/>
            <w:vAlign w:val="center"/>
          </w:tcPr>
          <w:p w14:paraId="2D0782C2">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c>
          <w:tcPr>
            <w:tcW w:w="407" w:type="pct"/>
            <w:tcBorders>
              <w:tl2br w:val="nil"/>
              <w:tr2bl w:val="nil"/>
            </w:tcBorders>
            <w:noWrap w:val="0"/>
            <w:vAlign w:val="center"/>
          </w:tcPr>
          <w:p w14:paraId="0DCE70DF">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r>
      <w:tr w14:paraId="1A4F15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79923F8A">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钙</w:t>
            </w:r>
          </w:p>
        </w:tc>
        <w:tc>
          <w:tcPr>
            <w:tcW w:w="484" w:type="pct"/>
            <w:tcBorders>
              <w:tl2br w:val="nil"/>
              <w:tr2bl w:val="nil"/>
            </w:tcBorders>
            <w:noWrap w:val="0"/>
            <w:vAlign w:val="center"/>
          </w:tcPr>
          <w:p w14:paraId="62CFAAA2">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62C4A9BC">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29</w:t>
            </w:r>
          </w:p>
        </w:tc>
        <w:tc>
          <w:tcPr>
            <w:tcW w:w="768" w:type="pct"/>
            <w:tcBorders>
              <w:tl2br w:val="nil"/>
              <w:tr2bl w:val="nil"/>
            </w:tcBorders>
            <w:noWrap w:val="0"/>
            <w:vAlign w:val="center"/>
          </w:tcPr>
          <w:p w14:paraId="0551CC3B">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26</w:t>
            </w:r>
          </w:p>
        </w:tc>
        <w:tc>
          <w:tcPr>
            <w:tcW w:w="737" w:type="pct"/>
            <w:tcBorders>
              <w:tl2br w:val="nil"/>
              <w:tr2bl w:val="nil"/>
            </w:tcBorders>
            <w:noWrap w:val="0"/>
            <w:vAlign w:val="center"/>
          </w:tcPr>
          <w:p w14:paraId="47050D57">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27</w:t>
            </w:r>
          </w:p>
        </w:tc>
        <w:tc>
          <w:tcPr>
            <w:tcW w:w="537" w:type="pct"/>
            <w:tcBorders>
              <w:tl2br w:val="nil"/>
              <w:tr2bl w:val="nil"/>
            </w:tcBorders>
            <w:noWrap w:val="0"/>
            <w:vAlign w:val="center"/>
          </w:tcPr>
          <w:p w14:paraId="706DDEC1">
            <w:pPr>
              <w:widowControl/>
              <w:spacing w:beforeLines="10" w:afterLines="1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403" w:type="pct"/>
            <w:tcBorders>
              <w:tl2br w:val="nil"/>
              <w:tr2bl w:val="nil"/>
            </w:tcBorders>
            <w:noWrap w:val="0"/>
            <w:vAlign w:val="center"/>
          </w:tcPr>
          <w:p w14:paraId="322A6447">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c>
          <w:tcPr>
            <w:tcW w:w="407" w:type="pct"/>
            <w:tcBorders>
              <w:tl2br w:val="nil"/>
              <w:tr2bl w:val="nil"/>
            </w:tcBorders>
            <w:noWrap w:val="0"/>
            <w:vAlign w:val="center"/>
          </w:tcPr>
          <w:p w14:paraId="79BE295F">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r>
      <w:tr w14:paraId="22217D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368BABC2">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镁</w:t>
            </w:r>
          </w:p>
        </w:tc>
        <w:tc>
          <w:tcPr>
            <w:tcW w:w="484" w:type="pct"/>
            <w:tcBorders>
              <w:tl2br w:val="nil"/>
              <w:tr2bl w:val="nil"/>
            </w:tcBorders>
            <w:noWrap w:val="0"/>
            <w:vAlign w:val="center"/>
          </w:tcPr>
          <w:p w14:paraId="45614886">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55EA3C5A">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3L</w:t>
            </w:r>
          </w:p>
        </w:tc>
        <w:tc>
          <w:tcPr>
            <w:tcW w:w="768" w:type="pct"/>
            <w:tcBorders>
              <w:tl2br w:val="nil"/>
              <w:tr2bl w:val="nil"/>
            </w:tcBorders>
            <w:noWrap w:val="0"/>
            <w:vAlign w:val="center"/>
          </w:tcPr>
          <w:p w14:paraId="2F5C8D7B">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3L</w:t>
            </w:r>
          </w:p>
        </w:tc>
        <w:tc>
          <w:tcPr>
            <w:tcW w:w="737" w:type="pct"/>
            <w:tcBorders>
              <w:tl2br w:val="nil"/>
              <w:tr2bl w:val="nil"/>
            </w:tcBorders>
            <w:noWrap w:val="0"/>
            <w:vAlign w:val="center"/>
          </w:tcPr>
          <w:p w14:paraId="1EFB4196">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3L</w:t>
            </w:r>
          </w:p>
        </w:tc>
        <w:tc>
          <w:tcPr>
            <w:tcW w:w="537" w:type="pct"/>
            <w:tcBorders>
              <w:tl2br w:val="nil"/>
              <w:tr2bl w:val="nil"/>
            </w:tcBorders>
            <w:noWrap w:val="0"/>
            <w:vAlign w:val="center"/>
          </w:tcPr>
          <w:p w14:paraId="02FA06BA">
            <w:pPr>
              <w:widowControl/>
              <w:spacing w:beforeLines="10" w:afterLines="1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403" w:type="pct"/>
            <w:tcBorders>
              <w:tl2br w:val="nil"/>
              <w:tr2bl w:val="nil"/>
            </w:tcBorders>
            <w:noWrap w:val="0"/>
            <w:vAlign w:val="center"/>
          </w:tcPr>
          <w:p w14:paraId="50491E52">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c>
          <w:tcPr>
            <w:tcW w:w="407" w:type="pct"/>
            <w:tcBorders>
              <w:tl2br w:val="nil"/>
              <w:tr2bl w:val="nil"/>
            </w:tcBorders>
            <w:noWrap w:val="0"/>
            <w:vAlign w:val="center"/>
          </w:tcPr>
          <w:p w14:paraId="5893D240">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r>
      <w:tr w14:paraId="69D424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2D3AC950">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碳酸根</w:t>
            </w:r>
          </w:p>
        </w:tc>
        <w:tc>
          <w:tcPr>
            <w:tcW w:w="484" w:type="pct"/>
            <w:tcBorders>
              <w:tl2br w:val="nil"/>
              <w:tr2bl w:val="nil"/>
            </w:tcBorders>
            <w:noWrap w:val="0"/>
            <w:vAlign w:val="center"/>
          </w:tcPr>
          <w:p w14:paraId="6E5DE388">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3B4BC863">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5L</w:t>
            </w:r>
          </w:p>
        </w:tc>
        <w:tc>
          <w:tcPr>
            <w:tcW w:w="768" w:type="pct"/>
            <w:tcBorders>
              <w:tl2br w:val="nil"/>
              <w:tr2bl w:val="nil"/>
            </w:tcBorders>
            <w:noWrap w:val="0"/>
            <w:vAlign w:val="center"/>
          </w:tcPr>
          <w:p w14:paraId="5B1C372F">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5L</w:t>
            </w:r>
          </w:p>
        </w:tc>
        <w:tc>
          <w:tcPr>
            <w:tcW w:w="737" w:type="pct"/>
            <w:tcBorders>
              <w:tl2br w:val="nil"/>
              <w:tr2bl w:val="nil"/>
            </w:tcBorders>
            <w:noWrap w:val="0"/>
            <w:vAlign w:val="center"/>
          </w:tcPr>
          <w:p w14:paraId="1D5BB632">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5L</w:t>
            </w:r>
          </w:p>
        </w:tc>
        <w:tc>
          <w:tcPr>
            <w:tcW w:w="537" w:type="pct"/>
            <w:tcBorders>
              <w:tl2br w:val="nil"/>
              <w:tr2bl w:val="nil"/>
            </w:tcBorders>
            <w:noWrap w:val="0"/>
            <w:vAlign w:val="center"/>
          </w:tcPr>
          <w:p w14:paraId="76ADA4E8">
            <w:pPr>
              <w:widowControl/>
              <w:spacing w:beforeLines="10" w:afterLines="1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403" w:type="pct"/>
            <w:tcBorders>
              <w:tl2br w:val="nil"/>
              <w:tr2bl w:val="nil"/>
            </w:tcBorders>
            <w:noWrap w:val="0"/>
            <w:vAlign w:val="center"/>
          </w:tcPr>
          <w:p w14:paraId="1AE0E0D0">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c>
          <w:tcPr>
            <w:tcW w:w="407" w:type="pct"/>
            <w:tcBorders>
              <w:tl2br w:val="nil"/>
              <w:tr2bl w:val="nil"/>
            </w:tcBorders>
            <w:noWrap w:val="0"/>
            <w:vAlign w:val="center"/>
          </w:tcPr>
          <w:p w14:paraId="5504C7E2">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r>
      <w:tr w14:paraId="2ED337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6435D965">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碳酸氢根</w:t>
            </w:r>
          </w:p>
        </w:tc>
        <w:tc>
          <w:tcPr>
            <w:tcW w:w="484" w:type="pct"/>
            <w:tcBorders>
              <w:tl2br w:val="nil"/>
              <w:tr2bl w:val="nil"/>
            </w:tcBorders>
            <w:noWrap w:val="0"/>
            <w:vAlign w:val="center"/>
          </w:tcPr>
          <w:p w14:paraId="748C31F4">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34BEA45B">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55</w:t>
            </w:r>
          </w:p>
        </w:tc>
        <w:tc>
          <w:tcPr>
            <w:tcW w:w="768" w:type="pct"/>
            <w:tcBorders>
              <w:tl2br w:val="nil"/>
              <w:tr2bl w:val="nil"/>
            </w:tcBorders>
            <w:noWrap w:val="0"/>
            <w:vAlign w:val="center"/>
          </w:tcPr>
          <w:p w14:paraId="77566BBB">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48</w:t>
            </w:r>
          </w:p>
        </w:tc>
        <w:tc>
          <w:tcPr>
            <w:tcW w:w="737" w:type="pct"/>
            <w:tcBorders>
              <w:tl2br w:val="nil"/>
              <w:tr2bl w:val="nil"/>
            </w:tcBorders>
            <w:noWrap w:val="0"/>
            <w:vAlign w:val="center"/>
          </w:tcPr>
          <w:p w14:paraId="2B64EF33">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49</w:t>
            </w:r>
          </w:p>
        </w:tc>
        <w:tc>
          <w:tcPr>
            <w:tcW w:w="537" w:type="pct"/>
            <w:tcBorders>
              <w:tl2br w:val="nil"/>
              <w:tr2bl w:val="nil"/>
            </w:tcBorders>
            <w:noWrap w:val="0"/>
            <w:vAlign w:val="center"/>
          </w:tcPr>
          <w:p w14:paraId="71C3ADDC">
            <w:pPr>
              <w:widowControl/>
              <w:spacing w:beforeLines="10" w:afterLines="1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403" w:type="pct"/>
            <w:tcBorders>
              <w:tl2br w:val="nil"/>
              <w:tr2bl w:val="nil"/>
            </w:tcBorders>
            <w:noWrap w:val="0"/>
            <w:vAlign w:val="center"/>
          </w:tcPr>
          <w:p w14:paraId="0A09C0BF">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c>
          <w:tcPr>
            <w:tcW w:w="407" w:type="pct"/>
            <w:tcBorders>
              <w:tl2br w:val="nil"/>
              <w:tr2bl w:val="nil"/>
            </w:tcBorders>
            <w:noWrap w:val="0"/>
            <w:vAlign w:val="center"/>
          </w:tcPr>
          <w:p w14:paraId="73F76470">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r>
      <w:tr w14:paraId="18EDED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27E48213">
            <w:pPr>
              <w:ind w:left="113" w:leftChars="0" w:right="113"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氯离子</w:t>
            </w:r>
          </w:p>
        </w:tc>
        <w:tc>
          <w:tcPr>
            <w:tcW w:w="484" w:type="pct"/>
            <w:tcBorders>
              <w:tl2br w:val="nil"/>
              <w:tr2bl w:val="nil"/>
            </w:tcBorders>
            <w:noWrap w:val="0"/>
            <w:vAlign w:val="center"/>
          </w:tcPr>
          <w:p w14:paraId="5D2450EF">
            <w:pPr>
              <w:ind w:left="113" w:leftChars="0" w:right="113"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35CF77D7">
            <w:pPr>
              <w:ind w:left="113" w:leftChars="0" w:right="113"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5.07</w:t>
            </w:r>
          </w:p>
        </w:tc>
        <w:tc>
          <w:tcPr>
            <w:tcW w:w="768" w:type="pct"/>
            <w:tcBorders>
              <w:tl2br w:val="nil"/>
              <w:tr2bl w:val="nil"/>
            </w:tcBorders>
            <w:noWrap w:val="0"/>
            <w:vAlign w:val="center"/>
          </w:tcPr>
          <w:p w14:paraId="1A4BFA39">
            <w:pPr>
              <w:ind w:left="113" w:leftChars="0" w:right="113"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5.32</w:t>
            </w:r>
          </w:p>
        </w:tc>
        <w:tc>
          <w:tcPr>
            <w:tcW w:w="737" w:type="pct"/>
            <w:tcBorders>
              <w:tl2br w:val="nil"/>
              <w:tr2bl w:val="nil"/>
            </w:tcBorders>
            <w:noWrap w:val="0"/>
            <w:vAlign w:val="center"/>
          </w:tcPr>
          <w:p w14:paraId="62D42B88">
            <w:pPr>
              <w:ind w:left="113" w:leftChars="0" w:right="113"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5.41</w:t>
            </w:r>
          </w:p>
        </w:tc>
        <w:tc>
          <w:tcPr>
            <w:tcW w:w="537" w:type="pct"/>
            <w:tcBorders>
              <w:tl2br w:val="nil"/>
              <w:tr2bl w:val="nil"/>
            </w:tcBorders>
            <w:noWrap w:val="0"/>
            <w:vAlign w:val="center"/>
          </w:tcPr>
          <w:p w14:paraId="1126CA00">
            <w:pPr>
              <w:widowControl/>
              <w:spacing w:beforeLines="10" w:afterLines="1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403" w:type="pct"/>
            <w:tcBorders>
              <w:tl2br w:val="nil"/>
              <w:tr2bl w:val="nil"/>
            </w:tcBorders>
            <w:noWrap w:val="0"/>
            <w:vAlign w:val="center"/>
          </w:tcPr>
          <w:p w14:paraId="03053109">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c>
          <w:tcPr>
            <w:tcW w:w="407" w:type="pct"/>
            <w:tcBorders>
              <w:tl2br w:val="nil"/>
              <w:tr2bl w:val="nil"/>
            </w:tcBorders>
            <w:noWrap w:val="0"/>
            <w:vAlign w:val="center"/>
          </w:tcPr>
          <w:p w14:paraId="2D7766BA">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r>
      <w:tr w14:paraId="6EE8BC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344CA744">
            <w:pPr>
              <w:ind w:left="113" w:leftChars="0" w:right="113"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硫酸根</w:t>
            </w:r>
          </w:p>
        </w:tc>
        <w:tc>
          <w:tcPr>
            <w:tcW w:w="484" w:type="pct"/>
            <w:tcBorders>
              <w:tl2br w:val="nil"/>
              <w:tr2bl w:val="nil"/>
            </w:tcBorders>
            <w:noWrap w:val="0"/>
            <w:vAlign w:val="center"/>
          </w:tcPr>
          <w:p w14:paraId="297BA9A2">
            <w:pPr>
              <w:ind w:left="113" w:leftChars="0" w:right="113"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2A97C425">
            <w:pPr>
              <w:ind w:left="113" w:leftChars="0" w:right="113"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17.7</w:t>
            </w:r>
          </w:p>
        </w:tc>
        <w:tc>
          <w:tcPr>
            <w:tcW w:w="768" w:type="pct"/>
            <w:tcBorders>
              <w:tl2br w:val="nil"/>
              <w:tr2bl w:val="nil"/>
            </w:tcBorders>
            <w:noWrap w:val="0"/>
            <w:vAlign w:val="center"/>
          </w:tcPr>
          <w:p w14:paraId="0850E2BB">
            <w:pPr>
              <w:ind w:left="113" w:leftChars="0" w:right="113"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17.9</w:t>
            </w:r>
          </w:p>
        </w:tc>
        <w:tc>
          <w:tcPr>
            <w:tcW w:w="737" w:type="pct"/>
            <w:tcBorders>
              <w:tl2br w:val="nil"/>
              <w:tr2bl w:val="nil"/>
            </w:tcBorders>
            <w:noWrap w:val="0"/>
            <w:vAlign w:val="center"/>
          </w:tcPr>
          <w:p w14:paraId="3F6E58A4">
            <w:pPr>
              <w:ind w:left="113" w:leftChars="0" w:right="113"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18.1</w:t>
            </w:r>
          </w:p>
        </w:tc>
        <w:tc>
          <w:tcPr>
            <w:tcW w:w="537" w:type="pct"/>
            <w:tcBorders>
              <w:tl2br w:val="nil"/>
              <w:tr2bl w:val="nil"/>
            </w:tcBorders>
            <w:noWrap w:val="0"/>
            <w:vAlign w:val="center"/>
          </w:tcPr>
          <w:p w14:paraId="65A5ADEE">
            <w:pPr>
              <w:widowControl/>
              <w:spacing w:beforeLines="10" w:afterLines="1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w:t>
            </w:r>
          </w:p>
        </w:tc>
        <w:tc>
          <w:tcPr>
            <w:tcW w:w="403" w:type="pct"/>
            <w:tcBorders>
              <w:tl2br w:val="nil"/>
              <w:tr2bl w:val="nil"/>
            </w:tcBorders>
            <w:noWrap w:val="0"/>
            <w:vAlign w:val="center"/>
          </w:tcPr>
          <w:p w14:paraId="61ED60DB">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c>
          <w:tcPr>
            <w:tcW w:w="407" w:type="pct"/>
            <w:tcBorders>
              <w:tl2br w:val="nil"/>
              <w:tr2bl w:val="nil"/>
            </w:tcBorders>
            <w:noWrap w:val="0"/>
            <w:vAlign w:val="center"/>
          </w:tcPr>
          <w:p w14:paraId="1A91DE8B">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r>
      <w:tr w14:paraId="629855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51B4FB3E">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氨氮</w:t>
            </w:r>
          </w:p>
        </w:tc>
        <w:tc>
          <w:tcPr>
            <w:tcW w:w="484" w:type="pct"/>
            <w:tcBorders>
              <w:tl2br w:val="nil"/>
              <w:tr2bl w:val="nil"/>
            </w:tcBorders>
            <w:noWrap w:val="0"/>
            <w:vAlign w:val="center"/>
          </w:tcPr>
          <w:p w14:paraId="18C76CD1">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71718433">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0.08 </w:t>
            </w:r>
          </w:p>
        </w:tc>
        <w:tc>
          <w:tcPr>
            <w:tcW w:w="768" w:type="pct"/>
            <w:tcBorders>
              <w:tl2br w:val="nil"/>
              <w:tr2bl w:val="nil"/>
            </w:tcBorders>
            <w:noWrap w:val="0"/>
            <w:vAlign w:val="center"/>
          </w:tcPr>
          <w:p w14:paraId="52583CBA">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0.025L</w:t>
            </w:r>
          </w:p>
        </w:tc>
        <w:tc>
          <w:tcPr>
            <w:tcW w:w="737" w:type="pct"/>
            <w:tcBorders>
              <w:tl2br w:val="nil"/>
              <w:tr2bl w:val="nil"/>
            </w:tcBorders>
            <w:noWrap w:val="0"/>
            <w:vAlign w:val="center"/>
          </w:tcPr>
          <w:p w14:paraId="0623220D">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0.04 </w:t>
            </w:r>
          </w:p>
        </w:tc>
        <w:tc>
          <w:tcPr>
            <w:tcW w:w="537" w:type="pct"/>
            <w:tcBorders>
              <w:tl2br w:val="nil"/>
              <w:tr2bl w:val="nil"/>
            </w:tcBorders>
            <w:noWrap w:val="0"/>
            <w:vAlign w:val="center"/>
          </w:tcPr>
          <w:p w14:paraId="6CD1597F">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bidi="ar-SA"/>
              </w:rPr>
              <w:t>0.50</w:t>
            </w:r>
          </w:p>
        </w:tc>
        <w:tc>
          <w:tcPr>
            <w:tcW w:w="403" w:type="pct"/>
            <w:tcBorders>
              <w:tl2br w:val="nil"/>
              <w:tr2bl w:val="nil"/>
            </w:tcBorders>
            <w:noWrap w:val="0"/>
            <w:vAlign w:val="center"/>
          </w:tcPr>
          <w:p w14:paraId="1F899AC1">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0.160 </w:t>
            </w:r>
          </w:p>
        </w:tc>
        <w:tc>
          <w:tcPr>
            <w:tcW w:w="407" w:type="pct"/>
            <w:tcBorders>
              <w:tl2br w:val="nil"/>
              <w:tr2bl w:val="nil"/>
            </w:tcBorders>
            <w:noWrap w:val="0"/>
            <w:vAlign w:val="center"/>
          </w:tcPr>
          <w:p w14:paraId="3BAD9024">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88A88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4058CEEB">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硝酸盐</w:t>
            </w:r>
          </w:p>
        </w:tc>
        <w:tc>
          <w:tcPr>
            <w:tcW w:w="484" w:type="pct"/>
            <w:tcBorders>
              <w:tl2br w:val="nil"/>
              <w:tr2bl w:val="nil"/>
            </w:tcBorders>
            <w:noWrap w:val="0"/>
            <w:vAlign w:val="center"/>
          </w:tcPr>
          <w:p w14:paraId="494B91C8">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248321AD">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1.48 </w:t>
            </w:r>
          </w:p>
        </w:tc>
        <w:tc>
          <w:tcPr>
            <w:tcW w:w="768" w:type="pct"/>
            <w:tcBorders>
              <w:tl2br w:val="nil"/>
              <w:tr2bl w:val="nil"/>
            </w:tcBorders>
            <w:noWrap w:val="0"/>
            <w:vAlign w:val="center"/>
          </w:tcPr>
          <w:p w14:paraId="0008A1C1">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1.60 </w:t>
            </w:r>
          </w:p>
        </w:tc>
        <w:tc>
          <w:tcPr>
            <w:tcW w:w="737" w:type="pct"/>
            <w:tcBorders>
              <w:tl2br w:val="nil"/>
              <w:tr2bl w:val="nil"/>
            </w:tcBorders>
            <w:noWrap w:val="0"/>
            <w:vAlign w:val="center"/>
          </w:tcPr>
          <w:p w14:paraId="0B7463BE">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1.58 </w:t>
            </w:r>
          </w:p>
        </w:tc>
        <w:tc>
          <w:tcPr>
            <w:tcW w:w="537" w:type="pct"/>
            <w:tcBorders>
              <w:tl2br w:val="nil"/>
              <w:tr2bl w:val="nil"/>
            </w:tcBorders>
            <w:noWrap w:val="0"/>
            <w:vAlign w:val="center"/>
          </w:tcPr>
          <w:p w14:paraId="173E6239">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rPr>
              <w:t>20.0</w:t>
            </w:r>
          </w:p>
        </w:tc>
        <w:tc>
          <w:tcPr>
            <w:tcW w:w="403" w:type="pct"/>
            <w:tcBorders>
              <w:tl2br w:val="nil"/>
              <w:tr2bl w:val="nil"/>
            </w:tcBorders>
            <w:noWrap w:val="0"/>
            <w:vAlign w:val="center"/>
          </w:tcPr>
          <w:p w14:paraId="77845FBF">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0.080 </w:t>
            </w:r>
          </w:p>
        </w:tc>
        <w:tc>
          <w:tcPr>
            <w:tcW w:w="407" w:type="pct"/>
            <w:tcBorders>
              <w:tl2br w:val="nil"/>
              <w:tr2bl w:val="nil"/>
            </w:tcBorders>
            <w:noWrap w:val="0"/>
            <w:vAlign w:val="center"/>
          </w:tcPr>
          <w:p w14:paraId="754E18F9">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31F68E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539E980D">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亚硝酸盐</w:t>
            </w:r>
          </w:p>
        </w:tc>
        <w:tc>
          <w:tcPr>
            <w:tcW w:w="484" w:type="pct"/>
            <w:tcBorders>
              <w:tl2br w:val="nil"/>
              <w:tr2bl w:val="nil"/>
            </w:tcBorders>
            <w:noWrap w:val="0"/>
            <w:vAlign w:val="center"/>
          </w:tcPr>
          <w:p w14:paraId="00B9577F">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1DAC6780">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0.005L</w:t>
            </w:r>
          </w:p>
        </w:tc>
        <w:tc>
          <w:tcPr>
            <w:tcW w:w="768" w:type="pct"/>
            <w:tcBorders>
              <w:tl2br w:val="nil"/>
              <w:tr2bl w:val="nil"/>
            </w:tcBorders>
            <w:noWrap w:val="0"/>
            <w:vAlign w:val="center"/>
          </w:tcPr>
          <w:p w14:paraId="69E4722A">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0.005L</w:t>
            </w:r>
          </w:p>
        </w:tc>
        <w:tc>
          <w:tcPr>
            <w:tcW w:w="737" w:type="pct"/>
            <w:tcBorders>
              <w:tl2br w:val="nil"/>
              <w:tr2bl w:val="nil"/>
            </w:tcBorders>
            <w:noWrap w:val="0"/>
            <w:vAlign w:val="center"/>
          </w:tcPr>
          <w:p w14:paraId="34C6F36D">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0.005L</w:t>
            </w:r>
          </w:p>
        </w:tc>
        <w:tc>
          <w:tcPr>
            <w:tcW w:w="537" w:type="pct"/>
            <w:tcBorders>
              <w:tl2br w:val="nil"/>
              <w:tr2bl w:val="nil"/>
            </w:tcBorders>
            <w:noWrap w:val="0"/>
            <w:vAlign w:val="center"/>
          </w:tcPr>
          <w:p w14:paraId="028C566E">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rPr>
              <w:t>1.00</w:t>
            </w:r>
          </w:p>
        </w:tc>
        <w:tc>
          <w:tcPr>
            <w:tcW w:w="403" w:type="pct"/>
            <w:tcBorders>
              <w:tl2br w:val="nil"/>
              <w:tr2bl w:val="nil"/>
            </w:tcBorders>
            <w:noWrap w:val="0"/>
            <w:vAlign w:val="center"/>
          </w:tcPr>
          <w:p w14:paraId="37C771FB">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0.005 </w:t>
            </w:r>
          </w:p>
        </w:tc>
        <w:tc>
          <w:tcPr>
            <w:tcW w:w="407" w:type="pct"/>
            <w:tcBorders>
              <w:tl2br w:val="nil"/>
              <w:tr2bl w:val="nil"/>
            </w:tcBorders>
            <w:noWrap w:val="0"/>
            <w:vAlign w:val="center"/>
          </w:tcPr>
          <w:p w14:paraId="1613001B">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85AAC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587F6864">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氯化物</w:t>
            </w:r>
          </w:p>
        </w:tc>
        <w:tc>
          <w:tcPr>
            <w:tcW w:w="484" w:type="pct"/>
            <w:tcBorders>
              <w:tl2br w:val="nil"/>
              <w:tr2bl w:val="nil"/>
            </w:tcBorders>
            <w:noWrap w:val="0"/>
            <w:vAlign w:val="center"/>
          </w:tcPr>
          <w:p w14:paraId="2E2E4F3A">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7FEE3E67">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5.07</w:t>
            </w:r>
          </w:p>
        </w:tc>
        <w:tc>
          <w:tcPr>
            <w:tcW w:w="768" w:type="pct"/>
            <w:tcBorders>
              <w:tl2br w:val="nil"/>
              <w:tr2bl w:val="nil"/>
            </w:tcBorders>
            <w:noWrap w:val="0"/>
            <w:vAlign w:val="center"/>
          </w:tcPr>
          <w:p w14:paraId="5114C577">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5.32</w:t>
            </w:r>
          </w:p>
        </w:tc>
        <w:tc>
          <w:tcPr>
            <w:tcW w:w="737" w:type="pct"/>
            <w:tcBorders>
              <w:tl2br w:val="nil"/>
              <w:tr2bl w:val="nil"/>
            </w:tcBorders>
            <w:noWrap w:val="0"/>
            <w:vAlign w:val="center"/>
          </w:tcPr>
          <w:p w14:paraId="54D4D329">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5.41</w:t>
            </w:r>
          </w:p>
        </w:tc>
        <w:tc>
          <w:tcPr>
            <w:tcW w:w="537" w:type="pct"/>
            <w:tcBorders>
              <w:tl2br w:val="nil"/>
              <w:tr2bl w:val="nil"/>
            </w:tcBorders>
            <w:noWrap w:val="0"/>
            <w:vAlign w:val="center"/>
          </w:tcPr>
          <w:p w14:paraId="389D5CAE">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lang w:val="en-US" w:eastAsia="zh-CN"/>
              </w:rPr>
              <w:t>250</w:t>
            </w:r>
          </w:p>
        </w:tc>
        <w:tc>
          <w:tcPr>
            <w:tcW w:w="403" w:type="pct"/>
            <w:tcBorders>
              <w:tl2br w:val="nil"/>
              <w:tr2bl w:val="nil"/>
            </w:tcBorders>
            <w:noWrap w:val="0"/>
            <w:vAlign w:val="center"/>
          </w:tcPr>
          <w:p w14:paraId="07EED34A">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0.022 </w:t>
            </w:r>
          </w:p>
        </w:tc>
        <w:tc>
          <w:tcPr>
            <w:tcW w:w="407" w:type="pct"/>
            <w:tcBorders>
              <w:tl2br w:val="nil"/>
              <w:tr2bl w:val="nil"/>
            </w:tcBorders>
            <w:noWrap w:val="0"/>
            <w:vAlign w:val="center"/>
          </w:tcPr>
          <w:p w14:paraId="45C91D7E">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5DE65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40697D74">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硫酸盐</w:t>
            </w:r>
          </w:p>
        </w:tc>
        <w:tc>
          <w:tcPr>
            <w:tcW w:w="484" w:type="pct"/>
            <w:tcBorders>
              <w:tl2br w:val="nil"/>
              <w:tr2bl w:val="nil"/>
            </w:tcBorders>
            <w:noWrap w:val="0"/>
            <w:vAlign w:val="center"/>
          </w:tcPr>
          <w:p w14:paraId="4111B370">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67E6197A">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17.7</w:t>
            </w:r>
          </w:p>
        </w:tc>
        <w:tc>
          <w:tcPr>
            <w:tcW w:w="768" w:type="pct"/>
            <w:tcBorders>
              <w:tl2br w:val="nil"/>
              <w:tr2bl w:val="nil"/>
            </w:tcBorders>
            <w:noWrap w:val="0"/>
            <w:vAlign w:val="center"/>
          </w:tcPr>
          <w:p w14:paraId="534E68B3">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17.9</w:t>
            </w:r>
          </w:p>
        </w:tc>
        <w:tc>
          <w:tcPr>
            <w:tcW w:w="737" w:type="pct"/>
            <w:tcBorders>
              <w:tl2br w:val="nil"/>
              <w:tr2bl w:val="nil"/>
            </w:tcBorders>
            <w:noWrap w:val="0"/>
            <w:vAlign w:val="center"/>
          </w:tcPr>
          <w:p w14:paraId="7FC15C22">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18.1</w:t>
            </w:r>
          </w:p>
        </w:tc>
        <w:tc>
          <w:tcPr>
            <w:tcW w:w="537" w:type="pct"/>
            <w:tcBorders>
              <w:tl2br w:val="nil"/>
              <w:tr2bl w:val="nil"/>
            </w:tcBorders>
            <w:noWrap w:val="0"/>
            <w:vAlign w:val="center"/>
          </w:tcPr>
          <w:p w14:paraId="30A90D96">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lang w:val="en-US" w:eastAsia="zh-CN"/>
              </w:rPr>
              <w:t>250</w:t>
            </w:r>
          </w:p>
        </w:tc>
        <w:tc>
          <w:tcPr>
            <w:tcW w:w="403" w:type="pct"/>
            <w:tcBorders>
              <w:tl2br w:val="nil"/>
              <w:tr2bl w:val="nil"/>
            </w:tcBorders>
            <w:noWrap w:val="0"/>
            <w:vAlign w:val="center"/>
          </w:tcPr>
          <w:p w14:paraId="79B279D8">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0.072 </w:t>
            </w:r>
          </w:p>
        </w:tc>
        <w:tc>
          <w:tcPr>
            <w:tcW w:w="407" w:type="pct"/>
            <w:tcBorders>
              <w:tl2br w:val="nil"/>
              <w:tr2bl w:val="nil"/>
            </w:tcBorders>
            <w:noWrap w:val="0"/>
            <w:vAlign w:val="center"/>
          </w:tcPr>
          <w:p w14:paraId="471C4F6F">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C456A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016145A7">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氟化物</w:t>
            </w:r>
          </w:p>
        </w:tc>
        <w:tc>
          <w:tcPr>
            <w:tcW w:w="484" w:type="pct"/>
            <w:tcBorders>
              <w:tl2br w:val="nil"/>
              <w:tr2bl w:val="nil"/>
            </w:tcBorders>
            <w:noWrap w:val="0"/>
            <w:vAlign w:val="center"/>
          </w:tcPr>
          <w:p w14:paraId="55838348">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007E355F">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0.327</w:t>
            </w:r>
          </w:p>
        </w:tc>
        <w:tc>
          <w:tcPr>
            <w:tcW w:w="768" w:type="pct"/>
            <w:tcBorders>
              <w:tl2br w:val="nil"/>
              <w:tr2bl w:val="nil"/>
            </w:tcBorders>
            <w:noWrap w:val="0"/>
            <w:vAlign w:val="center"/>
          </w:tcPr>
          <w:p w14:paraId="22137788">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0.318</w:t>
            </w:r>
          </w:p>
        </w:tc>
        <w:tc>
          <w:tcPr>
            <w:tcW w:w="737" w:type="pct"/>
            <w:tcBorders>
              <w:tl2br w:val="nil"/>
              <w:tr2bl w:val="nil"/>
            </w:tcBorders>
            <w:noWrap w:val="0"/>
            <w:vAlign w:val="center"/>
          </w:tcPr>
          <w:p w14:paraId="06F3479A">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0.323</w:t>
            </w:r>
          </w:p>
        </w:tc>
        <w:tc>
          <w:tcPr>
            <w:tcW w:w="537" w:type="pct"/>
            <w:tcBorders>
              <w:tl2br w:val="nil"/>
              <w:tr2bl w:val="nil"/>
            </w:tcBorders>
            <w:noWrap w:val="0"/>
            <w:vAlign w:val="center"/>
          </w:tcPr>
          <w:p w14:paraId="294566EA">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lang w:val="en-US" w:eastAsia="zh-CN"/>
              </w:rPr>
              <w:t>1.</w:t>
            </w:r>
            <w:r>
              <w:rPr>
                <w:rFonts w:hint="default" w:ascii="Times New Roman" w:hAnsi="Times New Roman" w:cs="Times New Roman"/>
                <w:b w:val="0"/>
                <w:bCs w:val="0"/>
                <w:color w:val="auto"/>
                <w:sz w:val="21"/>
                <w:szCs w:val="21"/>
                <w:highlight w:val="none"/>
                <w:u w:val="none" w:color="auto"/>
                <w:shd w:val="clear" w:color="auto" w:fill="FFFFFF"/>
              </w:rPr>
              <w:t>0</w:t>
            </w:r>
          </w:p>
        </w:tc>
        <w:tc>
          <w:tcPr>
            <w:tcW w:w="403" w:type="pct"/>
            <w:tcBorders>
              <w:tl2br w:val="nil"/>
              <w:tr2bl w:val="nil"/>
            </w:tcBorders>
            <w:noWrap w:val="0"/>
            <w:vAlign w:val="center"/>
          </w:tcPr>
          <w:p w14:paraId="24104112">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0.327 </w:t>
            </w:r>
          </w:p>
        </w:tc>
        <w:tc>
          <w:tcPr>
            <w:tcW w:w="407" w:type="pct"/>
            <w:tcBorders>
              <w:tl2br w:val="nil"/>
              <w:tr2bl w:val="nil"/>
            </w:tcBorders>
            <w:noWrap w:val="0"/>
            <w:vAlign w:val="center"/>
          </w:tcPr>
          <w:p w14:paraId="747322BF">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D60E8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5ECB62EE">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挥发性酚类</w:t>
            </w:r>
          </w:p>
        </w:tc>
        <w:tc>
          <w:tcPr>
            <w:tcW w:w="484" w:type="pct"/>
            <w:tcBorders>
              <w:tl2br w:val="nil"/>
              <w:tr2bl w:val="nil"/>
            </w:tcBorders>
            <w:noWrap w:val="0"/>
            <w:vAlign w:val="center"/>
          </w:tcPr>
          <w:p w14:paraId="78F5993C">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2D8FBFF5">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0.0003L</w:t>
            </w:r>
          </w:p>
        </w:tc>
        <w:tc>
          <w:tcPr>
            <w:tcW w:w="768" w:type="pct"/>
            <w:tcBorders>
              <w:tl2br w:val="nil"/>
              <w:tr2bl w:val="nil"/>
            </w:tcBorders>
            <w:noWrap w:val="0"/>
            <w:vAlign w:val="center"/>
          </w:tcPr>
          <w:p w14:paraId="5E5C4B1D">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0.0003L</w:t>
            </w:r>
          </w:p>
        </w:tc>
        <w:tc>
          <w:tcPr>
            <w:tcW w:w="737" w:type="pct"/>
            <w:tcBorders>
              <w:tl2br w:val="nil"/>
              <w:tr2bl w:val="nil"/>
            </w:tcBorders>
            <w:noWrap w:val="0"/>
            <w:vAlign w:val="center"/>
          </w:tcPr>
          <w:p w14:paraId="35C4B3EB">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0.0003L</w:t>
            </w:r>
          </w:p>
        </w:tc>
        <w:tc>
          <w:tcPr>
            <w:tcW w:w="537" w:type="pct"/>
            <w:tcBorders>
              <w:tl2br w:val="nil"/>
              <w:tr2bl w:val="nil"/>
            </w:tcBorders>
            <w:noWrap w:val="0"/>
            <w:vAlign w:val="center"/>
          </w:tcPr>
          <w:p w14:paraId="19BFEE81">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rPr>
              <w:t>0.002</w:t>
            </w:r>
          </w:p>
        </w:tc>
        <w:tc>
          <w:tcPr>
            <w:tcW w:w="403" w:type="pct"/>
            <w:tcBorders>
              <w:tl2br w:val="nil"/>
              <w:tr2bl w:val="nil"/>
            </w:tcBorders>
            <w:noWrap w:val="0"/>
            <w:vAlign w:val="center"/>
          </w:tcPr>
          <w:p w14:paraId="674625F9">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0.150 </w:t>
            </w:r>
          </w:p>
        </w:tc>
        <w:tc>
          <w:tcPr>
            <w:tcW w:w="407" w:type="pct"/>
            <w:tcBorders>
              <w:tl2br w:val="nil"/>
              <w:tr2bl w:val="nil"/>
            </w:tcBorders>
            <w:noWrap w:val="0"/>
            <w:vAlign w:val="center"/>
          </w:tcPr>
          <w:p w14:paraId="50725432">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B5BB5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59799361">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氰化物</w:t>
            </w:r>
          </w:p>
        </w:tc>
        <w:tc>
          <w:tcPr>
            <w:tcW w:w="484" w:type="pct"/>
            <w:tcBorders>
              <w:tl2br w:val="nil"/>
              <w:tr2bl w:val="nil"/>
            </w:tcBorders>
            <w:noWrap w:val="0"/>
            <w:vAlign w:val="center"/>
          </w:tcPr>
          <w:p w14:paraId="60775AC6">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168B8226">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0.004L</w:t>
            </w:r>
          </w:p>
        </w:tc>
        <w:tc>
          <w:tcPr>
            <w:tcW w:w="768" w:type="pct"/>
            <w:tcBorders>
              <w:tl2br w:val="nil"/>
              <w:tr2bl w:val="nil"/>
            </w:tcBorders>
            <w:noWrap w:val="0"/>
            <w:vAlign w:val="center"/>
          </w:tcPr>
          <w:p w14:paraId="2754ED54">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0.004L</w:t>
            </w:r>
          </w:p>
        </w:tc>
        <w:tc>
          <w:tcPr>
            <w:tcW w:w="737" w:type="pct"/>
            <w:tcBorders>
              <w:tl2br w:val="nil"/>
              <w:tr2bl w:val="nil"/>
            </w:tcBorders>
            <w:noWrap w:val="0"/>
            <w:vAlign w:val="center"/>
          </w:tcPr>
          <w:p w14:paraId="6F9415D5">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0.004L</w:t>
            </w:r>
          </w:p>
        </w:tc>
        <w:tc>
          <w:tcPr>
            <w:tcW w:w="537" w:type="pct"/>
            <w:tcBorders>
              <w:tl2br w:val="nil"/>
              <w:tr2bl w:val="nil"/>
            </w:tcBorders>
            <w:noWrap w:val="0"/>
            <w:vAlign w:val="center"/>
          </w:tcPr>
          <w:p w14:paraId="5B35E172">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lang w:val="en-US" w:eastAsia="zh-CN"/>
              </w:rPr>
              <w:t>0.05</w:t>
            </w:r>
          </w:p>
        </w:tc>
        <w:tc>
          <w:tcPr>
            <w:tcW w:w="403" w:type="pct"/>
            <w:tcBorders>
              <w:tl2br w:val="nil"/>
              <w:tr2bl w:val="nil"/>
            </w:tcBorders>
            <w:noWrap w:val="0"/>
            <w:vAlign w:val="center"/>
          </w:tcPr>
          <w:p w14:paraId="569206FE">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0.080 </w:t>
            </w:r>
          </w:p>
        </w:tc>
        <w:tc>
          <w:tcPr>
            <w:tcW w:w="407" w:type="pct"/>
            <w:tcBorders>
              <w:tl2br w:val="nil"/>
              <w:tr2bl w:val="nil"/>
            </w:tcBorders>
            <w:noWrap w:val="0"/>
            <w:vAlign w:val="center"/>
          </w:tcPr>
          <w:p w14:paraId="5BB4766A">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248C65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2F46C98E">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砷</w:t>
            </w:r>
          </w:p>
        </w:tc>
        <w:tc>
          <w:tcPr>
            <w:tcW w:w="484" w:type="pct"/>
            <w:tcBorders>
              <w:tl2br w:val="nil"/>
              <w:tr2bl w:val="nil"/>
            </w:tcBorders>
            <w:noWrap w:val="0"/>
            <w:vAlign w:val="center"/>
          </w:tcPr>
          <w:p w14:paraId="4410DC30">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3B86BE59">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0.0005</w:t>
            </w:r>
          </w:p>
        </w:tc>
        <w:tc>
          <w:tcPr>
            <w:tcW w:w="768" w:type="pct"/>
            <w:tcBorders>
              <w:tl2br w:val="nil"/>
              <w:tr2bl w:val="nil"/>
            </w:tcBorders>
            <w:noWrap w:val="0"/>
            <w:vAlign w:val="center"/>
          </w:tcPr>
          <w:p w14:paraId="7491167B">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0.0009</w:t>
            </w:r>
          </w:p>
        </w:tc>
        <w:tc>
          <w:tcPr>
            <w:tcW w:w="737" w:type="pct"/>
            <w:tcBorders>
              <w:tl2br w:val="nil"/>
              <w:tr2bl w:val="nil"/>
            </w:tcBorders>
            <w:noWrap w:val="0"/>
            <w:vAlign w:val="center"/>
          </w:tcPr>
          <w:p w14:paraId="4AB9658A">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0.0007</w:t>
            </w:r>
          </w:p>
        </w:tc>
        <w:tc>
          <w:tcPr>
            <w:tcW w:w="537" w:type="pct"/>
            <w:tcBorders>
              <w:tl2br w:val="nil"/>
              <w:tr2bl w:val="nil"/>
            </w:tcBorders>
            <w:noWrap w:val="0"/>
            <w:vAlign w:val="center"/>
          </w:tcPr>
          <w:p w14:paraId="362E7A72">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lang w:val="en-US" w:eastAsia="zh-CN"/>
              </w:rPr>
              <w:t>0.01</w:t>
            </w:r>
          </w:p>
        </w:tc>
        <w:tc>
          <w:tcPr>
            <w:tcW w:w="403" w:type="pct"/>
            <w:tcBorders>
              <w:tl2br w:val="nil"/>
              <w:tr2bl w:val="nil"/>
            </w:tcBorders>
            <w:noWrap w:val="0"/>
            <w:vAlign w:val="center"/>
          </w:tcPr>
          <w:p w14:paraId="228FC615">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0.090 </w:t>
            </w:r>
          </w:p>
        </w:tc>
        <w:tc>
          <w:tcPr>
            <w:tcW w:w="407" w:type="pct"/>
            <w:tcBorders>
              <w:tl2br w:val="nil"/>
              <w:tr2bl w:val="nil"/>
            </w:tcBorders>
            <w:noWrap w:val="0"/>
            <w:vAlign w:val="center"/>
          </w:tcPr>
          <w:p w14:paraId="7E95199C">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B6CC7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7B120380">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汞</w:t>
            </w:r>
          </w:p>
        </w:tc>
        <w:tc>
          <w:tcPr>
            <w:tcW w:w="484" w:type="pct"/>
            <w:tcBorders>
              <w:tl2br w:val="nil"/>
              <w:tr2bl w:val="nil"/>
            </w:tcBorders>
            <w:noWrap w:val="0"/>
            <w:vAlign w:val="center"/>
          </w:tcPr>
          <w:p w14:paraId="18A99432">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31E83DE2">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0.00004L</w:t>
            </w:r>
          </w:p>
        </w:tc>
        <w:tc>
          <w:tcPr>
            <w:tcW w:w="768" w:type="pct"/>
            <w:tcBorders>
              <w:tl2br w:val="nil"/>
              <w:tr2bl w:val="nil"/>
            </w:tcBorders>
            <w:noWrap w:val="0"/>
            <w:vAlign w:val="center"/>
          </w:tcPr>
          <w:p w14:paraId="0D6070B9">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0.00004L</w:t>
            </w:r>
          </w:p>
        </w:tc>
        <w:tc>
          <w:tcPr>
            <w:tcW w:w="737" w:type="pct"/>
            <w:tcBorders>
              <w:tl2br w:val="nil"/>
              <w:tr2bl w:val="nil"/>
            </w:tcBorders>
            <w:noWrap w:val="0"/>
            <w:vAlign w:val="center"/>
          </w:tcPr>
          <w:p w14:paraId="7189A2F8">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0.00004L</w:t>
            </w:r>
          </w:p>
        </w:tc>
        <w:tc>
          <w:tcPr>
            <w:tcW w:w="537" w:type="pct"/>
            <w:tcBorders>
              <w:tl2br w:val="nil"/>
              <w:tr2bl w:val="nil"/>
            </w:tcBorders>
            <w:noWrap w:val="0"/>
            <w:vAlign w:val="center"/>
          </w:tcPr>
          <w:p w14:paraId="5C57F5B6">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lang w:val="en-US" w:eastAsia="zh-CN"/>
              </w:rPr>
              <w:t>0.001</w:t>
            </w:r>
          </w:p>
        </w:tc>
        <w:tc>
          <w:tcPr>
            <w:tcW w:w="403" w:type="pct"/>
            <w:tcBorders>
              <w:tl2br w:val="nil"/>
              <w:tr2bl w:val="nil"/>
            </w:tcBorders>
            <w:noWrap w:val="0"/>
            <w:vAlign w:val="center"/>
          </w:tcPr>
          <w:p w14:paraId="388CFB17">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0.040 </w:t>
            </w:r>
          </w:p>
        </w:tc>
        <w:tc>
          <w:tcPr>
            <w:tcW w:w="407" w:type="pct"/>
            <w:tcBorders>
              <w:tl2br w:val="nil"/>
              <w:tr2bl w:val="nil"/>
            </w:tcBorders>
            <w:noWrap w:val="0"/>
            <w:vAlign w:val="center"/>
          </w:tcPr>
          <w:p w14:paraId="4844B983">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33FE7C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25385782">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六价铬</w:t>
            </w:r>
          </w:p>
        </w:tc>
        <w:tc>
          <w:tcPr>
            <w:tcW w:w="484" w:type="pct"/>
            <w:tcBorders>
              <w:tl2br w:val="nil"/>
              <w:tr2bl w:val="nil"/>
            </w:tcBorders>
            <w:noWrap w:val="0"/>
            <w:vAlign w:val="center"/>
          </w:tcPr>
          <w:p w14:paraId="067C476F">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126E982C">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0.004L</w:t>
            </w:r>
          </w:p>
        </w:tc>
        <w:tc>
          <w:tcPr>
            <w:tcW w:w="768" w:type="pct"/>
            <w:tcBorders>
              <w:tl2br w:val="nil"/>
              <w:tr2bl w:val="nil"/>
            </w:tcBorders>
            <w:noWrap w:val="0"/>
            <w:vAlign w:val="center"/>
          </w:tcPr>
          <w:p w14:paraId="3D8B0BB4">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0.004L</w:t>
            </w:r>
          </w:p>
        </w:tc>
        <w:tc>
          <w:tcPr>
            <w:tcW w:w="737" w:type="pct"/>
            <w:tcBorders>
              <w:tl2br w:val="nil"/>
              <w:tr2bl w:val="nil"/>
            </w:tcBorders>
            <w:noWrap w:val="0"/>
            <w:vAlign w:val="center"/>
          </w:tcPr>
          <w:p w14:paraId="7E6B235D">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0.004L</w:t>
            </w:r>
          </w:p>
        </w:tc>
        <w:tc>
          <w:tcPr>
            <w:tcW w:w="537" w:type="pct"/>
            <w:tcBorders>
              <w:tl2br w:val="nil"/>
              <w:tr2bl w:val="nil"/>
            </w:tcBorders>
            <w:noWrap w:val="0"/>
            <w:vAlign w:val="center"/>
          </w:tcPr>
          <w:p w14:paraId="27BEA11B">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lang w:val="en-US" w:eastAsia="zh-CN"/>
              </w:rPr>
              <w:t>0.05</w:t>
            </w:r>
          </w:p>
        </w:tc>
        <w:tc>
          <w:tcPr>
            <w:tcW w:w="403" w:type="pct"/>
            <w:tcBorders>
              <w:tl2br w:val="nil"/>
              <w:tr2bl w:val="nil"/>
            </w:tcBorders>
            <w:noWrap w:val="0"/>
            <w:vAlign w:val="center"/>
          </w:tcPr>
          <w:p w14:paraId="04998D63">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0.080 </w:t>
            </w:r>
          </w:p>
        </w:tc>
        <w:tc>
          <w:tcPr>
            <w:tcW w:w="407" w:type="pct"/>
            <w:tcBorders>
              <w:tl2br w:val="nil"/>
              <w:tr2bl w:val="nil"/>
            </w:tcBorders>
            <w:noWrap w:val="0"/>
            <w:vAlign w:val="center"/>
          </w:tcPr>
          <w:p w14:paraId="721A40E0">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A6ABB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313DB083">
            <w:pPr>
              <w:ind w:left="113" w:leftChars="0" w:right="113"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总硬度</w:t>
            </w:r>
          </w:p>
        </w:tc>
        <w:tc>
          <w:tcPr>
            <w:tcW w:w="484" w:type="pct"/>
            <w:tcBorders>
              <w:tl2br w:val="nil"/>
              <w:tr2bl w:val="nil"/>
            </w:tcBorders>
            <w:noWrap w:val="0"/>
            <w:vAlign w:val="center"/>
          </w:tcPr>
          <w:p w14:paraId="032E1087">
            <w:pPr>
              <w:ind w:left="113" w:leftChars="0" w:right="113"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68CA0BDA">
            <w:pPr>
              <w:ind w:left="113" w:leftChars="0" w:right="113"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 xml:space="preserve">75 </w:t>
            </w:r>
          </w:p>
        </w:tc>
        <w:tc>
          <w:tcPr>
            <w:tcW w:w="768" w:type="pct"/>
            <w:tcBorders>
              <w:tl2br w:val="nil"/>
              <w:tr2bl w:val="nil"/>
            </w:tcBorders>
            <w:noWrap w:val="0"/>
            <w:vAlign w:val="center"/>
          </w:tcPr>
          <w:p w14:paraId="212DC86C">
            <w:pPr>
              <w:ind w:left="113" w:leftChars="0" w:right="113"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 xml:space="preserve">68 </w:t>
            </w:r>
          </w:p>
        </w:tc>
        <w:tc>
          <w:tcPr>
            <w:tcW w:w="737" w:type="pct"/>
            <w:tcBorders>
              <w:tl2br w:val="nil"/>
              <w:tr2bl w:val="nil"/>
            </w:tcBorders>
            <w:noWrap w:val="0"/>
            <w:vAlign w:val="center"/>
          </w:tcPr>
          <w:p w14:paraId="70FE3F9F">
            <w:pPr>
              <w:ind w:left="113" w:leftChars="0" w:right="113"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 xml:space="preserve">70 </w:t>
            </w:r>
          </w:p>
        </w:tc>
        <w:tc>
          <w:tcPr>
            <w:tcW w:w="537" w:type="pct"/>
            <w:tcBorders>
              <w:tl2br w:val="nil"/>
              <w:tr2bl w:val="nil"/>
            </w:tcBorders>
            <w:noWrap w:val="0"/>
            <w:vAlign w:val="center"/>
          </w:tcPr>
          <w:p w14:paraId="6CA527AD">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lang w:val="en-US" w:eastAsia="zh-CN"/>
              </w:rPr>
              <w:t>450</w:t>
            </w:r>
          </w:p>
        </w:tc>
        <w:tc>
          <w:tcPr>
            <w:tcW w:w="403" w:type="pct"/>
            <w:tcBorders>
              <w:tl2br w:val="nil"/>
              <w:tr2bl w:val="nil"/>
            </w:tcBorders>
            <w:noWrap w:val="0"/>
            <w:vAlign w:val="center"/>
          </w:tcPr>
          <w:p w14:paraId="469D08E6">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0.167 </w:t>
            </w:r>
          </w:p>
        </w:tc>
        <w:tc>
          <w:tcPr>
            <w:tcW w:w="407" w:type="pct"/>
            <w:tcBorders>
              <w:tl2br w:val="nil"/>
              <w:tr2bl w:val="nil"/>
            </w:tcBorders>
            <w:noWrap w:val="0"/>
            <w:vAlign w:val="center"/>
          </w:tcPr>
          <w:p w14:paraId="2B2370F7">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5E858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6C50C17A">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铅</w:t>
            </w:r>
          </w:p>
        </w:tc>
        <w:tc>
          <w:tcPr>
            <w:tcW w:w="484" w:type="pct"/>
            <w:tcBorders>
              <w:tl2br w:val="nil"/>
              <w:tr2bl w:val="nil"/>
            </w:tcBorders>
            <w:noWrap w:val="0"/>
            <w:vAlign w:val="center"/>
          </w:tcPr>
          <w:p w14:paraId="5C7621FD">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32FCC1B4">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0.001L</w:t>
            </w:r>
          </w:p>
        </w:tc>
        <w:tc>
          <w:tcPr>
            <w:tcW w:w="768" w:type="pct"/>
            <w:tcBorders>
              <w:tl2br w:val="nil"/>
              <w:tr2bl w:val="nil"/>
            </w:tcBorders>
            <w:noWrap w:val="0"/>
            <w:vAlign w:val="center"/>
          </w:tcPr>
          <w:p w14:paraId="13454287">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0.005</w:t>
            </w:r>
          </w:p>
        </w:tc>
        <w:tc>
          <w:tcPr>
            <w:tcW w:w="737" w:type="pct"/>
            <w:tcBorders>
              <w:tl2br w:val="nil"/>
              <w:tr2bl w:val="nil"/>
            </w:tcBorders>
            <w:noWrap w:val="0"/>
            <w:vAlign w:val="center"/>
          </w:tcPr>
          <w:p w14:paraId="4B92A52B">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0.001L</w:t>
            </w:r>
          </w:p>
        </w:tc>
        <w:tc>
          <w:tcPr>
            <w:tcW w:w="537" w:type="pct"/>
            <w:tcBorders>
              <w:tl2br w:val="nil"/>
              <w:tr2bl w:val="nil"/>
            </w:tcBorders>
            <w:noWrap w:val="0"/>
            <w:vAlign w:val="center"/>
          </w:tcPr>
          <w:p w14:paraId="75F7F3F4">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rPr>
              <w:t>0.</w:t>
            </w:r>
            <w:r>
              <w:rPr>
                <w:rFonts w:hint="default" w:ascii="Times New Roman" w:hAnsi="Times New Roman" w:cs="Times New Roman"/>
                <w:b w:val="0"/>
                <w:bCs w:val="0"/>
                <w:color w:val="auto"/>
                <w:sz w:val="21"/>
                <w:szCs w:val="21"/>
                <w:highlight w:val="none"/>
                <w:u w:val="none" w:color="auto"/>
                <w:shd w:val="clear" w:color="auto" w:fill="FFFFFF"/>
                <w:lang w:val="en-US" w:eastAsia="zh-CN"/>
              </w:rPr>
              <w:t>01</w:t>
            </w:r>
          </w:p>
        </w:tc>
        <w:tc>
          <w:tcPr>
            <w:tcW w:w="403" w:type="pct"/>
            <w:tcBorders>
              <w:tl2br w:val="nil"/>
              <w:tr2bl w:val="nil"/>
            </w:tcBorders>
            <w:noWrap w:val="0"/>
            <w:vAlign w:val="center"/>
          </w:tcPr>
          <w:p w14:paraId="6C4243B1">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0.500 </w:t>
            </w:r>
          </w:p>
        </w:tc>
        <w:tc>
          <w:tcPr>
            <w:tcW w:w="407" w:type="pct"/>
            <w:tcBorders>
              <w:tl2br w:val="nil"/>
              <w:tr2bl w:val="nil"/>
            </w:tcBorders>
            <w:noWrap w:val="0"/>
            <w:vAlign w:val="center"/>
          </w:tcPr>
          <w:p w14:paraId="4DBAD4F1">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17B59F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49E43C66">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镉</w:t>
            </w:r>
          </w:p>
        </w:tc>
        <w:tc>
          <w:tcPr>
            <w:tcW w:w="484" w:type="pct"/>
            <w:tcBorders>
              <w:tl2br w:val="nil"/>
              <w:tr2bl w:val="nil"/>
            </w:tcBorders>
            <w:noWrap w:val="0"/>
            <w:vAlign w:val="center"/>
          </w:tcPr>
          <w:p w14:paraId="7DE77ECC">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3A45B181">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0.0001L</w:t>
            </w:r>
          </w:p>
        </w:tc>
        <w:tc>
          <w:tcPr>
            <w:tcW w:w="768" w:type="pct"/>
            <w:tcBorders>
              <w:tl2br w:val="nil"/>
              <w:tr2bl w:val="nil"/>
            </w:tcBorders>
            <w:noWrap w:val="0"/>
            <w:vAlign w:val="center"/>
          </w:tcPr>
          <w:p w14:paraId="7FE58C23">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0.0001L</w:t>
            </w:r>
          </w:p>
        </w:tc>
        <w:tc>
          <w:tcPr>
            <w:tcW w:w="737" w:type="pct"/>
            <w:tcBorders>
              <w:tl2br w:val="nil"/>
              <w:tr2bl w:val="nil"/>
            </w:tcBorders>
            <w:noWrap w:val="0"/>
            <w:vAlign w:val="center"/>
          </w:tcPr>
          <w:p w14:paraId="561EA326">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0.0001L</w:t>
            </w:r>
          </w:p>
        </w:tc>
        <w:tc>
          <w:tcPr>
            <w:tcW w:w="537" w:type="pct"/>
            <w:tcBorders>
              <w:tl2br w:val="nil"/>
              <w:tr2bl w:val="nil"/>
            </w:tcBorders>
            <w:noWrap w:val="0"/>
            <w:vAlign w:val="center"/>
          </w:tcPr>
          <w:p w14:paraId="46CEEF03">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lang w:val="en-US" w:eastAsia="zh-CN"/>
              </w:rPr>
              <w:t>0.05</w:t>
            </w:r>
          </w:p>
        </w:tc>
        <w:tc>
          <w:tcPr>
            <w:tcW w:w="403" w:type="pct"/>
            <w:tcBorders>
              <w:tl2br w:val="nil"/>
              <w:tr2bl w:val="nil"/>
            </w:tcBorders>
            <w:noWrap w:val="0"/>
            <w:vAlign w:val="center"/>
          </w:tcPr>
          <w:p w14:paraId="58F701A8">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0.002 </w:t>
            </w:r>
          </w:p>
        </w:tc>
        <w:tc>
          <w:tcPr>
            <w:tcW w:w="407" w:type="pct"/>
            <w:tcBorders>
              <w:tl2br w:val="nil"/>
              <w:tr2bl w:val="nil"/>
            </w:tcBorders>
            <w:noWrap w:val="0"/>
            <w:vAlign w:val="center"/>
          </w:tcPr>
          <w:p w14:paraId="73D7090E">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10D44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4CACD6D1">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铁</w:t>
            </w:r>
          </w:p>
        </w:tc>
        <w:tc>
          <w:tcPr>
            <w:tcW w:w="484" w:type="pct"/>
            <w:tcBorders>
              <w:tl2br w:val="nil"/>
              <w:tr2bl w:val="nil"/>
            </w:tcBorders>
            <w:noWrap w:val="0"/>
            <w:vAlign w:val="center"/>
          </w:tcPr>
          <w:p w14:paraId="4324961B">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24EF743B">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0.03L</w:t>
            </w:r>
          </w:p>
        </w:tc>
        <w:tc>
          <w:tcPr>
            <w:tcW w:w="768" w:type="pct"/>
            <w:tcBorders>
              <w:tl2br w:val="nil"/>
              <w:tr2bl w:val="nil"/>
            </w:tcBorders>
            <w:noWrap w:val="0"/>
            <w:vAlign w:val="center"/>
          </w:tcPr>
          <w:p w14:paraId="450BFDDB">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0.05</w:t>
            </w:r>
          </w:p>
        </w:tc>
        <w:tc>
          <w:tcPr>
            <w:tcW w:w="737" w:type="pct"/>
            <w:tcBorders>
              <w:tl2br w:val="nil"/>
              <w:tr2bl w:val="nil"/>
            </w:tcBorders>
            <w:noWrap w:val="0"/>
            <w:vAlign w:val="center"/>
          </w:tcPr>
          <w:p w14:paraId="7519C16E">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0.03L</w:t>
            </w:r>
          </w:p>
        </w:tc>
        <w:tc>
          <w:tcPr>
            <w:tcW w:w="537" w:type="pct"/>
            <w:tcBorders>
              <w:tl2br w:val="nil"/>
              <w:tr2bl w:val="nil"/>
            </w:tcBorders>
            <w:noWrap w:val="0"/>
            <w:vAlign w:val="center"/>
          </w:tcPr>
          <w:p w14:paraId="056DCFC8">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lang w:val="en-US" w:eastAsia="zh-CN"/>
              </w:rPr>
              <w:t>0.3</w:t>
            </w:r>
          </w:p>
        </w:tc>
        <w:tc>
          <w:tcPr>
            <w:tcW w:w="403" w:type="pct"/>
            <w:tcBorders>
              <w:tl2br w:val="nil"/>
              <w:tr2bl w:val="nil"/>
            </w:tcBorders>
            <w:noWrap w:val="0"/>
            <w:vAlign w:val="center"/>
          </w:tcPr>
          <w:p w14:paraId="2C0FE932">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0.167 </w:t>
            </w:r>
          </w:p>
        </w:tc>
        <w:tc>
          <w:tcPr>
            <w:tcW w:w="407" w:type="pct"/>
            <w:tcBorders>
              <w:tl2br w:val="nil"/>
              <w:tr2bl w:val="nil"/>
            </w:tcBorders>
            <w:noWrap w:val="0"/>
            <w:vAlign w:val="center"/>
          </w:tcPr>
          <w:p w14:paraId="6F436C51">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4D94A3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4DA468C2">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锰</w:t>
            </w:r>
          </w:p>
        </w:tc>
        <w:tc>
          <w:tcPr>
            <w:tcW w:w="484" w:type="pct"/>
            <w:tcBorders>
              <w:tl2br w:val="nil"/>
              <w:tr2bl w:val="nil"/>
            </w:tcBorders>
            <w:noWrap w:val="0"/>
            <w:vAlign w:val="center"/>
          </w:tcPr>
          <w:p w14:paraId="50D90DF3">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4F550D21">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0.01L</w:t>
            </w:r>
          </w:p>
        </w:tc>
        <w:tc>
          <w:tcPr>
            <w:tcW w:w="768" w:type="pct"/>
            <w:tcBorders>
              <w:tl2br w:val="nil"/>
              <w:tr2bl w:val="nil"/>
            </w:tcBorders>
            <w:noWrap w:val="0"/>
            <w:vAlign w:val="center"/>
          </w:tcPr>
          <w:p w14:paraId="0A1CD3B4">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0.01L</w:t>
            </w:r>
          </w:p>
        </w:tc>
        <w:tc>
          <w:tcPr>
            <w:tcW w:w="737" w:type="pct"/>
            <w:tcBorders>
              <w:tl2br w:val="nil"/>
              <w:tr2bl w:val="nil"/>
            </w:tcBorders>
            <w:noWrap w:val="0"/>
            <w:vAlign w:val="center"/>
          </w:tcPr>
          <w:p w14:paraId="3662B88D">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0.01L</w:t>
            </w:r>
          </w:p>
        </w:tc>
        <w:tc>
          <w:tcPr>
            <w:tcW w:w="537" w:type="pct"/>
            <w:tcBorders>
              <w:tl2br w:val="nil"/>
              <w:tr2bl w:val="nil"/>
            </w:tcBorders>
            <w:noWrap w:val="0"/>
            <w:vAlign w:val="center"/>
          </w:tcPr>
          <w:p w14:paraId="267FCE46">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lang w:val="en-US" w:eastAsia="zh-CN"/>
              </w:rPr>
              <w:t>0.1</w:t>
            </w:r>
          </w:p>
        </w:tc>
        <w:tc>
          <w:tcPr>
            <w:tcW w:w="403" w:type="pct"/>
            <w:tcBorders>
              <w:tl2br w:val="nil"/>
              <w:tr2bl w:val="nil"/>
            </w:tcBorders>
            <w:noWrap w:val="0"/>
            <w:vAlign w:val="center"/>
          </w:tcPr>
          <w:p w14:paraId="2F1D505E">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0.100 </w:t>
            </w:r>
          </w:p>
        </w:tc>
        <w:tc>
          <w:tcPr>
            <w:tcW w:w="407" w:type="pct"/>
            <w:tcBorders>
              <w:tl2br w:val="nil"/>
              <w:tr2bl w:val="nil"/>
            </w:tcBorders>
            <w:noWrap w:val="0"/>
            <w:vAlign w:val="center"/>
          </w:tcPr>
          <w:p w14:paraId="20DA02B9">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495AC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404FF639">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溶解性总固体</w:t>
            </w:r>
          </w:p>
        </w:tc>
        <w:tc>
          <w:tcPr>
            <w:tcW w:w="484" w:type="pct"/>
            <w:tcBorders>
              <w:tl2br w:val="nil"/>
              <w:tr2bl w:val="nil"/>
            </w:tcBorders>
            <w:noWrap w:val="0"/>
            <w:vAlign w:val="center"/>
          </w:tcPr>
          <w:p w14:paraId="17156D87">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43A68D2B">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120</w:t>
            </w:r>
          </w:p>
        </w:tc>
        <w:tc>
          <w:tcPr>
            <w:tcW w:w="768" w:type="pct"/>
            <w:tcBorders>
              <w:tl2br w:val="nil"/>
              <w:tr2bl w:val="nil"/>
            </w:tcBorders>
            <w:noWrap w:val="0"/>
            <w:vAlign w:val="center"/>
          </w:tcPr>
          <w:p w14:paraId="7FD0FE3E">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110</w:t>
            </w:r>
          </w:p>
        </w:tc>
        <w:tc>
          <w:tcPr>
            <w:tcW w:w="737" w:type="pct"/>
            <w:tcBorders>
              <w:tl2br w:val="nil"/>
              <w:tr2bl w:val="nil"/>
            </w:tcBorders>
            <w:noWrap w:val="0"/>
            <w:vAlign w:val="center"/>
          </w:tcPr>
          <w:p w14:paraId="5044B53B">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115</w:t>
            </w:r>
          </w:p>
        </w:tc>
        <w:tc>
          <w:tcPr>
            <w:tcW w:w="537" w:type="pct"/>
            <w:tcBorders>
              <w:tl2br w:val="nil"/>
              <w:tr2bl w:val="nil"/>
            </w:tcBorders>
            <w:noWrap w:val="0"/>
            <w:vAlign w:val="center"/>
          </w:tcPr>
          <w:p w14:paraId="07DCF7DE">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lang w:val="en-US" w:eastAsia="zh-CN"/>
              </w:rPr>
              <w:t>1000</w:t>
            </w:r>
          </w:p>
        </w:tc>
        <w:tc>
          <w:tcPr>
            <w:tcW w:w="403" w:type="pct"/>
            <w:tcBorders>
              <w:tl2br w:val="nil"/>
              <w:tr2bl w:val="nil"/>
            </w:tcBorders>
            <w:noWrap w:val="0"/>
            <w:vAlign w:val="center"/>
          </w:tcPr>
          <w:p w14:paraId="3A241843">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0.120 </w:t>
            </w:r>
          </w:p>
        </w:tc>
        <w:tc>
          <w:tcPr>
            <w:tcW w:w="407" w:type="pct"/>
            <w:tcBorders>
              <w:tl2br w:val="nil"/>
              <w:tr2bl w:val="nil"/>
            </w:tcBorders>
            <w:noWrap w:val="0"/>
            <w:vAlign w:val="center"/>
          </w:tcPr>
          <w:p w14:paraId="6B5093D1">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0E8D62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0FD3F5EF">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高锰酸盐指数</w:t>
            </w:r>
          </w:p>
        </w:tc>
        <w:tc>
          <w:tcPr>
            <w:tcW w:w="484" w:type="pct"/>
            <w:tcBorders>
              <w:tl2br w:val="nil"/>
              <w:tr2bl w:val="nil"/>
            </w:tcBorders>
            <w:noWrap w:val="0"/>
            <w:vAlign w:val="center"/>
          </w:tcPr>
          <w:p w14:paraId="3E9A569D">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mg/L</w:t>
            </w:r>
          </w:p>
        </w:tc>
        <w:tc>
          <w:tcPr>
            <w:tcW w:w="730" w:type="pct"/>
            <w:tcBorders>
              <w:tl2br w:val="nil"/>
              <w:tr2bl w:val="nil"/>
            </w:tcBorders>
            <w:noWrap w:val="0"/>
            <w:vAlign w:val="center"/>
          </w:tcPr>
          <w:p w14:paraId="0EA0FA36">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w:t>
            </w:r>
          </w:p>
        </w:tc>
        <w:tc>
          <w:tcPr>
            <w:tcW w:w="768" w:type="pct"/>
            <w:tcBorders>
              <w:tl2br w:val="nil"/>
              <w:tr2bl w:val="nil"/>
            </w:tcBorders>
            <w:noWrap w:val="0"/>
            <w:vAlign w:val="center"/>
          </w:tcPr>
          <w:p w14:paraId="0E80DCC8">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1.4</w:t>
            </w:r>
          </w:p>
        </w:tc>
        <w:tc>
          <w:tcPr>
            <w:tcW w:w="737" w:type="pct"/>
            <w:tcBorders>
              <w:tl2br w:val="nil"/>
              <w:tr2bl w:val="nil"/>
            </w:tcBorders>
            <w:noWrap w:val="0"/>
            <w:vAlign w:val="center"/>
          </w:tcPr>
          <w:p w14:paraId="480180F7">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w:t>
            </w:r>
          </w:p>
        </w:tc>
        <w:tc>
          <w:tcPr>
            <w:tcW w:w="537" w:type="pct"/>
            <w:tcBorders>
              <w:tl2br w:val="nil"/>
              <w:tr2bl w:val="nil"/>
            </w:tcBorders>
            <w:noWrap w:val="0"/>
            <w:vAlign w:val="center"/>
          </w:tcPr>
          <w:p w14:paraId="468D7BF0">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lang w:val="en-US" w:eastAsia="zh-CN"/>
              </w:rPr>
              <w:t>3.0</w:t>
            </w:r>
          </w:p>
        </w:tc>
        <w:tc>
          <w:tcPr>
            <w:tcW w:w="403" w:type="pct"/>
            <w:tcBorders>
              <w:tl2br w:val="nil"/>
              <w:tr2bl w:val="nil"/>
            </w:tcBorders>
            <w:noWrap w:val="0"/>
            <w:vAlign w:val="center"/>
          </w:tcPr>
          <w:p w14:paraId="1B907411">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0.533 </w:t>
            </w:r>
          </w:p>
        </w:tc>
        <w:tc>
          <w:tcPr>
            <w:tcW w:w="407" w:type="pct"/>
            <w:tcBorders>
              <w:tl2br w:val="nil"/>
              <w:tr2bl w:val="nil"/>
            </w:tcBorders>
            <w:noWrap w:val="0"/>
            <w:vAlign w:val="center"/>
          </w:tcPr>
          <w:p w14:paraId="13F200B9">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AC0E3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71E5706D">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总大肠菌群</w:t>
            </w:r>
          </w:p>
        </w:tc>
        <w:tc>
          <w:tcPr>
            <w:tcW w:w="484" w:type="pct"/>
            <w:tcBorders>
              <w:tl2br w:val="nil"/>
              <w:tr2bl w:val="nil"/>
            </w:tcBorders>
            <w:noWrap w:val="0"/>
            <w:vAlign w:val="center"/>
          </w:tcPr>
          <w:p w14:paraId="3A0D2B7C">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MPN/100mL</w:t>
            </w:r>
          </w:p>
        </w:tc>
        <w:tc>
          <w:tcPr>
            <w:tcW w:w="730" w:type="pct"/>
            <w:tcBorders>
              <w:tl2br w:val="nil"/>
              <w:tr2bl w:val="nil"/>
            </w:tcBorders>
            <w:noWrap w:val="0"/>
            <w:vAlign w:val="center"/>
          </w:tcPr>
          <w:p w14:paraId="57FC7102">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768" w:type="pct"/>
            <w:tcBorders>
              <w:tl2br w:val="nil"/>
              <w:tr2bl w:val="nil"/>
            </w:tcBorders>
            <w:noWrap w:val="0"/>
            <w:vAlign w:val="center"/>
          </w:tcPr>
          <w:p w14:paraId="5E312BD5">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737" w:type="pct"/>
            <w:tcBorders>
              <w:tl2br w:val="nil"/>
              <w:tr2bl w:val="nil"/>
            </w:tcBorders>
            <w:noWrap w:val="0"/>
            <w:vAlign w:val="center"/>
          </w:tcPr>
          <w:p w14:paraId="4B4E6DC6">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未检出</w:t>
            </w:r>
          </w:p>
        </w:tc>
        <w:tc>
          <w:tcPr>
            <w:tcW w:w="537" w:type="pct"/>
            <w:tcBorders>
              <w:tl2br w:val="nil"/>
              <w:tr2bl w:val="nil"/>
            </w:tcBorders>
            <w:noWrap w:val="0"/>
            <w:vAlign w:val="center"/>
          </w:tcPr>
          <w:p w14:paraId="48067C74">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lang w:val="en-US" w:eastAsia="zh-CN"/>
              </w:rPr>
              <w:t>3.0</w:t>
            </w:r>
          </w:p>
        </w:tc>
        <w:tc>
          <w:tcPr>
            <w:tcW w:w="403" w:type="pct"/>
            <w:tcBorders>
              <w:tl2br w:val="nil"/>
              <w:tr2bl w:val="nil"/>
            </w:tcBorders>
            <w:noWrap w:val="0"/>
            <w:vAlign w:val="center"/>
          </w:tcPr>
          <w:p w14:paraId="7353B839">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w:t>
            </w:r>
          </w:p>
        </w:tc>
        <w:tc>
          <w:tcPr>
            <w:tcW w:w="407" w:type="pct"/>
            <w:tcBorders>
              <w:tl2br w:val="nil"/>
              <w:tr2bl w:val="nil"/>
            </w:tcBorders>
            <w:noWrap w:val="0"/>
            <w:vAlign w:val="center"/>
          </w:tcPr>
          <w:p w14:paraId="1BE0A139">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55C893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30" w:type="pct"/>
            <w:tcBorders>
              <w:tl2br w:val="nil"/>
              <w:tr2bl w:val="nil"/>
            </w:tcBorders>
            <w:noWrap w:val="0"/>
            <w:vAlign w:val="center"/>
          </w:tcPr>
          <w:p w14:paraId="5332D8CC">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细菌总数</w:t>
            </w:r>
          </w:p>
        </w:tc>
        <w:tc>
          <w:tcPr>
            <w:tcW w:w="484" w:type="pct"/>
            <w:tcBorders>
              <w:tl2br w:val="nil"/>
              <w:tr2bl w:val="nil"/>
            </w:tcBorders>
            <w:noWrap w:val="0"/>
            <w:vAlign w:val="center"/>
          </w:tcPr>
          <w:p w14:paraId="06EA3823">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CFU/mL</w:t>
            </w:r>
          </w:p>
        </w:tc>
        <w:tc>
          <w:tcPr>
            <w:tcW w:w="730" w:type="pct"/>
            <w:tcBorders>
              <w:tl2br w:val="nil"/>
              <w:tr2bl w:val="nil"/>
            </w:tcBorders>
            <w:noWrap w:val="0"/>
            <w:vAlign w:val="center"/>
          </w:tcPr>
          <w:p w14:paraId="6DC1E413">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w:t>
            </w:r>
          </w:p>
        </w:tc>
        <w:tc>
          <w:tcPr>
            <w:tcW w:w="768" w:type="pct"/>
            <w:tcBorders>
              <w:tl2br w:val="nil"/>
              <w:tr2bl w:val="nil"/>
            </w:tcBorders>
            <w:noWrap w:val="0"/>
            <w:vAlign w:val="center"/>
          </w:tcPr>
          <w:p w14:paraId="329C84DA">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w:t>
            </w:r>
          </w:p>
        </w:tc>
        <w:tc>
          <w:tcPr>
            <w:tcW w:w="737" w:type="pct"/>
            <w:tcBorders>
              <w:tl2br w:val="nil"/>
              <w:tr2bl w:val="nil"/>
            </w:tcBorders>
            <w:noWrap w:val="0"/>
            <w:vAlign w:val="center"/>
          </w:tcPr>
          <w:p w14:paraId="4C0B9758">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w:t>
            </w:r>
          </w:p>
        </w:tc>
        <w:tc>
          <w:tcPr>
            <w:tcW w:w="537" w:type="pct"/>
            <w:tcBorders>
              <w:tl2br w:val="nil"/>
              <w:tr2bl w:val="nil"/>
            </w:tcBorders>
            <w:noWrap w:val="0"/>
            <w:vAlign w:val="center"/>
          </w:tcPr>
          <w:p w14:paraId="72491B53">
            <w:pPr>
              <w:ind w:left="113" w:leftChars="0" w:right="113" w:right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b w:val="0"/>
                <w:bCs w:val="0"/>
                <w:color w:val="auto"/>
                <w:sz w:val="21"/>
                <w:szCs w:val="21"/>
                <w:highlight w:val="none"/>
                <w:u w:val="none" w:color="auto"/>
                <w:shd w:val="clear" w:color="auto" w:fill="FFFFFF"/>
                <w:lang w:val="en-US" w:eastAsia="zh-CN"/>
              </w:rPr>
              <w:t>100</w:t>
            </w:r>
          </w:p>
        </w:tc>
        <w:tc>
          <w:tcPr>
            <w:tcW w:w="403" w:type="pct"/>
            <w:tcBorders>
              <w:tl2br w:val="nil"/>
              <w:tr2bl w:val="nil"/>
            </w:tcBorders>
            <w:noWrap w:val="0"/>
            <w:vAlign w:val="center"/>
          </w:tcPr>
          <w:p w14:paraId="6DBF49FC">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0.200 </w:t>
            </w:r>
          </w:p>
        </w:tc>
        <w:tc>
          <w:tcPr>
            <w:tcW w:w="407" w:type="pct"/>
            <w:tcBorders>
              <w:tl2br w:val="nil"/>
              <w:tr2bl w:val="nil"/>
            </w:tcBorders>
            <w:noWrap w:val="0"/>
            <w:vAlign w:val="center"/>
          </w:tcPr>
          <w:p w14:paraId="0D37DB52">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r w14:paraId="6090F6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8"/>
            <w:tcBorders>
              <w:tl2br w:val="nil"/>
              <w:tr2bl w:val="nil"/>
            </w:tcBorders>
            <w:noWrap w:val="0"/>
            <w:vAlign w:val="center"/>
          </w:tcPr>
          <w:p w14:paraId="13793A4D">
            <w:pPr>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备注：“检出限+</w:t>
            </w:r>
            <w:r>
              <w:rPr>
                <w:rFonts w:hint="default" w:ascii="Times New Roman" w:hAnsi="Times New Roman" w:eastAsia="宋体" w:cs="Times New Roman"/>
                <w:sz w:val="21"/>
                <w:szCs w:val="21"/>
                <w:lang w:val="en-US" w:eastAsia="zh-CN"/>
              </w:rPr>
              <w:t>L</w:t>
            </w:r>
            <w:r>
              <w:rPr>
                <w:rFonts w:hint="default" w:ascii="Times New Roman" w:hAnsi="Times New Roman" w:eastAsia="宋体" w:cs="Times New Roman"/>
                <w:sz w:val="21"/>
                <w:szCs w:val="21"/>
              </w:rPr>
              <w:t>”表示检测结果低于本方法检出限，未检出</w:t>
            </w:r>
          </w:p>
        </w:tc>
      </w:tr>
    </w:tbl>
    <w:p w14:paraId="3F48AE90">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从</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上表</w:t>
      </w:r>
      <w:r>
        <w:rPr>
          <w:rFonts w:hint="default" w:ascii="Times New Roman" w:hAnsi="Times New Roman" w:eastAsia="宋体" w:cs="Times New Roman"/>
          <w:caps w:val="0"/>
          <w:smallCaps w:val="0"/>
          <w:color w:val="auto"/>
          <w:spacing w:val="0"/>
          <w:w w:val="100"/>
          <w:kern w:val="0"/>
          <w:position w:val="0"/>
          <w:sz w:val="24"/>
          <w:szCs w:val="24"/>
          <w:u w:val="none" w:color="auto"/>
        </w:rPr>
        <w:t>可以看出，本次地下水</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各</w:t>
      </w:r>
      <w:r>
        <w:rPr>
          <w:rFonts w:hint="default" w:ascii="Times New Roman" w:hAnsi="Times New Roman" w:eastAsia="宋体" w:cs="Times New Roman"/>
          <w:caps w:val="0"/>
          <w:smallCaps w:val="0"/>
          <w:color w:val="auto"/>
          <w:spacing w:val="0"/>
          <w:w w:val="100"/>
          <w:kern w:val="0"/>
          <w:position w:val="0"/>
          <w:sz w:val="24"/>
          <w:szCs w:val="24"/>
          <w:u w:val="none" w:color="auto"/>
        </w:rPr>
        <w:t>监测点位</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各</w:t>
      </w:r>
      <w:r>
        <w:rPr>
          <w:rFonts w:hint="default" w:ascii="Times New Roman" w:hAnsi="Times New Roman" w:eastAsia="宋体" w:cs="Times New Roman"/>
          <w:caps w:val="0"/>
          <w:smallCaps w:val="0"/>
          <w:color w:val="auto"/>
          <w:spacing w:val="0"/>
          <w:w w:val="100"/>
          <w:kern w:val="0"/>
          <w:position w:val="0"/>
          <w:sz w:val="24"/>
          <w:szCs w:val="24"/>
          <w:u w:val="none" w:color="auto"/>
        </w:rPr>
        <w:t>监测项目均达到《地下水质量标准》（GB/T14848-2017） Ⅲ类标准限值要求。</w:t>
      </w:r>
    </w:p>
    <w:p w14:paraId="0F683791">
      <w:pPr>
        <w:pStyle w:val="4"/>
        <w:bidi w:val="0"/>
        <w:rPr>
          <w:rFonts w:hint="default" w:ascii="Times New Roman" w:hAnsi="Times New Roman" w:cs="Times New Roman"/>
          <w:lang w:val="en-US" w:eastAsia="zh-CN"/>
        </w:rPr>
      </w:pPr>
      <w:bookmarkStart w:id="140" w:name="_Toc19257"/>
      <w:r>
        <w:rPr>
          <w:rFonts w:hint="default" w:ascii="Times New Roman" w:hAnsi="Times New Roman" w:cs="Times New Roman"/>
          <w:lang w:val="en-US" w:eastAsia="zh-CN"/>
        </w:rPr>
        <w:t>声环境现状调查与评价</w:t>
      </w:r>
      <w:bookmarkEnd w:id="140"/>
    </w:p>
    <w:p w14:paraId="3147174D">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bookmarkStart w:id="141" w:name="_Toc349391625"/>
      <w:bookmarkStart w:id="142" w:name="_Toc349896068"/>
      <w:bookmarkStart w:id="143" w:name="_Toc346269305"/>
      <w:bookmarkStart w:id="144" w:name="_Toc343177825"/>
      <w:bookmarkStart w:id="145" w:name="_Toc345602630"/>
      <w:bookmarkStart w:id="146" w:name="_Toc343583859"/>
      <w:r>
        <w:rPr>
          <w:rFonts w:hint="default" w:ascii="Times New Roman" w:hAnsi="Times New Roman" w:eastAsia="宋体" w:cs="Times New Roman"/>
          <w:b/>
          <w:bCs/>
          <w:color w:val="auto"/>
          <w:spacing w:val="0"/>
          <w:w w:val="100"/>
          <w:kern w:val="0"/>
          <w:position w:val="0"/>
          <w:sz w:val="24"/>
          <w:u w:val="none" w:color="auto"/>
          <w:lang w:val="en-US" w:eastAsia="zh-CN"/>
        </w:rPr>
        <w:t>1、监测布点</w:t>
      </w:r>
      <w:bookmarkEnd w:id="141"/>
      <w:bookmarkEnd w:id="142"/>
      <w:bookmarkEnd w:id="143"/>
      <w:bookmarkEnd w:id="144"/>
      <w:bookmarkEnd w:id="145"/>
      <w:bookmarkEnd w:id="146"/>
    </w:p>
    <w:p w14:paraId="245180E1">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本次噪声监测设置</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8</w:t>
      </w:r>
      <w:r>
        <w:rPr>
          <w:rFonts w:hint="default" w:ascii="Times New Roman" w:hAnsi="Times New Roman" w:eastAsia="宋体" w:cs="Times New Roman"/>
          <w:caps w:val="0"/>
          <w:smallCaps w:val="0"/>
          <w:color w:val="auto"/>
          <w:spacing w:val="0"/>
          <w:w w:val="100"/>
          <w:kern w:val="0"/>
          <w:position w:val="0"/>
          <w:sz w:val="24"/>
          <w:szCs w:val="24"/>
          <w:u w:val="none" w:color="auto"/>
        </w:rPr>
        <w:t>个噪声监测点：</w:t>
      </w:r>
    </w:p>
    <w:p w14:paraId="311AE52B">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N1：</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水库管理所北场界</w:t>
      </w:r>
    </w:p>
    <w:p w14:paraId="646C7E60">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N2：</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水库管理所东场界</w:t>
      </w:r>
    </w:p>
    <w:p w14:paraId="142FE7AD">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N3：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大坝右岸场界</w:t>
      </w:r>
    </w:p>
    <w:p w14:paraId="35480494">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N4：</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溢洪道南侧约30m居民点</w:t>
      </w:r>
    </w:p>
    <w:p w14:paraId="738852B5">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N5：</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大坝下游约25m居民点</w:t>
      </w:r>
    </w:p>
    <w:p w14:paraId="2E0E76EF">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N</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6</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输水暗涵东侧约20m居民点</w:t>
      </w:r>
    </w:p>
    <w:p w14:paraId="522B1580">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N</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7</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水库管理所东侧约15m居民点</w:t>
      </w:r>
    </w:p>
    <w:p w14:paraId="3D9BFFA1">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N</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8</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水库管理所西北侧约100m居民点</w:t>
      </w:r>
    </w:p>
    <w:p w14:paraId="3F6F451F">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bookmarkStart w:id="147" w:name="_Toc346269306"/>
      <w:bookmarkStart w:id="148" w:name="_Toc349391626"/>
      <w:bookmarkStart w:id="149" w:name="_Toc349896069"/>
      <w:r>
        <w:rPr>
          <w:rFonts w:hint="default" w:ascii="Times New Roman" w:hAnsi="Times New Roman" w:eastAsia="宋体" w:cs="Times New Roman"/>
          <w:b/>
          <w:bCs/>
          <w:color w:val="auto"/>
          <w:spacing w:val="0"/>
          <w:w w:val="100"/>
          <w:kern w:val="0"/>
          <w:position w:val="0"/>
          <w:sz w:val="24"/>
          <w:u w:val="none" w:color="auto"/>
          <w:lang w:val="en-US" w:eastAsia="zh-CN"/>
        </w:rPr>
        <w:t>2、监测因子</w:t>
      </w:r>
      <w:bookmarkEnd w:id="147"/>
      <w:bookmarkEnd w:id="148"/>
      <w:bookmarkEnd w:id="149"/>
    </w:p>
    <w:p w14:paraId="586E39A9">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监测因子为：等效连续A声级。</w:t>
      </w:r>
    </w:p>
    <w:p w14:paraId="6832B7B0">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bookmarkStart w:id="150" w:name="_Toc345602632"/>
      <w:bookmarkStart w:id="151" w:name="_Toc343583861"/>
      <w:bookmarkStart w:id="152" w:name="_Toc343177827"/>
      <w:bookmarkStart w:id="153" w:name="_Toc346269308"/>
      <w:bookmarkStart w:id="154" w:name="_Toc349896071"/>
      <w:bookmarkStart w:id="155" w:name="_Toc349391628"/>
      <w:r>
        <w:rPr>
          <w:rFonts w:hint="default" w:ascii="Times New Roman" w:hAnsi="Times New Roman" w:eastAsia="宋体" w:cs="Times New Roman"/>
          <w:b/>
          <w:bCs/>
          <w:color w:val="auto"/>
          <w:spacing w:val="0"/>
          <w:w w:val="100"/>
          <w:kern w:val="0"/>
          <w:position w:val="0"/>
          <w:sz w:val="24"/>
          <w:u w:val="none" w:color="auto"/>
          <w:lang w:val="en-US" w:eastAsia="zh-CN"/>
        </w:rPr>
        <w:t>3、监测方法</w:t>
      </w:r>
      <w:bookmarkEnd w:id="150"/>
      <w:bookmarkEnd w:id="151"/>
      <w:bookmarkEnd w:id="152"/>
      <w:bookmarkEnd w:id="153"/>
      <w:bookmarkEnd w:id="154"/>
      <w:bookmarkEnd w:id="155"/>
    </w:p>
    <w:p w14:paraId="4524692D">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按照《声环境质量标准》（GB3096-2008）有关规定进行。选择无雨、风速小于5m/s时进行测量</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22D32966">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bookmarkStart w:id="156" w:name="_Toc343177828"/>
      <w:bookmarkStart w:id="157" w:name="_Toc346269309"/>
      <w:bookmarkStart w:id="158" w:name="_Toc349391629"/>
      <w:bookmarkStart w:id="159" w:name="_Toc349896072"/>
      <w:bookmarkStart w:id="160" w:name="_Toc343583862"/>
      <w:bookmarkStart w:id="161" w:name="_Toc345602633"/>
      <w:r>
        <w:rPr>
          <w:rFonts w:hint="default" w:ascii="Times New Roman" w:hAnsi="Times New Roman" w:eastAsia="宋体" w:cs="Times New Roman"/>
          <w:b/>
          <w:bCs/>
          <w:color w:val="auto"/>
          <w:spacing w:val="0"/>
          <w:w w:val="100"/>
          <w:kern w:val="0"/>
          <w:position w:val="0"/>
          <w:sz w:val="24"/>
          <w:u w:val="none" w:color="auto"/>
          <w:lang w:val="en-US" w:eastAsia="zh-CN"/>
        </w:rPr>
        <w:t>4、评价方法</w:t>
      </w:r>
      <w:bookmarkEnd w:id="156"/>
      <w:bookmarkEnd w:id="157"/>
      <w:bookmarkEnd w:id="158"/>
      <w:bookmarkEnd w:id="159"/>
      <w:bookmarkEnd w:id="160"/>
      <w:bookmarkEnd w:id="161"/>
    </w:p>
    <w:p w14:paraId="08F24B5F">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对监测结果作统计分析，与评价标准进行比较，评价项目场址周围地区现状噪声质量情况。</w:t>
      </w:r>
    </w:p>
    <w:p w14:paraId="740496E8">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bookmarkStart w:id="162" w:name="_Toc343177826"/>
      <w:bookmarkStart w:id="163" w:name="_Toc343583860"/>
      <w:bookmarkStart w:id="164" w:name="_Toc349896070"/>
      <w:bookmarkStart w:id="165" w:name="_Toc346269307"/>
      <w:bookmarkStart w:id="166" w:name="_Toc349391627"/>
      <w:bookmarkStart w:id="167" w:name="_Toc345602631"/>
      <w:bookmarkStart w:id="168" w:name="_Toc349896073"/>
      <w:bookmarkStart w:id="169" w:name="_Toc345602634"/>
      <w:bookmarkStart w:id="170" w:name="_Toc343177829"/>
      <w:bookmarkStart w:id="171" w:name="_Toc349391630"/>
      <w:bookmarkStart w:id="172" w:name="_Toc346269310"/>
      <w:bookmarkStart w:id="173" w:name="_Toc343583863"/>
      <w:r>
        <w:rPr>
          <w:rFonts w:hint="default" w:ascii="Times New Roman" w:hAnsi="Times New Roman" w:eastAsia="宋体" w:cs="Times New Roman"/>
          <w:b/>
          <w:bCs/>
          <w:color w:val="auto"/>
          <w:spacing w:val="0"/>
          <w:w w:val="100"/>
          <w:kern w:val="0"/>
          <w:position w:val="0"/>
          <w:sz w:val="24"/>
          <w:u w:val="none" w:color="auto"/>
          <w:lang w:val="en-US" w:eastAsia="zh-CN"/>
        </w:rPr>
        <w:t>5、监测时间和频率</w:t>
      </w:r>
      <w:bookmarkEnd w:id="162"/>
      <w:bookmarkEnd w:id="163"/>
      <w:bookmarkEnd w:id="164"/>
      <w:bookmarkEnd w:id="165"/>
      <w:bookmarkEnd w:id="166"/>
      <w:bookmarkEnd w:id="167"/>
    </w:p>
    <w:p w14:paraId="769B8F0D">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监测时间为202</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4</w:t>
      </w:r>
      <w:r>
        <w:rPr>
          <w:rFonts w:hint="default" w:ascii="Times New Roman" w:hAnsi="Times New Roman" w:eastAsia="宋体" w:cs="Times New Roman"/>
          <w:caps w:val="0"/>
          <w:smallCaps w:val="0"/>
          <w:color w:val="auto"/>
          <w:spacing w:val="0"/>
          <w:w w:val="100"/>
          <w:kern w:val="0"/>
          <w:position w:val="0"/>
          <w:sz w:val="24"/>
          <w:szCs w:val="24"/>
          <w:u w:val="none" w:color="auto"/>
        </w:rPr>
        <w:t>年</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default" w:ascii="Times New Roman" w:hAnsi="Times New Roman" w:eastAsia="宋体" w:cs="Times New Roman"/>
          <w:caps w:val="0"/>
          <w:smallCaps w:val="0"/>
          <w:color w:val="auto"/>
          <w:spacing w:val="0"/>
          <w:w w:val="100"/>
          <w:kern w:val="0"/>
          <w:position w:val="0"/>
          <w:sz w:val="24"/>
          <w:szCs w:val="24"/>
          <w:u w:val="none" w:color="auto"/>
        </w:rPr>
        <w:t>月</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9</w:t>
      </w:r>
      <w:r>
        <w:rPr>
          <w:rFonts w:hint="default" w:ascii="Times New Roman" w:hAnsi="Times New Roman" w:eastAsia="宋体" w:cs="Times New Roman"/>
          <w:caps w:val="0"/>
          <w:smallCaps w:val="0"/>
          <w:color w:val="auto"/>
          <w:spacing w:val="0"/>
          <w:w w:val="100"/>
          <w:kern w:val="0"/>
          <w:position w:val="0"/>
          <w:sz w:val="24"/>
          <w:szCs w:val="24"/>
          <w:u w:val="none" w:color="auto"/>
        </w:rPr>
        <w:t>日～</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default" w:ascii="Times New Roman" w:hAnsi="Times New Roman" w:eastAsia="宋体" w:cs="Times New Roman"/>
          <w:caps w:val="0"/>
          <w:smallCaps w:val="0"/>
          <w:color w:val="auto"/>
          <w:spacing w:val="0"/>
          <w:w w:val="100"/>
          <w:kern w:val="0"/>
          <w:position w:val="0"/>
          <w:sz w:val="24"/>
          <w:szCs w:val="24"/>
          <w:u w:val="none" w:color="auto"/>
        </w:rPr>
        <w:t>月</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10</w:t>
      </w:r>
      <w:r>
        <w:rPr>
          <w:rFonts w:hint="default" w:ascii="Times New Roman" w:hAnsi="Times New Roman" w:eastAsia="宋体" w:cs="Times New Roman"/>
          <w:caps w:val="0"/>
          <w:smallCaps w:val="0"/>
          <w:color w:val="auto"/>
          <w:spacing w:val="0"/>
          <w:w w:val="100"/>
          <w:kern w:val="0"/>
          <w:position w:val="0"/>
          <w:sz w:val="24"/>
          <w:szCs w:val="24"/>
          <w:u w:val="none" w:color="auto"/>
        </w:rPr>
        <w:t>日，连续监测2天，每天昼间、夜间各监测1次。</w:t>
      </w:r>
    </w:p>
    <w:p w14:paraId="54CC6226">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6、评价标准</w:t>
      </w:r>
      <w:bookmarkEnd w:id="168"/>
      <w:bookmarkEnd w:id="169"/>
      <w:bookmarkEnd w:id="170"/>
      <w:bookmarkEnd w:id="171"/>
      <w:bookmarkEnd w:id="172"/>
      <w:bookmarkEnd w:id="173"/>
    </w:p>
    <w:p w14:paraId="22244B37">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《声环境质量标准》（GB3096-2008）</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default" w:ascii="Times New Roman" w:hAnsi="Times New Roman" w:eastAsia="宋体" w:cs="Times New Roman"/>
          <w:caps w:val="0"/>
          <w:smallCaps w:val="0"/>
          <w:color w:val="auto"/>
          <w:spacing w:val="0"/>
          <w:w w:val="100"/>
          <w:kern w:val="0"/>
          <w:position w:val="0"/>
          <w:sz w:val="24"/>
          <w:szCs w:val="24"/>
          <w:u w:val="none" w:color="auto"/>
        </w:rPr>
        <w:t>类标准</w:t>
      </w:r>
      <w:bookmarkStart w:id="174" w:name="_Toc349391631"/>
      <w:bookmarkStart w:id="175" w:name="_Toc346269311"/>
      <w:bookmarkStart w:id="176" w:name="_Toc349896074"/>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33121253">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7、监测结果及评价</w:t>
      </w:r>
      <w:bookmarkEnd w:id="174"/>
      <w:bookmarkEnd w:id="175"/>
      <w:bookmarkEnd w:id="176"/>
    </w:p>
    <w:p w14:paraId="0C71C767">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厂界声环境质量监测与评价结果见表3.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2-12</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0C6F86F8">
      <w:pPr>
        <w:pageBreakBefore w:val="0"/>
        <w:kinsoku w:val="0"/>
        <w:wordWrap w:val="0"/>
        <w:overflowPunct/>
        <w:topLinePunct/>
        <w:autoSpaceDE/>
        <w:autoSpaceDN/>
        <w:bidi w:val="0"/>
        <w:spacing w:line="240" w:lineRule="auto"/>
        <w:jc w:val="center"/>
        <w:rPr>
          <w:rFonts w:hint="default" w:ascii="Times New Roman" w:hAnsi="Times New Roman" w:eastAsia="宋体" w:cs="Times New Roman"/>
          <w:b/>
          <w:caps w:val="0"/>
          <w:smallCaps w:val="0"/>
          <w:color w:val="auto"/>
          <w:spacing w:val="0"/>
          <w:w w:val="100"/>
          <w:position w:val="0"/>
          <w:szCs w:val="21"/>
          <w:u w:val="none" w:color="auto"/>
        </w:rPr>
      </w:pPr>
      <w:r>
        <w:rPr>
          <w:rFonts w:hint="default" w:ascii="Times New Roman" w:hAnsi="Times New Roman" w:eastAsia="宋体" w:cs="Times New Roman"/>
          <w:b/>
          <w:caps w:val="0"/>
          <w:smallCaps w:val="0"/>
          <w:color w:val="auto"/>
          <w:spacing w:val="0"/>
          <w:w w:val="100"/>
          <w:position w:val="0"/>
          <w:szCs w:val="21"/>
          <w:u w:val="none" w:color="auto"/>
        </w:rPr>
        <w:t>表3.</w:t>
      </w:r>
      <w:r>
        <w:rPr>
          <w:rFonts w:hint="default" w:ascii="Times New Roman" w:hAnsi="Times New Roman" w:eastAsia="宋体" w:cs="Times New Roman"/>
          <w:b/>
          <w:caps w:val="0"/>
          <w:smallCaps w:val="0"/>
          <w:color w:val="auto"/>
          <w:spacing w:val="0"/>
          <w:w w:val="100"/>
          <w:position w:val="0"/>
          <w:szCs w:val="21"/>
          <w:u w:val="none" w:color="auto"/>
          <w:lang w:val="en-US" w:eastAsia="zh-CN"/>
        </w:rPr>
        <w:t xml:space="preserve">2-12 </w:t>
      </w:r>
      <w:r>
        <w:rPr>
          <w:rFonts w:hint="default" w:ascii="Times New Roman" w:hAnsi="Times New Roman" w:eastAsia="宋体" w:cs="Times New Roman"/>
          <w:b/>
          <w:caps w:val="0"/>
          <w:smallCaps w:val="0"/>
          <w:color w:val="auto"/>
          <w:spacing w:val="0"/>
          <w:w w:val="100"/>
          <w:position w:val="0"/>
          <w:szCs w:val="21"/>
          <w:u w:val="none" w:color="auto"/>
        </w:rPr>
        <w:t xml:space="preserve">  </w:t>
      </w:r>
      <w:r>
        <w:rPr>
          <w:rFonts w:hint="default" w:ascii="Times New Roman" w:hAnsi="Times New Roman" w:eastAsia="宋体" w:cs="Times New Roman"/>
          <w:b/>
          <w:caps w:val="0"/>
          <w:smallCaps w:val="0"/>
          <w:color w:val="auto"/>
          <w:spacing w:val="0"/>
          <w:w w:val="100"/>
          <w:position w:val="0"/>
          <w:szCs w:val="21"/>
          <w:u w:val="none" w:color="auto"/>
          <w:lang w:val="en-US" w:eastAsia="zh-CN"/>
        </w:rPr>
        <w:t>声环境质量现状</w:t>
      </w:r>
      <w:r>
        <w:rPr>
          <w:rFonts w:hint="default" w:ascii="Times New Roman" w:hAnsi="Times New Roman" w:eastAsia="宋体" w:cs="Times New Roman"/>
          <w:b/>
          <w:caps w:val="0"/>
          <w:smallCaps w:val="0"/>
          <w:color w:val="auto"/>
          <w:spacing w:val="0"/>
          <w:w w:val="100"/>
          <w:position w:val="0"/>
          <w:szCs w:val="21"/>
          <w:u w:val="none" w:color="auto"/>
        </w:rPr>
        <w:t>监测及评价结果表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350"/>
        <w:gridCol w:w="1294"/>
        <w:gridCol w:w="1294"/>
        <w:gridCol w:w="1294"/>
        <w:gridCol w:w="1295"/>
      </w:tblGrid>
      <w:tr w14:paraId="68A78D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14" w:type="dxa"/>
            <w:vMerge w:val="restart"/>
            <w:tcBorders>
              <w:tl2br w:val="nil"/>
              <w:tr2bl w:val="nil"/>
            </w:tcBorders>
            <w:shd w:val="clear" w:color="auto" w:fill="auto"/>
            <w:vAlign w:val="center"/>
          </w:tcPr>
          <w:p w14:paraId="12869AAE">
            <w:pPr>
              <w:widowControl/>
              <w:adjustRightInd w:val="0"/>
              <w:snapToGrid w:val="0"/>
              <w:jc w:val="center"/>
              <w:rPr>
                <w:rFonts w:hint="default" w:ascii="Times New Roman" w:hAnsi="Times New Roman" w:eastAsia="宋体" w:cs="Times New Roman"/>
                <w:b/>
                <w:bCs/>
                <w:snapToGrid w:val="0"/>
                <w:kern w:val="0"/>
                <w:sz w:val="21"/>
                <w:szCs w:val="21"/>
              </w:rPr>
            </w:pPr>
            <w:r>
              <w:rPr>
                <w:rFonts w:hint="default" w:ascii="Times New Roman" w:hAnsi="Times New Roman" w:eastAsia="宋体" w:cs="Times New Roman"/>
                <w:b/>
                <w:bCs/>
                <w:snapToGrid w:val="0"/>
                <w:kern w:val="0"/>
                <w:sz w:val="21"/>
                <w:szCs w:val="21"/>
              </w:rPr>
              <w:t>采样点位</w:t>
            </w:r>
          </w:p>
        </w:tc>
        <w:tc>
          <w:tcPr>
            <w:tcW w:w="5265" w:type="dxa"/>
            <w:gridSpan w:val="4"/>
            <w:tcBorders>
              <w:tl2br w:val="nil"/>
              <w:tr2bl w:val="nil"/>
            </w:tcBorders>
            <w:shd w:val="clear" w:color="auto" w:fill="auto"/>
            <w:vAlign w:val="center"/>
          </w:tcPr>
          <w:p w14:paraId="24823245">
            <w:pPr>
              <w:widowControl/>
              <w:adjustRightInd w:val="0"/>
              <w:snapToGrid w:val="0"/>
              <w:spacing w:line="300" w:lineRule="exact"/>
              <w:jc w:val="center"/>
              <w:rPr>
                <w:rFonts w:hint="default" w:ascii="Times New Roman" w:hAnsi="Times New Roman" w:eastAsia="宋体" w:cs="Times New Roman"/>
                <w:b/>
                <w:bCs/>
                <w:snapToGrid w:val="0"/>
                <w:kern w:val="0"/>
                <w:sz w:val="21"/>
                <w:szCs w:val="21"/>
              </w:rPr>
            </w:pPr>
            <w:r>
              <w:rPr>
                <w:rFonts w:hint="default" w:ascii="Times New Roman" w:hAnsi="Times New Roman" w:eastAsia="宋体" w:cs="Times New Roman"/>
                <w:b/>
                <w:bCs/>
                <w:snapToGrid w:val="0"/>
                <w:kern w:val="0"/>
                <w:sz w:val="21"/>
                <w:szCs w:val="21"/>
              </w:rPr>
              <w:t>采样时间及检测结果</w:t>
            </w:r>
            <w:r>
              <w:rPr>
                <w:rFonts w:hint="default" w:ascii="Times New Roman" w:hAnsi="Times New Roman" w:eastAsia="宋体" w:cs="Times New Roman"/>
                <w:b/>
                <w:bCs/>
                <w:sz w:val="21"/>
                <w:szCs w:val="21"/>
                <w:shd w:val="clear" w:color="auto" w:fill="FFFFFF"/>
              </w:rPr>
              <w:t>dB（A）</w:t>
            </w:r>
          </w:p>
        </w:tc>
      </w:tr>
      <w:tr w14:paraId="04F2CF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14" w:type="dxa"/>
            <w:vMerge w:val="continue"/>
            <w:tcBorders>
              <w:tl2br w:val="nil"/>
              <w:tr2bl w:val="nil"/>
            </w:tcBorders>
            <w:shd w:val="clear" w:color="auto" w:fill="auto"/>
            <w:vAlign w:val="center"/>
          </w:tcPr>
          <w:p w14:paraId="6D2385A8">
            <w:pPr>
              <w:jc w:val="center"/>
              <w:rPr>
                <w:rFonts w:hint="default" w:ascii="Times New Roman" w:hAnsi="Times New Roman" w:eastAsia="宋体" w:cs="Times New Roman"/>
                <w:sz w:val="21"/>
                <w:szCs w:val="21"/>
              </w:rPr>
            </w:pPr>
          </w:p>
        </w:tc>
        <w:tc>
          <w:tcPr>
            <w:tcW w:w="2632" w:type="dxa"/>
            <w:gridSpan w:val="2"/>
            <w:tcBorders>
              <w:tl2br w:val="nil"/>
              <w:tr2bl w:val="nil"/>
            </w:tcBorders>
            <w:shd w:val="clear" w:color="auto" w:fill="auto"/>
            <w:vAlign w:val="center"/>
          </w:tcPr>
          <w:p w14:paraId="67932089">
            <w:pPr>
              <w:widowControl/>
              <w:adjustRightInd w:val="0"/>
              <w:snapToGrid w:val="0"/>
              <w:spacing w:line="300" w:lineRule="exact"/>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kern w:val="2"/>
                <w:sz w:val="21"/>
                <w:szCs w:val="21"/>
                <w:lang w:val="en-US" w:eastAsia="zh-CN" w:bidi="ar-SA"/>
              </w:rPr>
              <w:t>2024.05.09</w:t>
            </w:r>
          </w:p>
        </w:tc>
        <w:tc>
          <w:tcPr>
            <w:tcW w:w="2633" w:type="dxa"/>
            <w:gridSpan w:val="2"/>
            <w:tcBorders>
              <w:tl2br w:val="nil"/>
              <w:tr2bl w:val="nil"/>
            </w:tcBorders>
            <w:shd w:val="clear" w:color="auto" w:fill="auto"/>
            <w:vAlign w:val="center"/>
          </w:tcPr>
          <w:p w14:paraId="21DDC005">
            <w:pPr>
              <w:widowControl/>
              <w:adjustRightInd w:val="0"/>
              <w:snapToGrid w:val="0"/>
              <w:spacing w:line="300" w:lineRule="exact"/>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kern w:val="2"/>
                <w:sz w:val="21"/>
                <w:szCs w:val="21"/>
                <w:lang w:val="en-US" w:eastAsia="zh-CN" w:bidi="ar-SA"/>
              </w:rPr>
              <w:t>2024.05.10</w:t>
            </w:r>
          </w:p>
        </w:tc>
      </w:tr>
      <w:tr w14:paraId="5FFED7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414" w:type="dxa"/>
            <w:vMerge w:val="continue"/>
            <w:tcBorders>
              <w:tl2br w:val="nil"/>
              <w:tr2bl w:val="nil"/>
            </w:tcBorders>
            <w:shd w:val="clear" w:color="auto" w:fill="auto"/>
            <w:vAlign w:val="center"/>
          </w:tcPr>
          <w:p w14:paraId="548A1B08">
            <w:pPr>
              <w:jc w:val="center"/>
              <w:rPr>
                <w:rFonts w:hint="default" w:ascii="Times New Roman" w:hAnsi="Times New Roman" w:eastAsia="宋体" w:cs="Times New Roman"/>
                <w:sz w:val="21"/>
                <w:szCs w:val="21"/>
              </w:rPr>
            </w:pPr>
          </w:p>
        </w:tc>
        <w:tc>
          <w:tcPr>
            <w:tcW w:w="1316" w:type="dxa"/>
            <w:tcBorders>
              <w:tl2br w:val="nil"/>
              <w:tr2bl w:val="nil"/>
            </w:tcBorders>
            <w:shd w:val="clear" w:color="auto" w:fill="auto"/>
            <w:vAlign w:val="center"/>
          </w:tcPr>
          <w:p w14:paraId="1226C605">
            <w:pPr>
              <w:widowControl/>
              <w:adjustRightInd w:val="0"/>
              <w:snapToGrid w:val="0"/>
              <w:spacing w:line="300" w:lineRule="exact"/>
              <w:jc w:val="center"/>
              <w:rPr>
                <w:rFonts w:hint="default" w:ascii="Times New Roman" w:hAnsi="Times New Roman" w:eastAsia="宋体" w:cs="Times New Roman"/>
                <w:snapToGrid w:val="0"/>
                <w:sz w:val="21"/>
                <w:szCs w:val="21"/>
              </w:rPr>
            </w:pPr>
            <w:r>
              <w:rPr>
                <w:rFonts w:hint="default" w:ascii="Times New Roman" w:hAnsi="Times New Roman" w:eastAsia="宋体" w:cs="Times New Roman"/>
                <w:snapToGrid w:val="0"/>
                <w:sz w:val="21"/>
                <w:szCs w:val="21"/>
              </w:rPr>
              <w:t>昼间（Leq）</w:t>
            </w:r>
          </w:p>
        </w:tc>
        <w:tc>
          <w:tcPr>
            <w:tcW w:w="1316" w:type="dxa"/>
            <w:tcBorders>
              <w:tl2br w:val="nil"/>
              <w:tr2bl w:val="nil"/>
            </w:tcBorders>
            <w:shd w:val="clear" w:color="auto" w:fill="auto"/>
            <w:vAlign w:val="center"/>
          </w:tcPr>
          <w:p w14:paraId="05238893">
            <w:pPr>
              <w:widowControl/>
              <w:adjustRightInd w:val="0"/>
              <w:snapToGrid w:val="0"/>
              <w:spacing w:line="300" w:lineRule="exact"/>
              <w:jc w:val="center"/>
              <w:rPr>
                <w:rFonts w:hint="default" w:ascii="Times New Roman" w:hAnsi="Times New Roman" w:eastAsia="宋体" w:cs="Times New Roman"/>
                <w:snapToGrid w:val="0"/>
                <w:sz w:val="21"/>
                <w:szCs w:val="21"/>
              </w:rPr>
            </w:pPr>
            <w:r>
              <w:rPr>
                <w:rFonts w:hint="default" w:ascii="Times New Roman" w:hAnsi="Times New Roman" w:eastAsia="宋体" w:cs="Times New Roman"/>
                <w:snapToGrid w:val="0"/>
                <w:sz w:val="21"/>
                <w:szCs w:val="21"/>
              </w:rPr>
              <w:t>夜间（Leq）</w:t>
            </w:r>
          </w:p>
        </w:tc>
        <w:tc>
          <w:tcPr>
            <w:tcW w:w="1316" w:type="dxa"/>
            <w:tcBorders>
              <w:tl2br w:val="nil"/>
              <w:tr2bl w:val="nil"/>
            </w:tcBorders>
            <w:shd w:val="clear" w:color="auto" w:fill="auto"/>
            <w:vAlign w:val="center"/>
          </w:tcPr>
          <w:p w14:paraId="5DB1638E">
            <w:pPr>
              <w:widowControl/>
              <w:adjustRightInd w:val="0"/>
              <w:snapToGrid w:val="0"/>
              <w:spacing w:line="300" w:lineRule="exact"/>
              <w:jc w:val="center"/>
              <w:rPr>
                <w:rFonts w:hint="default" w:ascii="Times New Roman" w:hAnsi="Times New Roman" w:eastAsia="宋体" w:cs="Times New Roman"/>
                <w:snapToGrid w:val="0"/>
                <w:sz w:val="21"/>
                <w:szCs w:val="21"/>
              </w:rPr>
            </w:pPr>
            <w:r>
              <w:rPr>
                <w:rFonts w:hint="default" w:ascii="Times New Roman" w:hAnsi="Times New Roman" w:eastAsia="宋体" w:cs="Times New Roman"/>
                <w:snapToGrid w:val="0"/>
                <w:sz w:val="21"/>
                <w:szCs w:val="21"/>
              </w:rPr>
              <w:t>昼间（Leq）</w:t>
            </w:r>
          </w:p>
        </w:tc>
        <w:tc>
          <w:tcPr>
            <w:tcW w:w="1317" w:type="dxa"/>
            <w:tcBorders>
              <w:tl2br w:val="nil"/>
              <w:tr2bl w:val="nil"/>
            </w:tcBorders>
            <w:shd w:val="clear" w:color="auto" w:fill="auto"/>
            <w:vAlign w:val="center"/>
          </w:tcPr>
          <w:p w14:paraId="2293101D">
            <w:pPr>
              <w:widowControl/>
              <w:adjustRightInd w:val="0"/>
              <w:snapToGrid w:val="0"/>
              <w:spacing w:line="300" w:lineRule="exact"/>
              <w:jc w:val="center"/>
              <w:rPr>
                <w:rFonts w:hint="default" w:ascii="Times New Roman" w:hAnsi="Times New Roman" w:eastAsia="宋体" w:cs="Times New Roman"/>
                <w:snapToGrid w:val="0"/>
                <w:sz w:val="21"/>
                <w:szCs w:val="21"/>
              </w:rPr>
            </w:pPr>
            <w:r>
              <w:rPr>
                <w:rFonts w:hint="default" w:ascii="Times New Roman" w:hAnsi="Times New Roman" w:eastAsia="宋体" w:cs="Times New Roman"/>
                <w:snapToGrid w:val="0"/>
                <w:sz w:val="21"/>
                <w:szCs w:val="21"/>
              </w:rPr>
              <w:t>夜间（Leq）</w:t>
            </w:r>
          </w:p>
        </w:tc>
      </w:tr>
      <w:tr w14:paraId="4729D0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4" w:type="dxa"/>
            <w:tcBorders>
              <w:tl2br w:val="nil"/>
              <w:tr2bl w:val="nil"/>
            </w:tcBorders>
            <w:shd w:val="clear" w:color="auto" w:fill="auto"/>
            <w:vAlign w:val="center"/>
          </w:tcPr>
          <w:p w14:paraId="2A15302F">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N1 水库管理所北场界</w:t>
            </w:r>
          </w:p>
        </w:tc>
        <w:tc>
          <w:tcPr>
            <w:tcW w:w="1316" w:type="dxa"/>
            <w:tcBorders>
              <w:tl2br w:val="nil"/>
              <w:tr2bl w:val="nil"/>
            </w:tcBorders>
            <w:shd w:val="clear" w:color="auto" w:fill="auto"/>
            <w:vAlign w:val="center"/>
          </w:tcPr>
          <w:p w14:paraId="0080E35C">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52.2</w:t>
            </w:r>
          </w:p>
        </w:tc>
        <w:tc>
          <w:tcPr>
            <w:tcW w:w="1316" w:type="dxa"/>
            <w:tcBorders>
              <w:tl2br w:val="nil"/>
              <w:tr2bl w:val="nil"/>
            </w:tcBorders>
            <w:shd w:val="clear" w:color="auto" w:fill="auto"/>
            <w:vAlign w:val="center"/>
          </w:tcPr>
          <w:p w14:paraId="4AFEFF1A">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43.8</w:t>
            </w:r>
          </w:p>
        </w:tc>
        <w:tc>
          <w:tcPr>
            <w:tcW w:w="1316" w:type="dxa"/>
            <w:tcBorders>
              <w:tl2br w:val="nil"/>
              <w:tr2bl w:val="nil"/>
            </w:tcBorders>
            <w:shd w:val="clear" w:color="auto" w:fill="auto"/>
            <w:vAlign w:val="center"/>
          </w:tcPr>
          <w:p w14:paraId="4D7542F2">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52.8</w:t>
            </w:r>
          </w:p>
        </w:tc>
        <w:tc>
          <w:tcPr>
            <w:tcW w:w="1317" w:type="dxa"/>
            <w:tcBorders>
              <w:tl2br w:val="nil"/>
              <w:tr2bl w:val="nil"/>
            </w:tcBorders>
            <w:shd w:val="clear" w:color="auto" w:fill="auto"/>
            <w:vAlign w:val="center"/>
          </w:tcPr>
          <w:p w14:paraId="38C273FD">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43.7</w:t>
            </w:r>
          </w:p>
        </w:tc>
      </w:tr>
      <w:tr w14:paraId="28C185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4" w:type="dxa"/>
            <w:tcBorders>
              <w:tl2br w:val="nil"/>
              <w:tr2bl w:val="nil"/>
            </w:tcBorders>
            <w:shd w:val="clear" w:color="auto" w:fill="auto"/>
            <w:vAlign w:val="center"/>
          </w:tcPr>
          <w:p w14:paraId="55E4BD96">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N2 水库管理所东场界</w:t>
            </w:r>
          </w:p>
        </w:tc>
        <w:tc>
          <w:tcPr>
            <w:tcW w:w="1316" w:type="dxa"/>
            <w:tcBorders>
              <w:tl2br w:val="nil"/>
              <w:tr2bl w:val="nil"/>
            </w:tcBorders>
            <w:shd w:val="clear" w:color="auto" w:fill="auto"/>
            <w:vAlign w:val="center"/>
          </w:tcPr>
          <w:p w14:paraId="2A3D54A4">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52.1</w:t>
            </w:r>
          </w:p>
        </w:tc>
        <w:tc>
          <w:tcPr>
            <w:tcW w:w="1316" w:type="dxa"/>
            <w:tcBorders>
              <w:tl2br w:val="nil"/>
              <w:tr2bl w:val="nil"/>
            </w:tcBorders>
            <w:shd w:val="clear" w:color="auto" w:fill="auto"/>
            <w:vAlign w:val="center"/>
          </w:tcPr>
          <w:p w14:paraId="4C6CBDED">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42.6</w:t>
            </w:r>
          </w:p>
        </w:tc>
        <w:tc>
          <w:tcPr>
            <w:tcW w:w="1316" w:type="dxa"/>
            <w:tcBorders>
              <w:tl2br w:val="nil"/>
              <w:tr2bl w:val="nil"/>
            </w:tcBorders>
            <w:shd w:val="clear" w:color="auto" w:fill="auto"/>
            <w:vAlign w:val="center"/>
          </w:tcPr>
          <w:p w14:paraId="7AE5B01D">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52.5</w:t>
            </w:r>
          </w:p>
        </w:tc>
        <w:tc>
          <w:tcPr>
            <w:tcW w:w="1317" w:type="dxa"/>
            <w:tcBorders>
              <w:tl2br w:val="nil"/>
              <w:tr2bl w:val="nil"/>
            </w:tcBorders>
            <w:shd w:val="clear" w:color="auto" w:fill="auto"/>
            <w:vAlign w:val="center"/>
          </w:tcPr>
          <w:p w14:paraId="1EE34970">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42.2</w:t>
            </w:r>
          </w:p>
        </w:tc>
      </w:tr>
      <w:tr w14:paraId="363E1C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4" w:type="dxa"/>
            <w:tcBorders>
              <w:tl2br w:val="nil"/>
              <w:tr2bl w:val="nil"/>
            </w:tcBorders>
            <w:shd w:val="clear" w:color="auto" w:fill="auto"/>
            <w:vAlign w:val="center"/>
          </w:tcPr>
          <w:p w14:paraId="798113AD">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N3 大坝右岸场界</w:t>
            </w:r>
          </w:p>
        </w:tc>
        <w:tc>
          <w:tcPr>
            <w:tcW w:w="1316" w:type="dxa"/>
            <w:tcBorders>
              <w:tl2br w:val="nil"/>
              <w:tr2bl w:val="nil"/>
            </w:tcBorders>
            <w:shd w:val="clear" w:color="auto" w:fill="auto"/>
            <w:vAlign w:val="center"/>
          </w:tcPr>
          <w:p w14:paraId="24FEB2A3">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snapToGrid w:val="0"/>
                <w:color w:val="auto"/>
                <w:sz w:val="21"/>
                <w:szCs w:val="21"/>
                <w:lang w:val="en-US" w:eastAsia="zh-CN"/>
              </w:rPr>
              <w:t>51.4</w:t>
            </w:r>
          </w:p>
        </w:tc>
        <w:tc>
          <w:tcPr>
            <w:tcW w:w="1316" w:type="dxa"/>
            <w:tcBorders>
              <w:tl2br w:val="nil"/>
              <w:tr2bl w:val="nil"/>
            </w:tcBorders>
            <w:shd w:val="clear" w:color="auto" w:fill="auto"/>
            <w:vAlign w:val="center"/>
          </w:tcPr>
          <w:p w14:paraId="0B09474A">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kern w:val="2"/>
                <w:sz w:val="21"/>
                <w:szCs w:val="21"/>
                <w:lang w:val="en-US" w:eastAsia="zh-CN" w:bidi="ar-SA"/>
              </w:rPr>
            </w:pPr>
            <w:r>
              <w:rPr>
                <w:rFonts w:hint="default" w:ascii="Times New Roman" w:hAnsi="Times New Roman" w:eastAsia="宋体" w:cs="Times New Roman"/>
                <w:snapToGrid w:val="0"/>
                <w:color w:val="auto"/>
                <w:sz w:val="21"/>
                <w:szCs w:val="21"/>
                <w:lang w:val="en-US" w:eastAsia="zh-CN"/>
              </w:rPr>
              <w:t>42.8</w:t>
            </w:r>
          </w:p>
        </w:tc>
        <w:tc>
          <w:tcPr>
            <w:tcW w:w="1316" w:type="dxa"/>
            <w:tcBorders>
              <w:tl2br w:val="nil"/>
              <w:tr2bl w:val="nil"/>
            </w:tcBorders>
            <w:shd w:val="clear" w:color="auto" w:fill="auto"/>
            <w:vAlign w:val="center"/>
          </w:tcPr>
          <w:p w14:paraId="38A17649">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51.8</w:t>
            </w:r>
          </w:p>
        </w:tc>
        <w:tc>
          <w:tcPr>
            <w:tcW w:w="1317" w:type="dxa"/>
            <w:tcBorders>
              <w:tl2br w:val="nil"/>
              <w:tr2bl w:val="nil"/>
            </w:tcBorders>
            <w:shd w:val="clear" w:color="auto" w:fill="auto"/>
            <w:vAlign w:val="center"/>
          </w:tcPr>
          <w:p w14:paraId="10F57908">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42.8</w:t>
            </w:r>
          </w:p>
        </w:tc>
      </w:tr>
      <w:tr w14:paraId="349BA2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4" w:type="dxa"/>
            <w:tcBorders>
              <w:tl2br w:val="nil"/>
              <w:tr2bl w:val="nil"/>
            </w:tcBorders>
            <w:shd w:val="clear" w:color="auto" w:fill="auto"/>
            <w:vAlign w:val="center"/>
          </w:tcPr>
          <w:p w14:paraId="0047357A">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N4 溢洪道南侧约30m居民点</w:t>
            </w:r>
          </w:p>
        </w:tc>
        <w:tc>
          <w:tcPr>
            <w:tcW w:w="1316" w:type="dxa"/>
            <w:tcBorders>
              <w:tl2br w:val="nil"/>
              <w:tr2bl w:val="nil"/>
            </w:tcBorders>
            <w:shd w:val="clear" w:color="auto" w:fill="auto"/>
            <w:vAlign w:val="center"/>
          </w:tcPr>
          <w:p w14:paraId="06DA4EE7">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52.8</w:t>
            </w:r>
          </w:p>
        </w:tc>
        <w:tc>
          <w:tcPr>
            <w:tcW w:w="1316" w:type="dxa"/>
            <w:tcBorders>
              <w:tl2br w:val="nil"/>
              <w:tr2bl w:val="nil"/>
            </w:tcBorders>
            <w:shd w:val="clear" w:color="auto" w:fill="auto"/>
            <w:vAlign w:val="center"/>
          </w:tcPr>
          <w:p w14:paraId="47A71CAE">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42.3</w:t>
            </w:r>
          </w:p>
        </w:tc>
        <w:tc>
          <w:tcPr>
            <w:tcW w:w="1316" w:type="dxa"/>
            <w:tcBorders>
              <w:tl2br w:val="nil"/>
              <w:tr2bl w:val="nil"/>
            </w:tcBorders>
            <w:shd w:val="clear" w:color="auto" w:fill="auto"/>
            <w:vAlign w:val="center"/>
          </w:tcPr>
          <w:p w14:paraId="1FE3E65B">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52.4</w:t>
            </w:r>
          </w:p>
        </w:tc>
        <w:tc>
          <w:tcPr>
            <w:tcW w:w="1317" w:type="dxa"/>
            <w:tcBorders>
              <w:tl2br w:val="nil"/>
              <w:tr2bl w:val="nil"/>
            </w:tcBorders>
            <w:shd w:val="clear" w:color="auto" w:fill="auto"/>
            <w:vAlign w:val="center"/>
          </w:tcPr>
          <w:p w14:paraId="33F94EC7">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42.5</w:t>
            </w:r>
          </w:p>
        </w:tc>
      </w:tr>
      <w:tr w14:paraId="6C2698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4" w:type="dxa"/>
            <w:tcBorders>
              <w:tl2br w:val="nil"/>
              <w:tr2bl w:val="nil"/>
            </w:tcBorders>
            <w:shd w:val="clear" w:color="auto" w:fill="auto"/>
            <w:vAlign w:val="center"/>
          </w:tcPr>
          <w:p w14:paraId="3B843285">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N5 大坝下游约25m居民点</w:t>
            </w:r>
          </w:p>
        </w:tc>
        <w:tc>
          <w:tcPr>
            <w:tcW w:w="1316" w:type="dxa"/>
            <w:tcBorders>
              <w:tl2br w:val="nil"/>
              <w:tr2bl w:val="nil"/>
            </w:tcBorders>
            <w:shd w:val="clear" w:color="auto" w:fill="auto"/>
            <w:vAlign w:val="center"/>
          </w:tcPr>
          <w:p w14:paraId="1E85E4D2">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51.7</w:t>
            </w:r>
          </w:p>
        </w:tc>
        <w:tc>
          <w:tcPr>
            <w:tcW w:w="1316" w:type="dxa"/>
            <w:tcBorders>
              <w:tl2br w:val="nil"/>
              <w:tr2bl w:val="nil"/>
            </w:tcBorders>
            <w:shd w:val="clear" w:color="auto" w:fill="auto"/>
            <w:vAlign w:val="center"/>
          </w:tcPr>
          <w:p w14:paraId="5CE96BCE">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43.5</w:t>
            </w:r>
          </w:p>
        </w:tc>
        <w:tc>
          <w:tcPr>
            <w:tcW w:w="1316" w:type="dxa"/>
            <w:tcBorders>
              <w:tl2br w:val="nil"/>
              <w:tr2bl w:val="nil"/>
            </w:tcBorders>
            <w:shd w:val="clear" w:color="auto" w:fill="auto"/>
            <w:vAlign w:val="center"/>
          </w:tcPr>
          <w:p w14:paraId="2B6B2DE7">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51.2</w:t>
            </w:r>
          </w:p>
        </w:tc>
        <w:tc>
          <w:tcPr>
            <w:tcW w:w="1317" w:type="dxa"/>
            <w:tcBorders>
              <w:tl2br w:val="nil"/>
              <w:tr2bl w:val="nil"/>
            </w:tcBorders>
            <w:shd w:val="clear" w:color="auto" w:fill="auto"/>
            <w:vAlign w:val="center"/>
          </w:tcPr>
          <w:p w14:paraId="1B17474D">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43.1</w:t>
            </w:r>
          </w:p>
        </w:tc>
      </w:tr>
      <w:tr w14:paraId="41A076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4" w:type="dxa"/>
            <w:tcBorders>
              <w:tl2br w:val="nil"/>
              <w:tr2bl w:val="nil"/>
            </w:tcBorders>
            <w:shd w:val="clear" w:color="auto" w:fill="auto"/>
            <w:vAlign w:val="center"/>
          </w:tcPr>
          <w:p w14:paraId="15C08C96">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N6 输水暗涵东侧约20m居民点</w:t>
            </w:r>
          </w:p>
        </w:tc>
        <w:tc>
          <w:tcPr>
            <w:tcW w:w="1316" w:type="dxa"/>
            <w:tcBorders>
              <w:tl2br w:val="nil"/>
              <w:tr2bl w:val="nil"/>
            </w:tcBorders>
            <w:shd w:val="clear" w:color="auto" w:fill="auto"/>
            <w:vAlign w:val="center"/>
          </w:tcPr>
          <w:p w14:paraId="350A9A7F">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52.9</w:t>
            </w:r>
          </w:p>
        </w:tc>
        <w:tc>
          <w:tcPr>
            <w:tcW w:w="1316" w:type="dxa"/>
            <w:tcBorders>
              <w:tl2br w:val="nil"/>
              <w:tr2bl w:val="nil"/>
            </w:tcBorders>
            <w:shd w:val="clear" w:color="auto" w:fill="auto"/>
            <w:vAlign w:val="center"/>
          </w:tcPr>
          <w:p w14:paraId="10D4ACDE">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42.8</w:t>
            </w:r>
          </w:p>
        </w:tc>
        <w:tc>
          <w:tcPr>
            <w:tcW w:w="1316" w:type="dxa"/>
            <w:tcBorders>
              <w:tl2br w:val="nil"/>
              <w:tr2bl w:val="nil"/>
            </w:tcBorders>
            <w:shd w:val="clear" w:color="auto" w:fill="auto"/>
            <w:vAlign w:val="center"/>
          </w:tcPr>
          <w:p w14:paraId="40902102">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52.0</w:t>
            </w:r>
          </w:p>
        </w:tc>
        <w:tc>
          <w:tcPr>
            <w:tcW w:w="1317" w:type="dxa"/>
            <w:tcBorders>
              <w:tl2br w:val="nil"/>
              <w:tr2bl w:val="nil"/>
            </w:tcBorders>
            <w:shd w:val="clear" w:color="auto" w:fill="auto"/>
            <w:vAlign w:val="center"/>
          </w:tcPr>
          <w:p w14:paraId="69188C9B">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42.3</w:t>
            </w:r>
          </w:p>
        </w:tc>
      </w:tr>
      <w:tr w14:paraId="18A884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4" w:type="dxa"/>
            <w:tcBorders>
              <w:tl2br w:val="nil"/>
              <w:tr2bl w:val="nil"/>
            </w:tcBorders>
            <w:shd w:val="clear" w:color="auto" w:fill="auto"/>
            <w:vAlign w:val="center"/>
          </w:tcPr>
          <w:p w14:paraId="181AEBDF">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N7 水库管理所东侧约15m居民点</w:t>
            </w:r>
          </w:p>
        </w:tc>
        <w:tc>
          <w:tcPr>
            <w:tcW w:w="1316" w:type="dxa"/>
            <w:tcBorders>
              <w:tl2br w:val="nil"/>
              <w:tr2bl w:val="nil"/>
            </w:tcBorders>
            <w:shd w:val="clear" w:color="auto" w:fill="auto"/>
            <w:vAlign w:val="center"/>
          </w:tcPr>
          <w:p w14:paraId="00A842A3">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51.9</w:t>
            </w:r>
          </w:p>
        </w:tc>
        <w:tc>
          <w:tcPr>
            <w:tcW w:w="1316" w:type="dxa"/>
            <w:tcBorders>
              <w:tl2br w:val="nil"/>
              <w:tr2bl w:val="nil"/>
            </w:tcBorders>
            <w:shd w:val="clear" w:color="auto" w:fill="auto"/>
            <w:vAlign w:val="center"/>
          </w:tcPr>
          <w:p w14:paraId="756CB6C0">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41.3</w:t>
            </w:r>
          </w:p>
        </w:tc>
        <w:tc>
          <w:tcPr>
            <w:tcW w:w="1316" w:type="dxa"/>
            <w:tcBorders>
              <w:tl2br w:val="nil"/>
              <w:tr2bl w:val="nil"/>
            </w:tcBorders>
            <w:shd w:val="clear" w:color="auto" w:fill="auto"/>
            <w:vAlign w:val="center"/>
          </w:tcPr>
          <w:p w14:paraId="0945C5BE">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51.9</w:t>
            </w:r>
          </w:p>
        </w:tc>
        <w:tc>
          <w:tcPr>
            <w:tcW w:w="1317" w:type="dxa"/>
            <w:tcBorders>
              <w:tl2br w:val="nil"/>
              <w:tr2bl w:val="nil"/>
            </w:tcBorders>
            <w:shd w:val="clear" w:color="auto" w:fill="auto"/>
            <w:vAlign w:val="center"/>
          </w:tcPr>
          <w:p w14:paraId="23320C96">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41.9</w:t>
            </w:r>
          </w:p>
        </w:tc>
      </w:tr>
      <w:tr w14:paraId="651ABD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4" w:type="dxa"/>
            <w:tcBorders>
              <w:tl2br w:val="nil"/>
              <w:tr2bl w:val="nil"/>
            </w:tcBorders>
            <w:shd w:val="clear" w:color="auto" w:fill="auto"/>
            <w:vAlign w:val="center"/>
          </w:tcPr>
          <w:p w14:paraId="713C055A">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N8 水库管理所西北侧约100m</w:t>
            </w:r>
          </w:p>
          <w:p w14:paraId="077FD996">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居民点</w:t>
            </w:r>
          </w:p>
        </w:tc>
        <w:tc>
          <w:tcPr>
            <w:tcW w:w="1316" w:type="dxa"/>
            <w:tcBorders>
              <w:tl2br w:val="nil"/>
              <w:tr2bl w:val="nil"/>
            </w:tcBorders>
            <w:shd w:val="clear" w:color="auto" w:fill="auto"/>
            <w:vAlign w:val="center"/>
          </w:tcPr>
          <w:p w14:paraId="22B576C5">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51.5</w:t>
            </w:r>
          </w:p>
        </w:tc>
        <w:tc>
          <w:tcPr>
            <w:tcW w:w="1316" w:type="dxa"/>
            <w:tcBorders>
              <w:tl2br w:val="nil"/>
              <w:tr2bl w:val="nil"/>
            </w:tcBorders>
            <w:shd w:val="clear" w:color="auto" w:fill="auto"/>
            <w:vAlign w:val="center"/>
          </w:tcPr>
          <w:p w14:paraId="78BCC897">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42.1</w:t>
            </w:r>
          </w:p>
        </w:tc>
        <w:tc>
          <w:tcPr>
            <w:tcW w:w="1316" w:type="dxa"/>
            <w:tcBorders>
              <w:tl2br w:val="nil"/>
              <w:tr2bl w:val="nil"/>
            </w:tcBorders>
            <w:shd w:val="clear" w:color="auto" w:fill="auto"/>
            <w:vAlign w:val="center"/>
          </w:tcPr>
          <w:p w14:paraId="03237E0E">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51.3</w:t>
            </w:r>
          </w:p>
        </w:tc>
        <w:tc>
          <w:tcPr>
            <w:tcW w:w="1317" w:type="dxa"/>
            <w:tcBorders>
              <w:tl2br w:val="nil"/>
              <w:tr2bl w:val="nil"/>
            </w:tcBorders>
            <w:shd w:val="clear" w:color="auto" w:fill="auto"/>
            <w:vAlign w:val="center"/>
          </w:tcPr>
          <w:p w14:paraId="617CBD09">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42.4</w:t>
            </w:r>
          </w:p>
        </w:tc>
      </w:tr>
      <w:tr w14:paraId="349DFF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4" w:type="dxa"/>
            <w:tcBorders>
              <w:tl2br w:val="nil"/>
              <w:tr2bl w:val="nil"/>
            </w:tcBorders>
            <w:shd w:val="clear" w:color="auto" w:fill="auto"/>
            <w:vAlign w:val="center"/>
          </w:tcPr>
          <w:p w14:paraId="24439EE9">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N9 引水渠北侧居民点</w:t>
            </w:r>
          </w:p>
        </w:tc>
        <w:tc>
          <w:tcPr>
            <w:tcW w:w="1316" w:type="dxa"/>
            <w:tcBorders>
              <w:tl2br w:val="nil"/>
              <w:tr2bl w:val="nil"/>
            </w:tcBorders>
            <w:shd w:val="clear" w:color="auto" w:fill="auto"/>
            <w:vAlign w:val="center"/>
          </w:tcPr>
          <w:p w14:paraId="5F12484E">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52.7</w:t>
            </w:r>
          </w:p>
        </w:tc>
        <w:tc>
          <w:tcPr>
            <w:tcW w:w="1316" w:type="dxa"/>
            <w:tcBorders>
              <w:tl2br w:val="nil"/>
              <w:tr2bl w:val="nil"/>
            </w:tcBorders>
            <w:shd w:val="clear" w:color="auto" w:fill="auto"/>
            <w:vAlign w:val="center"/>
          </w:tcPr>
          <w:p w14:paraId="7532FE45">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42.4</w:t>
            </w:r>
          </w:p>
        </w:tc>
        <w:tc>
          <w:tcPr>
            <w:tcW w:w="1316" w:type="dxa"/>
            <w:tcBorders>
              <w:tl2br w:val="nil"/>
              <w:tr2bl w:val="nil"/>
            </w:tcBorders>
            <w:shd w:val="clear" w:color="auto" w:fill="auto"/>
            <w:vAlign w:val="center"/>
          </w:tcPr>
          <w:p w14:paraId="084A9EDF">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52.7</w:t>
            </w:r>
          </w:p>
        </w:tc>
        <w:tc>
          <w:tcPr>
            <w:tcW w:w="1317" w:type="dxa"/>
            <w:tcBorders>
              <w:tl2br w:val="nil"/>
              <w:tr2bl w:val="nil"/>
            </w:tcBorders>
            <w:shd w:val="clear" w:color="auto" w:fill="auto"/>
            <w:vAlign w:val="center"/>
          </w:tcPr>
          <w:p w14:paraId="724EF896">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42.6</w:t>
            </w:r>
          </w:p>
        </w:tc>
      </w:tr>
      <w:tr w14:paraId="63BA27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4" w:type="dxa"/>
            <w:tcBorders>
              <w:tl2br w:val="nil"/>
              <w:tr2bl w:val="nil"/>
            </w:tcBorders>
            <w:shd w:val="clear" w:color="auto" w:fill="auto"/>
            <w:vAlign w:val="center"/>
          </w:tcPr>
          <w:p w14:paraId="2ED99127">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N10 引水渠东侧约25m居民点</w:t>
            </w:r>
          </w:p>
        </w:tc>
        <w:tc>
          <w:tcPr>
            <w:tcW w:w="1316" w:type="dxa"/>
            <w:tcBorders>
              <w:tl2br w:val="nil"/>
              <w:tr2bl w:val="nil"/>
            </w:tcBorders>
            <w:shd w:val="clear" w:color="auto" w:fill="auto"/>
            <w:vAlign w:val="center"/>
          </w:tcPr>
          <w:p w14:paraId="581490DF">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52.3</w:t>
            </w:r>
          </w:p>
        </w:tc>
        <w:tc>
          <w:tcPr>
            <w:tcW w:w="1316" w:type="dxa"/>
            <w:tcBorders>
              <w:tl2br w:val="nil"/>
              <w:tr2bl w:val="nil"/>
            </w:tcBorders>
            <w:shd w:val="clear" w:color="auto" w:fill="auto"/>
            <w:vAlign w:val="center"/>
          </w:tcPr>
          <w:p w14:paraId="70E35148">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41.7</w:t>
            </w:r>
          </w:p>
        </w:tc>
        <w:tc>
          <w:tcPr>
            <w:tcW w:w="1316" w:type="dxa"/>
            <w:tcBorders>
              <w:tl2br w:val="nil"/>
              <w:tr2bl w:val="nil"/>
            </w:tcBorders>
            <w:shd w:val="clear" w:color="auto" w:fill="auto"/>
            <w:vAlign w:val="center"/>
          </w:tcPr>
          <w:p w14:paraId="7D9191B5">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52.9</w:t>
            </w:r>
          </w:p>
        </w:tc>
        <w:tc>
          <w:tcPr>
            <w:tcW w:w="1317" w:type="dxa"/>
            <w:tcBorders>
              <w:tl2br w:val="nil"/>
              <w:tr2bl w:val="nil"/>
            </w:tcBorders>
            <w:shd w:val="clear" w:color="auto" w:fill="auto"/>
            <w:vAlign w:val="center"/>
          </w:tcPr>
          <w:p w14:paraId="04B30396">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41.2</w:t>
            </w:r>
          </w:p>
        </w:tc>
      </w:tr>
      <w:tr w14:paraId="61430B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4" w:type="dxa"/>
            <w:tcBorders>
              <w:tl2br w:val="nil"/>
              <w:tr2bl w:val="nil"/>
            </w:tcBorders>
            <w:shd w:val="clear" w:color="auto" w:fill="auto"/>
            <w:vAlign w:val="center"/>
          </w:tcPr>
          <w:p w14:paraId="161D55AE">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1类标准值</w:t>
            </w:r>
          </w:p>
        </w:tc>
        <w:tc>
          <w:tcPr>
            <w:tcW w:w="1316" w:type="dxa"/>
            <w:tcBorders>
              <w:tl2br w:val="nil"/>
              <w:tr2bl w:val="nil"/>
            </w:tcBorders>
            <w:shd w:val="clear" w:color="auto" w:fill="auto"/>
            <w:vAlign w:val="center"/>
          </w:tcPr>
          <w:p w14:paraId="6B2F3B5F">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55</w:t>
            </w:r>
          </w:p>
        </w:tc>
        <w:tc>
          <w:tcPr>
            <w:tcW w:w="1316" w:type="dxa"/>
            <w:tcBorders>
              <w:tl2br w:val="nil"/>
              <w:tr2bl w:val="nil"/>
            </w:tcBorders>
            <w:shd w:val="clear" w:color="auto" w:fill="auto"/>
            <w:vAlign w:val="center"/>
          </w:tcPr>
          <w:p w14:paraId="3B3F41B6">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snapToGrid w:val="0"/>
                <w:color w:val="auto"/>
                <w:kern w:val="0"/>
                <w:sz w:val="21"/>
                <w:szCs w:val="21"/>
                <w:lang w:val="en-US" w:eastAsia="zh-CN"/>
              </w:rPr>
              <w:t>45</w:t>
            </w:r>
          </w:p>
        </w:tc>
        <w:tc>
          <w:tcPr>
            <w:tcW w:w="1316" w:type="dxa"/>
            <w:tcBorders>
              <w:tl2br w:val="nil"/>
              <w:tr2bl w:val="nil"/>
            </w:tcBorders>
            <w:shd w:val="clear" w:color="auto" w:fill="auto"/>
            <w:vAlign w:val="center"/>
          </w:tcPr>
          <w:p w14:paraId="59A0CBD7">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rPr>
              <w:t>55</w:t>
            </w:r>
          </w:p>
        </w:tc>
        <w:tc>
          <w:tcPr>
            <w:tcW w:w="1317" w:type="dxa"/>
            <w:tcBorders>
              <w:tl2br w:val="nil"/>
              <w:tr2bl w:val="nil"/>
            </w:tcBorders>
            <w:shd w:val="clear" w:color="auto" w:fill="auto"/>
            <w:vAlign w:val="center"/>
          </w:tcPr>
          <w:p w14:paraId="07B613B3">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rPr>
              <w:t>45</w:t>
            </w:r>
          </w:p>
        </w:tc>
      </w:tr>
      <w:tr w14:paraId="7A70D1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4" w:type="dxa"/>
            <w:tcBorders>
              <w:tl2br w:val="nil"/>
              <w:tr2bl w:val="nil"/>
            </w:tcBorders>
            <w:shd w:val="clear" w:color="auto" w:fill="auto"/>
            <w:vAlign w:val="center"/>
          </w:tcPr>
          <w:p w14:paraId="0C8E0187">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达标情况</w:t>
            </w:r>
          </w:p>
        </w:tc>
        <w:tc>
          <w:tcPr>
            <w:tcW w:w="1316" w:type="dxa"/>
            <w:tcBorders>
              <w:tl2br w:val="nil"/>
              <w:tr2bl w:val="nil"/>
            </w:tcBorders>
            <w:shd w:val="clear" w:color="auto" w:fill="auto"/>
            <w:vAlign w:val="center"/>
          </w:tcPr>
          <w:p w14:paraId="41003F43">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c>
          <w:tcPr>
            <w:tcW w:w="1316" w:type="dxa"/>
            <w:tcBorders>
              <w:tl2br w:val="nil"/>
              <w:tr2bl w:val="nil"/>
            </w:tcBorders>
            <w:shd w:val="clear" w:color="auto" w:fill="auto"/>
            <w:vAlign w:val="center"/>
          </w:tcPr>
          <w:p w14:paraId="45EBDB00">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c>
          <w:tcPr>
            <w:tcW w:w="1316" w:type="dxa"/>
            <w:tcBorders>
              <w:tl2br w:val="nil"/>
              <w:tr2bl w:val="nil"/>
            </w:tcBorders>
            <w:shd w:val="clear" w:color="auto" w:fill="auto"/>
            <w:vAlign w:val="center"/>
          </w:tcPr>
          <w:p w14:paraId="72A5AED1">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c>
          <w:tcPr>
            <w:tcW w:w="1317" w:type="dxa"/>
            <w:tcBorders>
              <w:tl2br w:val="nil"/>
              <w:tr2bl w:val="nil"/>
            </w:tcBorders>
            <w:shd w:val="clear" w:color="auto" w:fill="auto"/>
            <w:vAlign w:val="center"/>
          </w:tcPr>
          <w:p w14:paraId="1478533D">
            <w:pPr>
              <w:spacing w:before="0" w:after="0" w:line="240" w:lineRule="auto"/>
              <w:ind w:left="0" w:leftChars="0" w:right="0" w:rightChars="0" w:firstLine="0" w:firstLineChars="0"/>
              <w:jc w:val="center"/>
              <w:rPr>
                <w:rFonts w:hint="default" w:ascii="Times New Roman" w:hAnsi="Times New Roman" w:eastAsia="宋体" w:cs="Times New Roman"/>
                <w:snapToGrid w:val="0"/>
                <w:color w:val="auto"/>
                <w:kern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达标</w:t>
            </w:r>
          </w:p>
        </w:tc>
      </w:tr>
    </w:tbl>
    <w:p w14:paraId="389A5214">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从表3.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4-12</w:t>
      </w:r>
      <w:r>
        <w:rPr>
          <w:rFonts w:hint="default" w:ascii="Times New Roman" w:hAnsi="Times New Roman" w:eastAsia="宋体" w:cs="Times New Roman"/>
          <w:caps w:val="0"/>
          <w:smallCaps w:val="0"/>
          <w:color w:val="auto"/>
          <w:spacing w:val="0"/>
          <w:w w:val="100"/>
          <w:kern w:val="0"/>
          <w:position w:val="0"/>
          <w:sz w:val="24"/>
          <w:szCs w:val="24"/>
          <w:u w:val="none" w:color="auto"/>
        </w:rPr>
        <w:t>中可知：项目</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各监测点位</w:t>
      </w:r>
      <w:r>
        <w:rPr>
          <w:rFonts w:hint="default" w:ascii="Times New Roman" w:hAnsi="Times New Roman" w:eastAsia="宋体" w:cs="Times New Roman"/>
          <w:caps w:val="0"/>
          <w:smallCaps w:val="0"/>
          <w:color w:val="auto"/>
          <w:spacing w:val="0"/>
          <w:w w:val="100"/>
          <w:kern w:val="0"/>
          <w:position w:val="0"/>
          <w:sz w:val="24"/>
          <w:szCs w:val="24"/>
          <w:u w:val="none" w:color="auto"/>
        </w:rPr>
        <w:t>昼间、夜间噪声监测值均满足《声环境质量标准》（GB3096-2008）1类标准限值要求</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722154B2">
      <w:pPr>
        <w:pStyle w:val="4"/>
        <w:bidi w:val="0"/>
        <w:rPr>
          <w:rFonts w:hint="default" w:ascii="Times New Roman" w:hAnsi="Times New Roman" w:cs="Times New Roman"/>
        </w:rPr>
      </w:pPr>
      <w:bookmarkStart w:id="177" w:name="_Toc27231"/>
      <w:r>
        <w:rPr>
          <w:rFonts w:hint="default" w:ascii="Times New Roman" w:hAnsi="Times New Roman" w:cs="Times New Roman"/>
        </w:rPr>
        <w:t>土壤环境现状调查与评价</w:t>
      </w:r>
      <w:bookmarkEnd w:id="177"/>
    </w:p>
    <w:p w14:paraId="58C67613">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bookmarkStart w:id="178" w:name="_Toc488009098"/>
      <w:r>
        <w:rPr>
          <w:rFonts w:hint="default" w:ascii="Times New Roman" w:hAnsi="Times New Roman" w:eastAsia="宋体" w:cs="Times New Roman"/>
          <w:b/>
          <w:bCs/>
          <w:color w:val="auto"/>
          <w:spacing w:val="0"/>
          <w:w w:val="100"/>
          <w:kern w:val="0"/>
          <w:position w:val="0"/>
          <w:sz w:val="24"/>
          <w:u w:val="none" w:color="auto"/>
          <w:lang w:val="en-US" w:eastAsia="zh-CN"/>
        </w:rPr>
        <w:t>1、监测布点、监测</w:t>
      </w:r>
      <w:bookmarkEnd w:id="178"/>
      <w:r>
        <w:rPr>
          <w:rFonts w:hint="default" w:ascii="Times New Roman" w:hAnsi="Times New Roman" w:eastAsia="宋体" w:cs="Times New Roman"/>
          <w:b/>
          <w:bCs/>
          <w:color w:val="auto"/>
          <w:spacing w:val="0"/>
          <w:w w:val="100"/>
          <w:kern w:val="0"/>
          <w:position w:val="0"/>
          <w:sz w:val="24"/>
          <w:u w:val="none" w:color="auto"/>
          <w:lang w:val="en-US" w:eastAsia="zh-CN"/>
        </w:rPr>
        <w:t>因子</w:t>
      </w:r>
    </w:p>
    <w:p w14:paraId="225BB896">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本次土壤监测设</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4</w:t>
      </w:r>
      <w:r>
        <w:rPr>
          <w:rFonts w:hint="default" w:ascii="Times New Roman" w:hAnsi="Times New Roman" w:eastAsia="宋体" w:cs="Times New Roman"/>
          <w:caps w:val="0"/>
          <w:smallCaps w:val="0"/>
          <w:color w:val="auto"/>
          <w:spacing w:val="0"/>
          <w:w w:val="100"/>
          <w:kern w:val="0"/>
          <w:position w:val="0"/>
          <w:sz w:val="24"/>
          <w:szCs w:val="24"/>
          <w:u w:val="none" w:color="auto"/>
        </w:rPr>
        <w:t>个监测点，项目场地范围内设1个表层样点，场地范围外取</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w:t>
      </w:r>
      <w:r>
        <w:rPr>
          <w:rFonts w:hint="default" w:ascii="Times New Roman" w:hAnsi="Times New Roman" w:eastAsia="宋体" w:cs="Times New Roman"/>
          <w:caps w:val="0"/>
          <w:smallCaps w:val="0"/>
          <w:color w:val="auto"/>
          <w:spacing w:val="0"/>
          <w:w w:val="100"/>
          <w:kern w:val="0"/>
          <w:position w:val="0"/>
          <w:sz w:val="24"/>
          <w:szCs w:val="24"/>
          <w:u w:val="none" w:color="auto"/>
        </w:rPr>
        <w:t>个表土层样点，</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水库大坝取水口附近取</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1个底泥样点，</w:t>
      </w:r>
      <w:r>
        <w:rPr>
          <w:rFonts w:hint="default" w:ascii="Times New Roman" w:hAnsi="Times New Roman" w:eastAsia="宋体" w:cs="Times New Roman"/>
          <w:caps w:val="0"/>
          <w:smallCaps w:val="0"/>
          <w:color w:val="auto"/>
          <w:spacing w:val="0"/>
          <w:w w:val="100"/>
          <w:kern w:val="0"/>
          <w:position w:val="0"/>
          <w:sz w:val="24"/>
          <w:szCs w:val="24"/>
          <w:u w:val="none" w:color="auto"/>
        </w:rPr>
        <w:t>具体见表3.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2-13</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22053E92">
      <w:pPr>
        <w:pageBreakBefore w:val="0"/>
        <w:kinsoku w:val="0"/>
        <w:wordWrap w:val="0"/>
        <w:overflowPunct/>
        <w:topLinePunct/>
        <w:autoSpaceDE/>
        <w:autoSpaceDN/>
        <w:bidi w:val="0"/>
        <w:spacing w:line="360" w:lineRule="auto"/>
        <w:jc w:val="center"/>
        <w:rPr>
          <w:rFonts w:hint="default" w:ascii="Times New Roman" w:hAnsi="Times New Roman" w:eastAsia="宋体" w:cs="Times New Roman"/>
          <w:b/>
          <w:caps w:val="0"/>
          <w:smallCaps w:val="0"/>
          <w:color w:val="auto"/>
          <w:spacing w:val="0"/>
          <w:w w:val="100"/>
          <w:position w:val="0"/>
          <w:szCs w:val="21"/>
          <w:u w:val="none" w:color="auto"/>
        </w:rPr>
      </w:pPr>
      <w:r>
        <w:rPr>
          <w:rFonts w:hint="default" w:ascii="Times New Roman" w:hAnsi="Times New Roman" w:eastAsia="宋体" w:cs="Times New Roman"/>
          <w:b/>
          <w:caps w:val="0"/>
          <w:smallCaps w:val="0"/>
          <w:color w:val="auto"/>
          <w:spacing w:val="0"/>
          <w:w w:val="100"/>
          <w:position w:val="0"/>
          <w:szCs w:val="21"/>
          <w:u w:val="none" w:color="auto"/>
        </w:rPr>
        <w:t>表3.</w:t>
      </w:r>
      <w:r>
        <w:rPr>
          <w:rFonts w:hint="default" w:ascii="Times New Roman" w:hAnsi="Times New Roman" w:eastAsia="宋体" w:cs="Times New Roman"/>
          <w:b/>
          <w:caps w:val="0"/>
          <w:smallCaps w:val="0"/>
          <w:color w:val="auto"/>
          <w:spacing w:val="0"/>
          <w:w w:val="100"/>
          <w:position w:val="0"/>
          <w:szCs w:val="21"/>
          <w:u w:val="none" w:color="auto"/>
          <w:lang w:val="en-US" w:eastAsia="zh-CN"/>
        </w:rPr>
        <w:t>2-13</w:t>
      </w:r>
      <w:r>
        <w:rPr>
          <w:rFonts w:hint="default" w:ascii="Times New Roman" w:hAnsi="Times New Roman" w:eastAsia="宋体" w:cs="Times New Roman"/>
          <w:b/>
          <w:caps w:val="0"/>
          <w:smallCaps w:val="0"/>
          <w:color w:val="auto"/>
          <w:spacing w:val="0"/>
          <w:w w:val="100"/>
          <w:position w:val="0"/>
          <w:szCs w:val="21"/>
          <w:u w:val="none" w:color="auto"/>
        </w:rPr>
        <w:t xml:space="preserve">  土壤环境质量</w:t>
      </w:r>
      <w:r>
        <w:rPr>
          <w:rFonts w:hint="default" w:ascii="Times New Roman" w:hAnsi="Times New Roman" w:eastAsia="宋体" w:cs="Times New Roman"/>
          <w:b/>
          <w:caps w:val="0"/>
          <w:smallCaps w:val="0"/>
          <w:color w:val="auto"/>
          <w:spacing w:val="0"/>
          <w:w w:val="100"/>
          <w:position w:val="0"/>
          <w:szCs w:val="21"/>
          <w:u w:val="none" w:color="auto"/>
          <w:lang w:val="en-US" w:eastAsia="zh-CN"/>
        </w:rPr>
        <w:t>现状</w:t>
      </w:r>
      <w:r>
        <w:rPr>
          <w:rFonts w:hint="default" w:ascii="Times New Roman" w:hAnsi="Times New Roman" w:eastAsia="宋体" w:cs="Times New Roman"/>
          <w:b/>
          <w:caps w:val="0"/>
          <w:smallCaps w:val="0"/>
          <w:color w:val="auto"/>
          <w:spacing w:val="0"/>
          <w:w w:val="100"/>
          <w:position w:val="0"/>
          <w:szCs w:val="21"/>
          <w:u w:val="none" w:color="auto"/>
        </w:rPr>
        <w:t>监测点位情况表</w:t>
      </w:r>
    </w:p>
    <w:tbl>
      <w:tblPr>
        <w:tblStyle w:val="4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101"/>
        <w:gridCol w:w="5423"/>
      </w:tblGrid>
      <w:tr w14:paraId="53E25E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9" w:type="pct"/>
            <w:tcBorders>
              <w:tl2br w:val="nil"/>
              <w:tr2bl w:val="nil"/>
            </w:tcBorders>
            <w:vAlign w:val="center"/>
          </w:tcPr>
          <w:p w14:paraId="44860A9B">
            <w:pPr>
              <w:pageBreakBefore w:val="0"/>
              <w:kinsoku w:val="0"/>
              <w:wordWrap w:val="0"/>
              <w:overflowPunct/>
              <w:topLinePunct/>
              <w:autoSpaceDE/>
              <w:autoSpaceDN/>
              <w:bidi w:val="0"/>
              <w:spacing w:line="240" w:lineRule="auto"/>
              <w:jc w:val="center"/>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监测点位</w:t>
            </w:r>
          </w:p>
        </w:tc>
        <w:tc>
          <w:tcPr>
            <w:tcW w:w="3180" w:type="pct"/>
            <w:tcBorders>
              <w:tl2br w:val="nil"/>
              <w:tr2bl w:val="nil"/>
            </w:tcBorders>
            <w:vAlign w:val="center"/>
          </w:tcPr>
          <w:p w14:paraId="4F49758F">
            <w:pPr>
              <w:pageBreakBefore w:val="0"/>
              <w:kinsoku w:val="0"/>
              <w:wordWrap w:val="0"/>
              <w:overflowPunct/>
              <w:topLinePunct/>
              <w:autoSpaceDE/>
              <w:autoSpaceDN/>
              <w:bidi w:val="0"/>
              <w:spacing w:line="240" w:lineRule="auto"/>
              <w:jc w:val="center"/>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监测因子</w:t>
            </w:r>
          </w:p>
        </w:tc>
      </w:tr>
      <w:tr w14:paraId="105BDD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9" w:type="pct"/>
            <w:tcBorders>
              <w:tl2br w:val="nil"/>
              <w:tr2bl w:val="nil"/>
            </w:tcBorders>
            <w:vAlign w:val="center"/>
          </w:tcPr>
          <w:p w14:paraId="4E20DB50">
            <w:pPr>
              <w:pageBreakBefore w:val="0"/>
              <w:kinsoku w:val="0"/>
              <w:wordWrap w:val="0"/>
              <w:overflowPunct/>
              <w:topLinePunct/>
              <w:autoSpaceDE/>
              <w:autoSpaceDN/>
              <w:bidi w:val="0"/>
              <w:spacing w:line="240" w:lineRule="auto"/>
              <w:jc w:val="center"/>
              <w:rPr>
                <w:rFonts w:hint="default" w:ascii="Times New Roman" w:hAnsi="Times New Roman" w:eastAsia="宋体" w:cs="Times New Roman"/>
                <w:caps w:val="0"/>
                <w:smallCaps w:val="0"/>
                <w:color w:val="auto"/>
                <w:spacing w:val="0"/>
                <w:w w:val="100"/>
                <w:position w:val="0"/>
                <w:sz w:val="21"/>
                <w:szCs w:val="21"/>
                <w:u w:val="none" w:color="auto"/>
                <w:lang w:eastAsia="zh-CN"/>
              </w:rPr>
            </w:pPr>
            <w:r>
              <w:rPr>
                <w:rFonts w:hint="default" w:ascii="Times New Roman" w:hAnsi="Times New Roman" w:eastAsia="宋体" w:cs="Times New Roman"/>
                <w:caps w:val="0"/>
                <w:smallCaps w:val="0"/>
                <w:color w:val="auto"/>
                <w:spacing w:val="0"/>
                <w:w w:val="100"/>
                <w:position w:val="0"/>
                <w:sz w:val="21"/>
                <w:szCs w:val="21"/>
                <w:u w:val="none" w:color="auto"/>
                <w:lang w:val="en-US" w:eastAsia="zh-CN"/>
              </w:rPr>
              <w:t>T</w:t>
            </w:r>
            <w:r>
              <w:rPr>
                <w:rFonts w:hint="default" w:ascii="Times New Roman" w:hAnsi="Times New Roman" w:eastAsia="宋体" w:cs="Times New Roman"/>
                <w:caps w:val="0"/>
                <w:smallCaps w:val="0"/>
                <w:color w:val="auto"/>
                <w:spacing w:val="0"/>
                <w:w w:val="100"/>
                <w:position w:val="0"/>
                <w:sz w:val="21"/>
                <w:szCs w:val="21"/>
                <w:u w:val="none" w:color="auto"/>
              </w:rPr>
              <w:t>1：</w:t>
            </w:r>
            <w:r>
              <w:rPr>
                <w:rFonts w:hint="default" w:ascii="Times New Roman" w:hAnsi="Times New Roman" w:eastAsia="宋体" w:cs="Times New Roman"/>
                <w:color w:val="000000"/>
                <w:kern w:val="2"/>
                <w:sz w:val="21"/>
                <w:szCs w:val="21"/>
                <w:lang w:val="en-US" w:eastAsia="zh-CN" w:bidi="ar-SA"/>
              </w:rPr>
              <w:t>东山水库大坝</w:t>
            </w:r>
          </w:p>
        </w:tc>
        <w:tc>
          <w:tcPr>
            <w:tcW w:w="3180" w:type="pct"/>
            <w:tcBorders>
              <w:tl2br w:val="nil"/>
              <w:tr2bl w:val="nil"/>
            </w:tcBorders>
            <w:vAlign w:val="center"/>
          </w:tcPr>
          <w:p w14:paraId="535E72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olor w:val="000000"/>
                <w:kern w:val="2"/>
                <w:sz w:val="21"/>
                <w:szCs w:val="21"/>
                <w:lang w:val="en-US" w:eastAsia="zh-CN" w:bidi="ar-SA"/>
              </w:rPr>
              <w:t>表层样：《土壤环境质量 建设用地土壤污染风险管控标准》(GB 36600-2018)表1中基本项目45项、pH、含盐量</w:t>
            </w:r>
          </w:p>
        </w:tc>
      </w:tr>
      <w:tr w14:paraId="23291C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9" w:type="pct"/>
            <w:tcBorders>
              <w:tl2br w:val="nil"/>
              <w:tr2bl w:val="nil"/>
            </w:tcBorders>
            <w:vAlign w:val="center"/>
          </w:tcPr>
          <w:p w14:paraId="110B35B6">
            <w:pPr>
              <w:pageBreakBefore w:val="0"/>
              <w:kinsoku w:val="0"/>
              <w:wordWrap w:val="0"/>
              <w:overflowPunct/>
              <w:topLinePunct/>
              <w:autoSpaceDE/>
              <w:autoSpaceDN/>
              <w:bidi w:val="0"/>
              <w:spacing w:line="240" w:lineRule="auto"/>
              <w:jc w:val="center"/>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lang w:val="en-US" w:eastAsia="zh-CN"/>
              </w:rPr>
              <w:t>T</w:t>
            </w:r>
            <w:r>
              <w:rPr>
                <w:rFonts w:hint="default" w:ascii="Times New Roman" w:hAnsi="Times New Roman" w:eastAsia="宋体" w:cs="Times New Roman"/>
                <w:caps w:val="0"/>
                <w:smallCaps w:val="0"/>
                <w:color w:val="auto"/>
                <w:spacing w:val="0"/>
                <w:w w:val="100"/>
                <w:position w:val="0"/>
                <w:sz w:val="21"/>
                <w:szCs w:val="21"/>
                <w:u w:val="none" w:color="auto"/>
              </w:rPr>
              <w:t>2</w:t>
            </w:r>
            <w:r>
              <w:rPr>
                <w:rFonts w:hint="default" w:ascii="Times New Roman" w:hAnsi="Times New Roman" w:eastAsia="宋体" w:cs="Times New Roman"/>
                <w:color w:val="000000"/>
                <w:kern w:val="2"/>
                <w:sz w:val="21"/>
                <w:szCs w:val="21"/>
                <w:lang w:val="en-US" w:eastAsia="zh-CN" w:bidi="ar-SA"/>
              </w:rPr>
              <w:t>大坝下游东侧农田</w:t>
            </w:r>
          </w:p>
        </w:tc>
        <w:tc>
          <w:tcPr>
            <w:tcW w:w="3180" w:type="pct"/>
            <w:tcBorders>
              <w:tl2br w:val="nil"/>
              <w:tr2bl w:val="nil"/>
            </w:tcBorders>
            <w:vAlign w:val="center"/>
          </w:tcPr>
          <w:p w14:paraId="5ECA72D9">
            <w:pPr>
              <w:pageBreakBefore w:val="0"/>
              <w:kinsoku w:val="0"/>
              <w:wordWrap w:val="0"/>
              <w:overflowPunct/>
              <w:topLinePunct/>
              <w:autoSpaceDE/>
              <w:autoSpaceDN/>
              <w:bidi w:val="0"/>
              <w:spacing w:line="240" w:lineRule="auto"/>
              <w:jc w:val="center"/>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olor w:val="000000"/>
                <w:kern w:val="2"/>
                <w:sz w:val="21"/>
                <w:szCs w:val="21"/>
                <w:lang w:val="en-US" w:eastAsia="zh-CN" w:bidi="ar-SA"/>
              </w:rPr>
              <w:t>pH、镉、汞、砷、铅、铬、铜、锌、镍、含盐量</w:t>
            </w:r>
          </w:p>
        </w:tc>
      </w:tr>
      <w:tr w14:paraId="0B4582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9" w:type="pct"/>
            <w:tcBorders>
              <w:tl2br w:val="nil"/>
              <w:tr2bl w:val="nil"/>
            </w:tcBorders>
            <w:vAlign w:val="center"/>
          </w:tcPr>
          <w:p w14:paraId="2C42F21C">
            <w:pPr>
              <w:pageBreakBefore w:val="0"/>
              <w:kinsoku w:val="0"/>
              <w:wordWrap w:val="0"/>
              <w:overflowPunct/>
              <w:topLinePunct/>
              <w:autoSpaceDE/>
              <w:autoSpaceDN/>
              <w:bidi w:val="0"/>
              <w:spacing w:line="240" w:lineRule="auto"/>
              <w:jc w:val="center"/>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lang w:val="en-US" w:eastAsia="zh-CN"/>
              </w:rPr>
              <w:t>T</w:t>
            </w:r>
            <w:r>
              <w:rPr>
                <w:rFonts w:hint="default" w:ascii="Times New Roman" w:hAnsi="Times New Roman" w:eastAsia="宋体" w:cs="Times New Roman"/>
                <w:caps w:val="0"/>
                <w:smallCaps w:val="0"/>
                <w:color w:val="auto"/>
                <w:spacing w:val="0"/>
                <w:w w:val="100"/>
                <w:position w:val="0"/>
                <w:sz w:val="21"/>
                <w:szCs w:val="21"/>
                <w:u w:val="none" w:color="auto"/>
              </w:rPr>
              <w:t>3</w:t>
            </w:r>
            <w:r>
              <w:rPr>
                <w:rFonts w:hint="default" w:ascii="Times New Roman" w:hAnsi="Times New Roman" w:eastAsia="宋体" w:cs="Times New Roman"/>
                <w:color w:val="000000"/>
                <w:kern w:val="2"/>
                <w:sz w:val="21"/>
                <w:szCs w:val="21"/>
                <w:lang w:val="en-US" w:eastAsia="zh-CN" w:bidi="ar-SA"/>
              </w:rPr>
              <w:t xml:space="preserve">库区中部右岸林地 </w:t>
            </w:r>
          </w:p>
        </w:tc>
        <w:tc>
          <w:tcPr>
            <w:tcW w:w="3180" w:type="pct"/>
            <w:tcBorders>
              <w:tl2br w:val="nil"/>
              <w:tr2bl w:val="nil"/>
            </w:tcBorders>
            <w:vAlign w:val="center"/>
          </w:tcPr>
          <w:p w14:paraId="3B8FD202">
            <w:pPr>
              <w:pageBreakBefore w:val="0"/>
              <w:kinsoku w:val="0"/>
              <w:wordWrap w:val="0"/>
              <w:overflowPunct/>
              <w:topLinePunct/>
              <w:autoSpaceDE/>
              <w:autoSpaceDN/>
              <w:bidi w:val="0"/>
              <w:spacing w:line="240" w:lineRule="auto"/>
              <w:jc w:val="center"/>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olor w:val="000000"/>
                <w:kern w:val="2"/>
                <w:sz w:val="21"/>
                <w:szCs w:val="21"/>
                <w:lang w:val="en-US" w:eastAsia="zh-CN" w:bidi="ar-SA"/>
              </w:rPr>
              <w:t>pH、镉、汞、砷、铅、铬、铜、锌、镍、含盐量</w:t>
            </w:r>
          </w:p>
        </w:tc>
      </w:tr>
      <w:tr w14:paraId="04F4DD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9" w:type="pct"/>
            <w:tcBorders>
              <w:tl2br w:val="nil"/>
              <w:tr2bl w:val="nil"/>
            </w:tcBorders>
            <w:vAlign w:val="center"/>
          </w:tcPr>
          <w:p w14:paraId="4D54A491">
            <w:pPr>
              <w:pageBreakBefore w:val="0"/>
              <w:kinsoku w:val="0"/>
              <w:wordWrap w:val="0"/>
              <w:overflowPunct/>
              <w:topLinePunct/>
              <w:autoSpaceDE/>
              <w:autoSpaceDN/>
              <w:bidi w:val="0"/>
              <w:spacing w:line="240" w:lineRule="auto"/>
              <w:jc w:val="center"/>
              <w:rPr>
                <w:rFonts w:hint="default" w:ascii="Times New Roman" w:hAnsi="Times New Roman" w:eastAsia="宋体" w:cs="Times New Roman"/>
                <w:caps w:val="0"/>
                <w:smallCaps w:val="0"/>
                <w:color w:val="auto"/>
                <w:spacing w:val="0"/>
                <w:w w:val="100"/>
                <w:position w:val="0"/>
                <w:sz w:val="21"/>
                <w:szCs w:val="21"/>
                <w:u w:val="none" w:color="auto"/>
                <w:lang w:val="en-US" w:eastAsia="zh-CN"/>
              </w:rPr>
            </w:pPr>
            <w:r>
              <w:rPr>
                <w:rFonts w:hint="default" w:ascii="Times New Roman" w:hAnsi="Times New Roman" w:eastAsia="宋体" w:cs="Times New Roman"/>
                <w:caps w:val="0"/>
                <w:smallCaps w:val="0"/>
                <w:color w:val="auto"/>
                <w:spacing w:val="0"/>
                <w:w w:val="100"/>
                <w:position w:val="0"/>
                <w:sz w:val="21"/>
                <w:szCs w:val="21"/>
                <w:u w:val="none" w:color="auto"/>
                <w:lang w:val="en-US" w:eastAsia="zh-CN"/>
              </w:rPr>
              <w:t>T4</w:t>
            </w:r>
            <w:r>
              <w:rPr>
                <w:rFonts w:hint="default" w:ascii="Times New Roman" w:hAnsi="Times New Roman" w:eastAsia="宋体" w:cs="Times New Roman"/>
                <w:color w:val="000000"/>
                <w:kern w:val="2"/>
                <w:sz w:val="21"/>
                <w:szCs w:val="21"/>
                <w:lang w:val="en-US" w:eastAsia="zh-CN" w:bidi="ar-SA"/>
              </w:rPr>
              <w:t>水库大坝取水口附近底泥</w:t>
            </w:r>
          </w:p>
        </w:tc>
        <w:tc>
          <w:tcPr>
            <w:tcW w:w="3180" w:type="pct"/>
            <w:tcBorders>
              <w:tl2br w:val="nil"/>
              <w:tr2bl w:val="nil"/>
            </w:tcBorders>
            <w:vAlign w:val="center"/>
          </w:tcPr>
          <w:p w14:paraId="79D61F45">
            <w:pPr>
              <w:pageBreakBefore w:val="0"/>
              <w:kinsoku w:val="0"/>
              <w:wordWrap w:val="0"/>
              <w:overflowPunct/>
              <w:topLinePunct/>
              <w:autoSpaceDE/>
              <w:autoSpaceDN/>
              <w:bidi w:val="0"/>
              <w:spacing w:line="240" w:lineRule="auto"/>
              <w:jc w:val="center"/>
              <w:rPr>
                <w:rFonts w:hint="default" w:ascii="Times New Roman" w:hAnsi="Times New Roman" w:eastAsia="宋体" w:cs="Times New Roman"/>
                <w:caps w:val="0"/>
                <w:smallCaps w:val="0"/>
                <w:color w:val="auto"/>
                <w:spacing w:val="0"/>
                <w:w w:val="100"/>
                <w:position w:val="0"/>
                <w:sz w:val="21"/>
                <w:szCs w:val="21"/>
                <w:u w:val="none" w:color="auto"/>
                <w:lang w:eastAsia="zh-CN"/>
              </w:rPr>
            </w:pPr>
            <w:r>
              <w:rPr>
                <w:rFonts w:hint="default" w:ascii="Times New Roman" w:hAnsi="Times New Roman" w:eastAsia="宋体" w:cs="Times New Roman"/>
                <w:color w:val="000000"/>
                <w:kern w:val="2"/>
                <w:sz w:val="21"/>
                <w:szCs w:val="21"/>
                <w:lang w:val="en-US" w:eastAsia="zh-CN" w:bidi="ar-SA"/>
              </w:rPr>
              <w:t>pH、镉、汞、砷、铅、铬、铜、锌、镍、含盐量</w:t>
            </w:r>
          </w:p>
        </w:tc>
      </w:tr>
    </w:tbl>
    <w:p w14:paraId="2373F378">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2、监测时间及频率</w:t>
      </w:r>
    </w:p>
    <w:p w14:paraId="09E16FEB">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监测频次：监测1天，</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共</w:t>
      </w:r>
      <w:r>
        <w:rPr>
          <w:rFonts w:hint="default" w:ascii="Times New Roman" w:hAnsi="Times New Roman" w:eastAsia="宋体" w:cs="Times New Roman"/>
          <w:caps w:val="0"/>
          <w:smallCaps w:val="0"/>
          <w:color w:val="auto"/>
          <w:spacing w:val="0"/>
          <w:w w:val="100"/>
          <w:kern w:val="0"/>
          <w:position w:val="0"/>
          <w:sz w:val="24"/>
          <w:szCs w:val="24"/>
          <w:u w:val="none" w:color="auto"/>
        </w:rPr>
        <w:t>1次。</w:t>
      </w:r>
    </w:p>
    <w:p w14:paraId="0FC777F1">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监测时间：202</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4</w:t>
      </w:r>
      <w:r>
        <w:rPr>
          <w:rFonts w:hint="default" w:ascii="Times New Roman" w:hAnsi="Times New Roman" w:eastAsia="宋体" w:cs="Times New Roman"/>
          <w:caps w:val="0"/>
          <w:smallCaps w:val="0"/>
          <w:color w:val="auto"/>
          <w:spacing w:val="0"/>
          <w:w w:val="100"/>
          <w:kern w:val="0"/>
          <w:position w:val="0"/>
          <w:sz w:val="24"/>
          <w:szCs w:val="24"/>
          <w:u w:val="none" w:color="auto"/>
        </w:rPr>
        <w:t>年</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default" w:ascii="Times New Roman" w:hAnsi="Times New Roman" w:eastAsia="宋体" w:cs="Times New Roman"/>
          <w:caps w:val="0"/>
          <w:smallCaps w:val="0"/>
          <w:color w:val="auto"/>
          <w:spacing w:val="0"/>
          <w:w w:val="100"/>
          <w:kern w:val="0"/>
          <w:position w:val="0"/>
          <w:sz w:val="24"/>
          <w:szCs w:val="24"/>
          <w:u w:val="none" w:color="auto"/>
        </w:rPr>
        <w:t>月</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8</w:t>
      </w:r>
      <w:r>
        <w:rPr>
          <w:rFonts w:hint="default" w:ascii="Times New Roman" w:hAnsi="Times New Roman" w:eastAsia="宋体" w:cs="Times New Roman"/>
          <w:caps w:val="0"/>
          <w:smallCaps w:val="0"/>
          <w:color w:val="auto"/>
          <w:spacing w:val="0"/>
          <w:w w:val="100"/>
          <w:kern w:val="0"/>
          <w:position w:val="0"/>
          <w:sz w:val="24"/>
          <w:szCs w:val="24"/>
          <w:u w:val="none" w:color="auto"/>
        </w:rPr>
        <w:t>日。</w:t>
      </w:r>
    </w:p>
    <w:p w14:paraId="3BD468AF">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3、采样和分析方法</w:t>
      </w:r>
    </w:p>
    <w:p w14:paraId="51DF1C8E">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监测项目及分析方法和检出限见下表3.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2-14</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070AD6E6">
      <w:pPr>
        <w:pageBreakBefore w:val="0"/>
        <w:kinsoku w:val="0"/>
        <w:wordWrap w:val="0"/>
        <w:overflowPunct/>
        <w:topLinePunct/>
        <w:autoSpaceDE/>
        <w:autoSpaceDN/>
        <w:bidi w:val="0"/>
        <w:spacing w:before="120" w:beforeLines="50" w:line="240" w:lineRule="auto"/>
        <w:jc w:val="center"/>
        <w:rPr>
          <w:rFonts w:hint="default" w:ascii="Times New Roman" w:hAnsi="Times New Roman" w:eastAsia="宋体" w:cs="Times New Roman"/>
          <w:b/>
          <w:caps w:val="0"/>
          <w:smallCaps w:val="0"/>
          <w:color w:val="auto"/>
          <w:spacing w:val="0"/>
          <w:w w:val="100"/>
          <w:position w:val="0"/>
          <w:szCs w:val="21"/>
          <w:u w:val="none" w:color="auto"/>
        </w:rPr>
      </w:pPr>
      <w:r>
        <w:rPr>
          <w:rFonts w:hint="default" w:ascii="Times New Roman" w:hAnsi="Times New Roman" w:eastAsia="宋体" w:cs="Times New Roman"/>
          <w:b/>
          <w:caps w:val="0"/>
          <w:smallCaps w:val="0"/>
          <w:color w:val="auto"/>
          <w:spacing w:val="0"/>
          <w:w w:val="100"/>
          <w:position w:val="0"/>
          <w:szCs w:val="21"/>
          <w:u w:val="none" w:color="auto"/>
        </w:rPr>
        <w:t>表3.</w:t>
      </w:r>
      <w:r>
        <w:rPr>
          <w:rFonts w:hint="default" w:ascii="Times New Roman" w:hAnsi="Times New Roman" w:eastAsia="宋体" w:cs="Times New Roman"/>
          <w:b/>
          <w:caps w:val="0"/>
          <w:smallCaps w:val="0"/>
          <w:color w:val="auto"/>
          <w:spacing w:val="0"/>
          <w:w w:val="100"/>
          <w:position w:val="0"/>
          <w:szCs w:val="21"/>
          <w:u w:val="none" w:color="auto"/>
          <w:lang w:val="en-US" w:eastAsia="zh-CN"/>
        </w:rPr>
        <w:t>2-14</w:t>
      </w:r>
      <w:r>
        <w:rPr>
          <w:rFonts w:hint="default" w:ascii="Times New Roman" w:hAnsi="Times New Roman" w:eastAsia="宋体" w:cs="Times New Roman"/>
          <w:b/>
          <w:caps w:val="0"/>
          <w:smallCaps w:val="0"/>
          <w:color w:val="auto"/>
          <w:spacing w:val="0"/>
          <w:w w:val="100"/>
          <w:position w:val="0"/>
          <w:szCs w:val="21"/>
          <w:u w:val="none" w:color="auto"/>
        </w:rPr>
        <w:t xml:space="preserve">  监测项目及分析方法和检出限</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497"/>
        <w:gridCol w:w="469"/>
        <w:gridCol w:w="780"/>
        <w:gridCol w:w="3409"/>
        <w:gridCol w:w="1959"/>
        <w:gridCol w:w="1227"/>
      </w:tblGrid>
      <w:tr w14:paraId="7C7D95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tblHeader/>
          <w:jc w:val="center"/>
        </w:trPr>
        <w:tc>
          <w:tcPr>
            <w:tcW w:w="1945" w:type="dxa"/>
            <w:gridSpan w:val="3"/>
            <w:tcBorders>
              <w:tl2br w:val="nil"/>
              <w:tr2bl w:val="nil"/>
            </w:tcBorders>
            <w:vAlign w:val="center"/>
          </w:tcPr>
          <w:p w14:paraId="3082CBA6">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检测项目</w:t>
            </w:r>
          </w:p>
        </w:tc>
        <w:tc>
          <w:tcPr>
            <w:tcW w:w="3806" w:type="dxa"/>
            <w:tcBorders>
              <w:tl2br w:val="nil"/>
              <w:tr2bl w:val="nil"/>
            </w:tcBorders>
            <w:vAlign w:val="center"/>
          </w:tcPr>
          <w:p w14:paraId="1E4DB303">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检测方法</w:t>
            </w:r>
          </w:p>
        </w:tc>
        <w:tc>
          <w:tcPr>
            <w:tcW w:w="2186" w:type="dxa"/>
            <w:tcBorders>
              <w:tl2br w:val="nil"/>
              <w:tr2bl w:val="nil"/>
            </w:tcBorders>
            <w:vAlign w:val="center"/>
          </w:tcPr>
          <w:p w14:paraId="6A900FAF">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检测仪器</w:t>
            </w:r>
          </w:p>
        </w:tc>
        <w:tc>
          <w:tcPr>
            <w:tcW w:w="1368" w:type="dxa"/>
            <w:tcBorders>
              <w:tl2br w:val="nil"/>
              <w:tr2bl w:val="nil"/>
            </w:tcBorders>
            <w:vAlign w:val="center"/>
          </w:tcPr>
          <w:p w14:paraId="3F9D2E93">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方法检出限</w:t>
            </w:r>
          </w:p>
        </w:tc>
      </w:tr>
      <w:tr w14:paraId="360EF5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restart"/>
            <w:tcBorders>
              <w:tl2br w:val="nil"/>
              <w:tr2bl w:val="nil"/>
            </w:tcBorders>
            <w:textDirection w:val="tbLrV"/>
            <w:vAlign w:val="center"/>
          </w:tcPr>
          <w:p w14:paraId="2B9EDB8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土壤（总量）、污泥</w:t>
            </w:r>
          </w:p>
        </w:tc>
        <w:tc>
          <w:tcPr>
            <w:tcW w:w="1392" w:type="dxa"/>
            <w:gridSpan w:val="2"/>
            <w:tcBorders>
              <w:tl2br w:val="nil"/>
              <w:tr2bl w:val="nil"/>
            </w:tcBorders>
            <w:vAlign w:val="center"/>
          </w:tcPr>
          <w:p w14:paraId="44A764E1">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pH值</w:t>
            </w:r>
          </w:p>
        </w:tc>
        <w:tc>
          <w:tcPr>
            <w:tcW w:w="3806" w:type="dxa"/>
            <w:tcBorders>
              <w:tl2br w:val="nil"/>
              <w:tr2bl w:val="nil"/>
            </w:tcBorders>
            <w:vAlign w:val="center"/>
          </w:tcPr>
          <w:p w14:paraId="5311069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 xml:space="preserve">《土壤 pH值的测定 电位法》 </w:t>
            </w:r>
          </w:p>
          <w:p w14:paraId="615A215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eastAsia="zh-CN"/>
              </w:rPr>
              <w:t>HJ 962-2018</w:t>
            </w:r>
          </w:p>
        </w:tc>
        <w:tc>
          <w:tcPr>
            <w:tcW w:w="2186" w:type="dxa"/>
            <w:tcBorders>
              <w:tl2br w:val="nil"/>
              <w:tr2bl w:val="nil"/>
            </w:tcBorders>
            <w:vAlign w:val="center"/>
          </w:tcPr>
          <w:p w14:paraId="4E8270F7">
            <w:pPr>
              <w:keepNext w:val="0"/>
              <w:keepLines w:val="0"/>
              <w:pageBreakBefore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PHS-25 pH计</w:t>
            </w:r>
          </w:p>
        </w:tc>
        <w:tc>
          <w:tcPr>
            <w:tcW w:w="1368" w:type="dxa"/>
            <w:tcBorders>
              <w:tl2br w:val="nil"/>
              <w:tr2bl w:val="nil"/>
            </w:tcBorders>
            <w:vAlign w:val="center"/>
          </w:tcPr>
          <w:p w14:paraId="1BAD52C9">
            <w:pPr>
              <w:keepNext w:val="0"/>
              <w:keepLines w:val="0"/>
              <w:pageBreakBefore w:val="0"/>
              <w:kinsoku/>
              <w:wordWrap/>
              <w:overflowPunct/>
              <w:topLinePunct w:val="0"/>
              <w:autoSpaceDE/>
              <w:autoSpaceDN/>
              <w:bidi w:val="0"/>
              <w:adjustRightInd/>
              <w:snapToGrid/>
              <w:spacing w:line="26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w:t>
            </w:r>
          </w:p>
        </w:tc>
      </w:tr>
      <w:tr w14:paraId="7A7380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650214CC">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190D4E1B">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含盐量</w:t>
            </w:r>
          </w:p>
        </w:tc>
        <w:tc>
          <w:tcPr>
            <w:tcW w:w="3806" w:type="dxa"/>
            <w:tcBorders>
              <w:tl2br w:val="nil"/>
              <w:tr2bl w:val="nil"/>
            </w:tcBorders>
            <w:vAlign w:val="center"/>
          </w:tcPr>
          <w:p w14:paraId="463D03FE">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《土壤检测 第16部分:土壤水溶性盐总量的测定》 NY/T 1121.16-2006</w:t>
            </w:r>
          </w:p>
        </w:tc>
        <w:tc>
          <w:tcPr>
            <w:tcW w:w="2186" w:type="dxa"/>
            <w:tcBorders>
              <w:tl2br w:val="nil"/>
              <w:tr2bl w:val="nil"/>
            </w:tcBorders>
            <w:vAlign w:val="center"/>
          </w:tcPr>
          <w:p w14:paraId="61A8B04E">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PR224ZH/E</w:t>
            </w:r>
          </w:p>
          <w:p w14:paraId="44DC2A17">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万分之一天平</w:t>
            </w:r>
          </w:p>
        </w:tc>
        <w:tc>
          <w:tcPr>
            <w:tcW w:w="1368" w:type="dxa"/>
            <w:tcBorders>
              <w:tl2br w:val="nil"/>
              <w:tr2bl w:val="nil"/>
            </w:tcBorders>
            <w:vAlign w:val="center"/>
          </w:tcPr>
          <w:p w14:paraId="50DA03E5">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533F49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0940D964">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69A3570E">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铜</w:t>
            </w:r>
          </w:p>
        </w:tc>
        <w:tc>
          <w:tcPr>
            <w:tcW w:w="3806" w:type="dxa"/>
            <w:tcBorders>
              <w:tl2br w:val="nil"/>
              <w:tr2bl w:val="nil"/>
            </w:tcBorders>
            <w:vAlign w:val="center"/>
          </w:tcPr>
          <w:p w14:paraId="70EE490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《土壤和沉积物 铜、锌、铅、镍、铬的测定 火焰原子吸收分光光度法》HJ 491-2019</w:t>
            </w:r>
          </w:p>
        </w:tc>
        <w:tc>
          <w:tcPr>
            <w:tcW w:w="2186" w:type="dxa"/>
            <w:tcBorders>
              <w:tl2br w:val="nil"/>
              <w:tr2bl w:val="nil"/>
            </w:tcBorders>
            <w:vAlign w:val="center"/>
          </w:tcPr>
          <w:p w14:paraId="50B2A211">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TAS-990</w:t>
            </w:r>
            <w:r>
              <w:rPr>
                <w:rFonts w:hint="default" w:ascii="Times New Roman" w:hAnsi="Times New Roman" w:eastAsia="宋体" w:cs="Times New Roman"/>
                <w:sz w:val="21"/>
                <w:szCs w:val="21"/>
              </w:rPr>
              <w:t>原子吸收分光光度计</w:t>
            </w:r>
          </w:p>
        </w:tc>
        <w:tc>
          <w:tcPr>
            <w:tcW w:w="1368" w:type="dxa"/>
            <w:tcBorders>
              <w:tl2br w:val="nil"/>
              <w:tr2bl w:val="nil"/>
            </w:tcBorders>
            <w:vAlign w:val="center"/>
          </w:tcPr>
          <w:p w14:paraId="427CD3F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1mg/kg</w:t>
            </w:r>
          </w:p>
        </w:tc>
      </w:tr>
      <w:tr w14:paraId="5EED4F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7609238B">
            <w:pPr>
              <w:ind w:left="113" w:right="113"/>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2098F864">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锌</w:t>
            </w:r>
          </w:p>
        </w:tc>
        <w:tc>
          <w:tcPr>
            <w:tcW w:w="3806" w:type="dxa"/>
            <w:tcBorders>
              <w:tl2br w:val="nil"/>
              <w:tr2bl w:val="nil"/>
            </w:tcBorders>
            <w:vAlign w:val="center"/>
          </w:tcPr>
          <w:p w14:paraId="52184E4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《土壤和沉积物 铜、锌、铅、镍、铬的测定 火焰原子吸收分光光度法》</w:t>
            </w:r>
          </w:p>
          <w:p w14:paraId="7BA4B38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HJ 491-2019</w:t>
            </w:r>
          </w:p>
        </w:tc>
        <w:tc>
          <w:tcPr>
            <w:tcW w:w="2186" w:type="dxa"/>
            <w:tcBorders>
              <w:tl2br w:val="nil"/>
              <w:tr2bl w:val="nil"/>
            </w:tcBorders>
            <w:vAlign w:val="center"/>
          </w:tcPr>
          <w:p w14:paraId="48DB3C7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TAS-990</w:t>
            </w:r>
          </w:p>
          <w:p w14:paraId="248B847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原子吸收分光光度计</w:t>
            </w:r>
          </w:p>
        </w:tc>
        <w:tc>
          <w:tcPr>
            <w:tcW w:w="1368" w:type="dxa"/>
            <w:tcBorders>
              <w:tl2br w:val="nil"/>
              <w:tr2bl w:val="nil"/>
            </w:tcBorders>
            <w:vAlign w:val="center"/>
          </w:tcPr>
          <w:p w14:paraId="3BF7459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1mg/kg</w:t>
            </w:r>
          </w:p>
        </w:tc>
      </w:tr>
      <w:tr w14:paraId="4418B7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612F571D">
            <w:pPr>
              <w:ind w:left="113" w:right="113"/>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71F3CCF1">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铅</w:t>
            </w:r>
          </w:p>
        </w:tc>
        <w:tc>
          <w:tcPr>
            <w:tcW w:w="3806" w:type="dxa"/>
            <w:tcBorders>
              <w:tl2br w:val="nil"/>
              <w:tr2bl w:val="nil"/>
            </w:tcBorders>
            <w:vAlign w:val="center"/>
          </w:tcPr>
          <w:p w14:paraId="5A276CFC">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《土壤和沉积物 铜、锌、铅、镍、铬的测定 火焰原子吸收分光光度法》</w:t>
            </w:r>
          </w:p>
          <w:p w14:paraId="3B6D592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HJ 491-2019</w:t>
            </w:r>
          </w:p>
        </w:tc>
        <w:tc>
          <w:tcPr>
            <w:tcW w:w="2186" w:type="dxa"/>
            <w:tcBorders>
              <w:tl2br w:val="nil"/>
              <w:tr2bl w:val="nil"/>
            </w:tcBorders>
            <w:vAlign w:val="center"/>
          </w:tcPr>
          <w:p w14:paraId="52356D1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TAS-990</w:t>
            </w:r>
          </w:p>
          <w:p w14:paraId="71E80DF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原子吸收分光光度计</w:t>
            </w:r>
          </w:p>
        </w:tc>
        <w:tc>
          <w:tcPr>
            <w:tcW w:w="1368" w:type="dxa"/>
            <w:tcBorders>
              <w:tl2br w:val="nil"/>
              <w:tr2bl w:val="nil"/>
            </w:tcBorders>
            <w:vAlign w:val="center"/>
          </w:tcPr>
          <w:p w14:paraId="060133F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10mg/kg</w:t>
            </w:r>
          </w:p>
        </w:tc>
      </w:tr>
      <w:tr w14:paraId="5D5034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7500F62E">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41209046">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镉</w:t>
            </w:r>
          </w:p>
        </w:tc>
        <w:tc>
          <w:tcPr>
            <w:tcW w:w="3806" w:type="dxa"/>
            <w:tcBorders>
              <w:tl2br w:val="nil"/>
              <w:tr2bl w:val="nil"/>
            </w:tcBorders>
            <w:vAlign w:val="center"/>
          </w:tcPr>
          <w:p w14:paraId="6AB11C96">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土壤质量 铅、镉的测定 石墨炉原子吸收分光光度法</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GB</w:t>
            </w:r>
            <w:r>
              <w:rPr>
                <w:rFonts w:hint="default"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T 17141-1997</w:t>
            </w:r>
          </w:p>
        </w:tc>
        <w:tc>
          <w:tcPr>
            <w:tcW w:w="2186" w:type="dxa"/>
            <w:tcBorders>
              <w:tl2br w:val="nil"/>
              <w:tr2bl w:val="nil"/>
            </w:tcBorders>
            <w:vAlign w:val="center"/>
          </w:tcPr>
          <w:p w14:paraId="735066D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AA-6880</w:t>
            </w:r>
          </w:p>
          <w:p w14:paraId="500BBA4B">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z w:val="21"/>
                <w:szCs w:val="21"/>
              </w:rPr>
              <w:t>原子吸收分光光度计</w:t>
            </w:r>
          </w:p>
        </w:tc>
        <w:tc>
          <w:tcPr>
            <w:tcW w:w="1368" w:type="dxa"/>
            <w:tcBorders>
              <w:tl2br w:val="nil"/>
              <w:tr2bl w:val="nil"/>
            </w:tcBorders>
            <w:vAlign w:val="center"/>
          </w:tcPr>
          <w:p w14:paraId="793C28DE">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z w:val="21"/>
                <w:szCs w:val="21"/>
                <w:lang w:val="en-US" w:eastAsia="zh-CN"/>
              </w:rPr>
              <w:t>0.01mg/kg</w:t>
            </w:r>
          </w:p>
        </w:tc>
      </w:tr>
      <w:tr w14:paraId="7586D0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519B6DD4">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657BE11F">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镍</w:t>
            </w:r>
          </w:p>
        </w:tc>
        <w:tc>
          <w:tcPr>
            <w:tcW w:w="3806" w:type="dxa"/>
            <w:tcBorders>
              <w:tl2br w:val="nil"/>
              <w:tr2bl w:val="nil"/>
            </w:tcBorders>
            <w:vAlign w:val="center"/>
          </w:tcPr>
          <w:p w14:paraId="75B8590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《土壤和沉积物 铜、锌、铅、镍、铬的测定 火焰原子吸收分光光度法》</w:t>
            </w:r>
          </w:p>
          <w:p w14:paraId="5478D6B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HJ 491-2019</w:t>
            </w:r>
          </w:p>
        </w:tc>
        <w:tc>
          <w:tcPr>
            <w:tcW w:w="2186" w:type="dxa"/>
            <w:tcBorders>
              <w:tl2br w:val="nil"/>
              <w:tr2bl w:val="nil"/>
            </w:tcBorders>
            <w:vAlign w:val="center"/>
          </w:tcPr>
          <w:p w14:paraId="7DE96FA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TAS-990</w:t>
            </w:r>
          </w:p>
          <w:p w14:paraId="48C7F5A6">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z w:val="21"/>
                <w:szCs w:val="21"/>
              </w:rPr>
              <w:t>原子吸收分光光度计</w:t>
            </w:r>
          </w:p>
        </w:tc>
        <w:tc>
          <w:tcPr>
            <w:tcW w:w="1368" w:type="dxa"/>
            <w:tcBorders>
              <w:tl2br w:val="nil"/>
              <w:tr2bl w:val="nil"/>
            </w:tcBorders>
            <w:vAlign w:val="center"/>
          </w:tcPr>
          <w:p w14:paraId="263D25EB">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3mg/kg</w:t>
            </w:r>
          </w:p>
        </w:tc>
      </w:tr>
      <w:tr w14:paraId="378AC1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7B14F0A0">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0A0181FC">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六价铬</w:t>
            </w:r>
          </w:p>
        </w:tc>
        <w:tc>
          <w:tcPr>
            <w:tcW w:w="3806" w:type="dxa"/>
            <w:tcBorders>
              <w:tl2br w:val="nil"/>
              <w:tr2bl w:val="nil"/>
            </w:tcBorders>
            <w:vAlign w:val="center"/>
          </w:tcPr>
          <w:p w14:paraId="546A561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《土壤和沉积物 六价铬的测定 碱溶液提取-火焰原子吸收分光光度法》</w:t>
            </w:r>
          </w:p>
          <w:p w14:paraId="46526A49">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HJ 1082-2019</w:t>
            </w:r>
          </w:p>
        </w:tc>
        <w:tc>
          <w:tcPr>
            <w:tcW w:w="2186" w:type="dxa"/>
            <w:tcBorders>
              <w:tl2br w:val="nil"/>
              <w:tr2bl w:val="nil"/>
            </w:tcBorders>
            <w:vAlign w:val="center"/>
          </w:tcPr>
          <w:p w14:paraId="3A3D7A3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TAS-990</w:t>
            </w:r>
          </w:p>
          <w:p w14:paraId="1F011600">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z w:val="21"/>
                <w:szCs w:val="21"/>
              </w:rPr>
              <w:t>原子吸收分光光度计</w:t>
            </w:r>
          </w:p>
        </w:tc>
        <w:tc>
          <w:tcPr>
            <w:tcW w:w="1368" w:type="dxa"/>
            <w:tcBorders>
              <w:tl2br w:val="nil"/>
              <w:tr2bl w:val="nil"/>
            </w:tcBorders>
            <w:vAlign w:val="center"/>
          </w:tcPr>
          <w:p w14:paraId="49587563">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0.5mg/kg</w:t>
            </w:r>
          </w:p>
        </w:tc>
      </w:tr>
      <w:tr w14:paraId="0618C7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550ADDD4">
            <w:pPr>
              <w:ind w:left="0" w:leftChars="0" w:firstLine="0" w:firstLineChars="0"/>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514F5609">
            <w:pPr>
              <w:keepNext w:val="0"/>
              <w:keepLines w:val="0"/>
              <w:pageBreakBefore w:val="0"/>
              <w:widowControl/>
              <w:kinsoku/>
              <w:wordWrap/>
              <w:overflowPunct/>
              <w:topLinePunct w:val="0"/>
              <w:autoSpaceDE/>
              <w:autoSpaceDN/>
              <w:bidi w:val="0"/>
              <w:adjustRightInd/>
              <w:snapToGrid/>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kern w:val="0"/>
                <w:sz w:val="21"/>
                <w:szCs w:val="21"/>
                <w:lang w:bidi="ar"/>
              </w:rPr>
              <w:t>汞</w:t>
            </w:r>
          </w:p>
        </w:tc>
        <w:tc>
          <w:tcPr>
            <w:tcW w:w="3806" w:type="dxa"/>
            <w:tcBorders>
              <w:tl2br w:val="nil"/>
              <w:tr2bl w:val="nil"/>
            </w:tcBorders>
            <w:vAlign w:val="center"/>
          </w:tcPr>
          <w:p w14:paraId="63826C26">
            <w:pPr>
              <w:keepNext w:val="0"/>
              <w:keepLines w:val="0"/>
              <w:pageBreakBefore w:val="0"/>
              <w:widowControl/>
              <w:kinsoku/>
              <w:wordWrap/>
              <w:overflowPunct/>
              <w:topLinePunct w:val="0"/>
              <w:autoSpaceDE/>
              <w:autoSpaceDN/>
              <w:bidi w:val="0"/>
              <w:adjustRightInd/>
              <w:snapToGrid/>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《土壤和沉积物 汞、砷、硒、铋、锑的测定</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微波消解/原子荧光法》HJ 680-2013</w:t>
            </w:r>
          </w:p>
        </w:tc>
        <w:tc>
          <w:tcPr>
            <w:tcW w:w="2186" w:type="dxa"/>
            <w:tcBorders>
              <w:tl2br w:val="nil"/>
              <w:tr2bl w:val="nil"/>
            </w:tcBorders>
            <w:vAlign w:val="center"/>
          </w:tcPr>
          <w:p w14:paraId="6B4FF416">
            <w:pPr>
              <w:keepNext w:val="0"/>
              <w:keepLines w:val="0"/>
              <w:pageBreakBefore w:val="0"/>
              <w:widowControl/>
              <w:kinsoku/>
              <w:wordWrap/>
              <w:overflowPunct/>
              <w:topLinePunct w:val="0"/>
              <w:autoSpaceDE/>
              <w:autoSpaceDN/>
              <w:bidi w:val="0"/>
              <w:adjustRightInd/>
              <w:snapToGrid/>
              <w:ind w:left="-42" w:leftChars="-20" w:right="-42" w:rightChars="-20" w:firstLine="0" w:firstLineChars="0"/>
              <w:jc w:val="center"/>
              <w:textAlignment w:val="center"/>
              <w:outlineLvl w:val="9"/>
              <w:rPr>
                <w:rFonts w:hint="default" w:ascii="Times New Roman" w:hAnsi="Times New Roman" w:eastAsia="宋体" w:cs="Times New Roman"/>
                <w:color w:val="auto"/>
                <w:kern w:val="0"/>
                <w:sz w:val="21"/>
                <w:szCs w:val="21"/>
                <w:lang w:eastAsia="zh-CN" w:bidi="ar"/>
              </w:rPr>
            </w:pPr>
            <w:r>
              <w:rPr>
                <w:rFonts w:hint="default" w:ascii="Times New Roman" w:hAnsi="Times New Roman" w:eastAsia="宋体" w:cs="Times New Roman"/>
                <w:color w:val="auto"/>
                <w:kern w:val="0"/>
                <w:sz w:val="21"/>
                <w:szCs w:val="21"/>
                <w:lang w:eastAsia="zh-CN" w:bidi="ar"/>
              </w:rPr>
              <w:t>AFS-230E</w:t>
            </w:r>
          </w:p>
          <w:p w14:paraId="5AC1F424">
            <w:pPr>
              <w:keepNext w:val="0"/>
              <w:keepLines w:val="0"/>
              <w:pageBreakBefore w:val="0"/>
              <w:widowControl/>
              <w:kinsoku/>
              <w:wordWrap/>
              <w:overflowPunct/>
              <w:topLinePunct w:val="0"/>
              <w:autoSpaceDE/>
              <w:autoSpaceDN/>
              <w:bidi w:val="0"/>
              <w:adjustRightInd/>
              <w:snapToGrid/>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kern w:val="0"/>
                <w:sz w:val="21"/>
                <w:szCs w:val="21"/>
                <w:lang w:eastAsia="zh-CN" w:bidi="ar"/>
              </w:rPr>
              <w:t>原子荧光光谱仪</w:t>
            </w:r>
          </w:p>
        </w:tc>
        <w:tc>
          <w:tcPr>
            <w:tcW w:w="1368" w:type="dxa"/>
            <w:tcBorders>
              <w:tl2br w:val="nil"/>
              <w:tr2bl w:val="nil"/>
            </w:tcBorders>
            <w:vAlign w:val="center"/>
          </w:tcPr>
          <w:p w14:paraId="4A7A4DB1">
            <w:pPr>
              <w:keepNext w:val="0"/>
              <w:keepLines w:val="0"/>
              <w:pageBreakBefore w:val="0"/>
              <w:widowControl/>
              <w:kinsoku/>
              <w:wordWrap/>
              <w:overflowPunct/>
              <w:topLinePunct w:val="0"/>
              <w:autoSpaceDE/>
              <w:autoSpaceDN/>
              <w:bidi w:val="0"/>
              <w:adjustRightInd/>
              <w:snapToGrid/>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kern w:val="0"/>
                <w:sz w:val="21"/>
                <w:szCs w:val="21"/>
                <w:lang w:bidi="ar"/>
              </w:rPr>
              <w:t>0.002mg/kg</w:t>
            </w:r>
          </w:p>
        </w:tc>
      </w:tr>
      <w:tr w14:paraId="514AF6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414A1CB7">
            <w:pPr>
              <w:ind w:left="113" w:leftChars="0" w:right="113" w:rightChars="0"/>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2088D8F9">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eastAsia="zh-CN"/>
              </w:rPr>
              <w:t>砷</w:t>
            </w:r>
          </w:p>
        </w:tc>
        <w:tc>
          <w:tcPr>
            <w:tcW w:w="3806" w:type="dxa"/>
            <w:tcBorders>
              <w:tl2br w:val="nil"/>
              <w:tr2bl w:val="nil"/>
            </w:tcBorders>
            <w:vAlign w:val="center"/>
          </w:tcPr>
          <w:p w14:paraId="113C8796">
            <w:pPr>
              <w:keepNext w:val="0"/>
              <w:keepLines w:val="0"/>
              <w:pageBreakBefore w:val="0"/>
              <w:widowControl/>
              <w:kinsoku/>
              <w:wordWrap/>
              <w:overflowPunct/>
              <w:topLinePunct w:val="0"/>
              <w:autoSpaceDE/>
              <w:autoSpaceDN/>
              <w:bidi w:val="0"/>
              <w:adjustRightInd/>
              <w:snapToGrid/>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《土壤和沉积物 汞、砷、硒、铋、锑的测定</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微波消解/原子荧光法》HJ 680-2013</w:t>
            </w:r>
          </w:p>
        </w:tc>
        <w:tc>
          <w:tcPr>
            <w:tcW w:w="2186" w:type="dxa"/>
            <w:tcBorders>
              <w:tl2br w:val="nil"/>
              <w:tr2bl w:val="nil"/>
            </w:tcBorders>
            <w:vAlign w:val="center"/>
          </w:tcPr>
          <w:p w14:paraId="1A2E24B8">
            <w:pPr>
              <w:keepNext w:val="0"/>
              <w:keepLines w:val="0"/>
              <w:pageBreakBefore w:val="0"/>
              <w:widowControl/>
              <w:kinsoku/>
              <w:wordWrap/>
              <w:overflowPunct/>
              <w:topLinePunct w:val="0"/>
              <w:autoSpaceDE/>
              <w:autoSpaceDN/>
              <w:bidi w:val="0"/>
              <w:adjustRightInd/>
              <w:snapToGrid/>
              <w:ind w:left="-42" w:leftChars="-20" w:right="-42" w:rightChars="-20" w:firstLine="0" w:firstLineChars="0"/>
              <w:jc w:val="center"/>
              <w:textAlignment w:val="center"/>
              <w:outlineLvl w:val="9"/>
              <w:rPr>
                <w:rFonts w:hint="default" w:ascii="Times New Roman" w:hAnsi="Times New Roman" w:eastAsia="宋体" w:cs="Times New Roman"/>
                <w:color w:val="auto"/>
                <w:kern w:val="0"/>
                <w:sz w:val="21"/>
                <w:szCs w:val="21"/>
                <w:lang w:eastAsia="zh-CN" w:bidi="ar"/>
              </w:rPr>
            </w:pPr>
            <w:r>
              <w:rPr>
                <w:rFonts w:hint="default" w:ascii="Times New Roman" w:hAnsi="Times New Roman" w:eastAsia="宋体" w:cs="Times New Roman"/>
                <w:color w:val="auto"/>
                <w:kern w:val="0"/>
                <w:sz w:val="21"/>
                <w:szCs w:val="21"/>
                <w:lang w:eastAsia="zh-CN" w:bidi="ar"/>
              </w:rPr>
              <w:t>AFS-230E</w:t>
            </w:r>
          </w:p>
          <w:p w14:paraId="72F231FA">
            <w:pPr>
              <w:keepNext w:val="0"/>
              <w:keepLines w:val="0"/>
              <w:pageBreakBefore w:val="0"/>
              <w:widowControl/>
              <w:kinsoku/>
              <w:wordWrap/>
              <w:overflowPunct/>
              <w:topLinePunct w:val="0"/>
              <w:autoSpaceDE/>
              <w:autoSpaceDN/>
              <w:bidi w:val="0"/>
              <w:adjustRightInd/>
              <w:snapToGrid/>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kern w:val="0"/>
                <w:sz w:val="21"/>
                <w:szCs w:val="21"/>
                <w:lang w:eastAsia="zh-CN" w:bidi="ar"/>
              </w:rPr>
              <w:t>原子荧光光谱仪</w:t>
            </w:r>
          </w:p>
        </w:tc>
        <w:tc>
          <w:tcPr>
            <w:tcW w:w="1368" w:type="dxa"/>
            <w:tcBorders>
              <w:tl2br w:val="nil"/>
              <w:tr2bl w:val="nil"/>
            </w:tcBorders>
            <w:vAlign w:val="center"/>
          </w:tcPr>
          <w:p w14:paraId="06BCB6C2">
            <w:pPr>
              <w:keepNext w:val="0"/>
              <w:keepLines w:val="0"/>
              <w:pageBreakBefore w:val="0"/>
              <w:widowControl/>
              <w:kinsoku/>
              <w:wordWrap/>
              <w:overflowPunct/>
              <w:topLinePunct w:val="0"/>
              <w:autoSpaceDE/>
              <w:autoSpaceDN/>
              <w:bidi w:val="0"/>
              <w:adjustRightInd/>
              <w:snapToGrid/>
              <w:ind w:left="-42" w:leftChars="-20" w:right="-42" w:rightChars="-20" w:firstLine="0" w:firstLineChars="0"/>
              <w:jc w:val="center"/>
              <w:textAlignment w:val="center"/>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kern w:val="0"/>
                <w:sz w:val="21"/>
                <w:szCs w:val="21"/>
                <w:lang w:bidi="ar"/>
              </w:rPr>
              <w:t>0.01mg/kg</w:t>
            </w:r>
          </w:p>
        </w:tc>
      </w:tr>
      <w:tr w14:paraId="0F2C7B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5CE74193">
            <w:pPr>
              <w:ind w:left="113" w:leftChars="0" w:right="113" w:rightChars="0"/>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577F7A5A">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总铬</w:t>
            </w:r>
          </w:p>
        </w:tc>
        <w:tc>
          <w:tcPr>
            <w:tcW w:w="3806" w:type="dxa"/>
            <w:tcBorders>
              <w:tl2br w:val="nil"/>
              <w:tr2bl w:val="nil"/>
            </w:tcBorders>
            <w:vAlign w:val="center"/>
          </w:tcPr>
          <w:p w14:paraId="48AE338A">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《土壤和沉积物 铜、锌、铅、镍、铬的测定 火焰原子吸收分光光度法》</w:t>
            </w:r>
          </w:p>
          <w:p w14:paraId="0B03B377">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HJ 491-2019</w:t>
            </w:r>
          </w:p>
        </w:tc>
        <w:tc>
          <w:tcPr>
            <w:tcW w:w="2186" w:type="dxa"/>
            <w:tcBorders>
              <w:tl2br w:val="nil"/>
              <w:tr2bl w:val="nil"/>
            </w:tcBorders>
            <w:vAlign w:val="center"/>
          </w:tcPr>
          <w:p w14:paraId="7BE61E9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TAS-990</w:t>
            </w:r>
          </w:p>
          <w:p w14:paraId="43A0BC84">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原子吸收分光光度计</w:t>
            </w:r>
          </w:p>
        </w:tc>
        <w:tc>
          <w:tcPr>
            <w:tcW w:w="1368" w:type="dxa"/>
            <w:tcBorders>
              <w:tl2br w:val="nil"/>
              <w:tr2bl w:val="nil"/>
            </w:tcBorders>
            <w:vAlign w:val="center"/>
          </w:tcPr>
          <w:p w14:paraId="76A2591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4mg/kg</w:t>
            </w:r>
          </w:p>
        </w:tc>
      </w:tr>
      <w:tr w14:paraId="70C0A0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6B316912">
            <w:pPr>
              <w:ind w:left="113" w:right="113"/>
              <w:jc w:val="both"/>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4E5B225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四氯化碳</w:t>
            </w:r>
          </w:p>
        </w:tc>
        <w:tc>
          <w:tcPr>
            <w:tcW w:w="3806" w:type="dxa"/>
            <w:tcBorders>
              <w:tl2br w:val="nil"/>
              <w:tr2bl w:val="nil"/>
            </w:tcBorders>
            <w:vAlign w:val="center"/>
          </w:tcPr>
          <w:p w14:paraId="511EC6B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265C559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06C2E4D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5956975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2.1×10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6B1D32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6C35EEDB">
            <w:pPr>
              <w:ind w:left="113" w:right="113"/>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728E278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氯仿</w:t>
            </w:r>
          </w:p>
        </w:tc>
        <w:tc>
          <w:tcPr>
            <w:tcW w:w="3806" w:type="dxa"/>
            <w:tcBorders>
              <w:tl2br w:val="nil"/>
              <w:tr2bl w:val="nil"/>
            </w:tcBorders>
            <w:vAlign w:val="center"/>
          </w:tcPr>
          <w:p w14:paraId="6F3CD7D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0B0B1EC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41919F7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511A61B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2F0839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35B60A3B">
            <w:pPr>
              <w:ind w:left="113" w:right="113"/>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5E430922">
            <w:pPr>
              <w:widowControl/>
              <w:ind w:left="-42" w:leftChars="-20" w:right="-42" w:rightChars="-2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
              </w:rPr>
              <w:t>氯甲烷</w:t>
            </w:r>
          </w:p>
        </w:tc>
        <w:tc>
          <w:tcPr>
            <w:tcW w:w="3806" w:type="dxa"/>
            <w:tcBorders>
              <w:tl2br w:val="nil"/>
              <w:tr2bl w:val="nil"/>
            </w:tcBorders>
            <w:vAlign w:val="center"/>
          </w:tcPr>
          <w:p w14:paraId="23578338">
            <w:pPr>
              <w:spacing w:line="2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《土壤和沉积物 挥发性卤代烃的测定 顶空</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气相色谱-质谱法》HJ 736-201</w:t>
            </w:r>
            <w:r>
              <w:rPr>
                <w:rFonts w:hint="default" w:ascii="Times New Roman" w:hAnsi="Times New Roman" w:eastAsia="宋体" w:cs="Times New Roman"/>
                <w:color w:val="auto"/>
                <w:sz w:val="21"/>
                <w:szCs w:val="21"/>
                <w:lang w:val="en-US" w:eastAsia="zh-CN"/>
              </w:rPr>
              <w:t>5</w:t>
            </w:r>
          </w:p>
        </w:tc>
        <w:tc>
          <w:tcPr>
            <w:tcW w:w="2186" w:type="dxa"/>
            <w:tcBorders>
              <w:tl2br w:val="nil"/>
              <w:tr2bl w:val="nil"/>
            </w:tcBorders>
            <w:vAlign w:val="center"/>
          </w:tcPr>
          <w:p w14:paraId="316E38FA">
            <w:pPr>
              <w:jc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eastAsia="zh-CN" w:bidi="ar"/>
              </w:rPr>
              <w:t>GCMS</w:t>
            </w:r>
            <w:r>
              <w:rPr>
                <w:rFonts w:hint="default"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eastAsia="zh-CN" w:bidi="ar"/>
              </w:rPr>
              <w:t>QP2010</w:t>
            </w:r>
            <w:r>
              <w:rPr>
                <w:rFonts w:hint="default" w:ascii="Times New Roman" w:hAnsi="Times New Roman" w:eastAsia="宋体" w:cs="Times New Roman"/>
                <w:color w:val="auto"/>
                <w:kern w:val="0"/>
                <w:sz w:val="21"/>
                <w:szCs w:val="21"/>
                <w:highlight w:val="none"/>
                <w:lang w:val="en-US" w:eastAsia="zh-CN" w:bidi="ar"/>
              </w:rPr>
              <w:t xml:space="preserve"> </w:t>
            </w:r>
            <w:r>
              <w:rPr>
                <w:rFonts w:hint="default" w:ascii="Times New Roman" w:hAnsi="Times New Roman" w:eastAsia="宋体" w:cs="Times New Roman"/>
                <w:color w:val="auto"/>
                <w:kern w:val="0"/>
                <w:sz w:val="21"/>
                <w:szCs w:val="21"/>
                <w:highlight w:val="none"/>
                <w:lang w:eastAsia="zh-CN" w:bidi="ar"/>
              </w:rPr>
              <w:t>SE</w:t>
            </w:r>
          </w:p>
          <w:p w14:paraId="198A947D">
            <w:pPr>
              <w:widowControl/>
              <w:ind w:left="-42" w:leftChars="-20" w:right="-42" w:rightChars="-2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highlight w:val="none"/>
                <w:lang w:eastAsia="zh-CN" w:bidi="ar"/>
              </w:rPr>
              <w:t>气相色谱质谱联用仪</w:t>
            </w:r>
          </w:p>
        </w:tc>
        <w:tc>
          <w:tcPr>
            <w:tcW w:w="1368" w:type="dxa"/>
            <w:tcBorders>
              <w:tl2br w:val="nil"/>
              <w:tr2bl w:val="nil"/>
            </w:tcBorders>
            <w:vAlign w:val="center"/>
          </w:tcPr>
          <w:p w14:paraId="4A3A3858">
            <w:pPr>
              <w:keepNext w:val="0"/>
              <w:keepLines w:val="0"/>
              <w:pageBreakBefore w:val="0"/>
              <w:widowControl w:val="0"/>
              <w:kinsoku/>
              <w:wordWrap/>
              <w:overflowPunct/>
              <w:topLinePunct w:val="0"/>
              <w:autoSpaceDE/>
              <w:autoSpaceDN/>
              <w:bidi w:val="0"/>
              <w:adjustRightInd/>
              <w:snapToGrid/>
              <w:spacing w:line="260" w:lineRule="exact"/>
              <w:ind w:left="-105" w:leftChars="-50" w:right="-105" w:rightChars="-5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mg/kg</w:t>
            </w:r>
          </w:p>
        </w:tc>
      </w:tr>
      <w:tr w14:paraId="4FF24C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42DF3CAE">
            <w:pPr>
              <w:ind w:left="113" w:leftChars="0" w:right="113" w:rightChars="0"/>
              <w:jc w:val="center"/>
              <w:rPr>
                <w:rFonts w:hint="default" w:ascii="Times New Roman" w:hAnsi="Times New Roman" w:eastAsia="宋体" w:cs="Times New Roman"/>
                <w:sz w:val="21"/>
                <w:szCs w:val="21"/>
                <w:lang w:val="en-US" w:eastAsia="zh-CN"/>
              </w:rPr>
            </w:pPr>
          </w:p>
        </w:tc>
        <w:tc>
          <w:tcPr>
            <w:tcW w:w="523" w:type="dxa"/>
            <w:vMerge w:val="restart"/>
            <w:tcBorders>
              <w:tl2br w:val="nil"/>
              <w:tr2bl w:val="nil"/>
            </w:tcBorders>
            <w:vAlign w:val="center"/>
          </w:tcPr>
          <w:p w14:paraId="613BCEB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w:t>
            </w:r>
          </w:p>
          <w:p w14:paraId="36C298E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氯</w:t>
            </w:r>
          </w:p>
          <w:p w14:paraId="1CFBEEF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乙</w:t>
            </w:r>
          </w:p>
          <w:p w14:paraId="1BD8682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烷</w:t>
            </w:r>
          </w:p>
        </w:tc>
        <w:tc>
          <w:tcPr>
            <w:tcW w:w="869" w:type="dxa"/>
            <w:tcBorders>
              <w:tl2br w:val="nil"/>
              <w:tr2bl w:val="nil"/>
            </w:tcBorders>
            <w:vAlign w:val="center"/>
          </w:tcPr>
          <w:p w14:paraId="74223F6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w:t>
            </w:r>
          </w:p>
          <w:p w14:paraId="363CFA1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二氯乙烷</w:t>
            </w:r>
          </w:p>
        </w:tc>
        <w:tc>
          <w:tcPr>
            <w:tcW w:w="3806" w:type="dxa"/>
            <w:tcBorders>
              <w:tl2br w:val="nil"/>
              <w:tr2bl w:val="nil"/>
            </w:tcBorders>
            <w:vAlign w:val="center"/>
          </w:tcPr>
          <w:p w14:paraId="325CECE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7B97F88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461AFEF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4649F1A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0F83F0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6B5718C1">
            <w:pPr>
              <w:jc w:val="center"/>
              <w:rPr>
                <w:rFonts w:hint="default" w:ascii="Times New Roman" w:hAnsi="Times New Roman" w:eastAsia="宋体" w:cs="Times New Roman"/>
                <w:sz w:val="21"/>
                <w:szCs w:val="21"/>
                <w:lang w:val="en-US" w:eastAsia="zh-CN"/>
              </w:rPr>
            </w:pPr>
          </w:p>
        </w:tc>
        <w:tc>
          <w:tcPr>
            <w:tcW w:w="523" w:type="dxa"/>
            <w:vMerge w:val="continue"/>
            <w:tcBorders>
              <w:tl2br w:val="nil"/>
              <w:tr2bl w:val="nil"/>
            </w:tcBorders>
            <w:vAlign w:val="center"/>
          </w:tcPr>
          <w:p w14:paraId="3AABDCA6">
            <w:pPr>
              <w:jc w:val="center"/>
              <w:rPr>
                <w:rFonts w:hint="default" w:ascii="Times New Roman" w:hAnsi="Times New Roman" w:eastAsia="宋体" w:cs="Times New Roman"/>
                <w:sz w:val="21"/>
                <w:szCs w:val="21"/>
                <w:lang w:val="en-US" w:eastAsia="zh-CN"/>
              </w:rPr>
            </w:pPr>
          </w:p>
        </w:tc>
        <w:tc>
          <w:tcPr>
            <w:tcW w:w="869" w:type="dxa"/>
            <w:tcBorders>
              <w:tl2br w:val="nil"/>
              <w:tr2bl w:val="nil"/>
            </w:tcBorders>
            <w:vAlign w:val="center"/>
          </w:tcPr>
          <w:p w14:paraId="0D496D4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w:t>
            </w:r>
          </w:p>
          <w:p w14:paraId="5CB7EC0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二氯乙烷</w:t>
            </w:r>
          </w:p>
        </w:tc>
        <w:tc>
          <w:tcPr>
            <w:tcW w:w="3806" w:type="dxa"/>
            <w:tcBorders>
              <w:tl2br w:val="nil"/>
              <w:tr2bl w:val="nil"/>
            </w:tcBorders>
            <w:vAlign w:val="center"/>
          </w:tcPr>
          <w:p w14:paraId="3974FD7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29EBD7B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047A5C2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1BC77E9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1.3×10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6BF341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7BE6CB22">
            <w:pPr>
              <w:jc w:val="center"/>
              <w:rPr>
                <w:rFonts w:hint="default" w:ascii="Times New Roman" w:hAnsi="Times New Roman" w:eastAsia="宋体" w:cs="Times New Roman"/>
                <w:sz w:val="21"/>
                <w:szCs w:val="21"/>
                <w:lang w:val="en-US" w:eastAsia="zh-CN"/>
              </w:rPr>
            </w:pPr>
          </w:p>
        </w:tc>
        <w:tc>
          <w:tcPr>
            <w:tcW w:w="523" w:type="dxa"/>
            <w:vMerge w:val="restart"/>
            <w:tcBorders>
              <w:tl2br w:val="nil"/>
              <w:tr2bl w:val="nil"/>
            </w:tcBorders>
            <w:vAlign w:val="center"/>
          </w:tcPr>
          <w:p w14:paraId="517ECA9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w:t>
            </w:r>
          </w:p>
          <w:p w14:paraId="3282D34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氯</w:t>
            </w:r>
          </w:p>
          <w:p w14:paraId="06E4C52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乙</w:t>
            </w:r>
          </w:p>
          <w:p w14:paraId="78686F7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烯</w:t>
            </w:r>
          </w:p>
        </w:tc>
        <w:tc>
          <w:tcPr>
            <w:tcW w:w="869" w:type="dxa"/>
            <w:tcBorders>
              <w:tl2br w:val="nil"/>
              <w:tr2bl w:val="nil"/>
            </w:tcBorders>
            <w:vAlign w:val="center"/>
          </w:tcPr>
          <w:p w14:paraId="54107BD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w:t>
            </w:r>
          </w:p>
          <w:p w14:paraId="5DC758F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二氯乙烯</w:t>
            </w:r>
          </w:p>
        </w:tc>
        <w:tc>
          <w:tcPr>
            <w:tcW w:w="3806" w:type="dxa"/>
            <w:tcBorders>
              <w:tl2br w:val="nil"/>
              <w:tr2bl w:val="nil"/>
            </w:tcBorders>
            <w:vAlign w:val="center"/>
          </w:tcPr>
          <w:p w14:paraId="6FE138A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4DE4FA6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11C5184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13E16EE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0.8×10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1CD45B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5EC87C78">
            <w:pPr>
              <w:jc w:val="center"/>
              <w:rPr>
                <w:rFonts w:hint="default" w:ascii="Times New Roman" w:hAnsi="Times New Roman" w:eastAsia="宋体" w:cs="Times New Roman"/>
                <w:sz w:val="21"/>
                <w:szCs w:val="21"/>
                <w:lang w:val="en-US" w:eastAsia="zh-CN"/>
              </w:rPr>
            </w:pPr>
          </w:p>
        </w:tc>
        <w:tc>
          <w:tcPr>
            <w:tcW w:w="523" w:type="dxa"/>
            <w:vMerge w:val="continue"/>
            <w:tcBorders>
              <w:tl2br w:val="nil"/>
              <w:tr2bl w:val="nil"/>
            </w:tcBorders>
            <w:vAlign w:val="center"/>
          </w:tcPr>
          <w:p w14:paraId="1EAA5546">
            <w:pPr>
              <w:jc w:val="center"/>
              <w:rPr>
                <w:rFonts w:hint="default" w:ascii="Times New Roman" w:hAnsi="Times New Roman" w:eastAsia="宋体" w:cs="Times New Roman"/>
                <w:sz w:val="21"/>
                <w:szCs w:val="21"/>
                <w:lang w:val="en-US" w:eastAsia="zh-CN"/>
              </w:rPr>
            </w:pPr>
          </w:p>
        </w:tc>
        <w:tc>
          <w:tcPr>
            <w:tcW w:w="869" w:type="dxa"/>
            <w:tcBorders>
              <w:tl2br w:val="nil"/>
              <w:tr2bl w:val="nil"/>
            </w:tcBorders>
            <w:vAlign w:val="center"/>
          </w:tcPr>
          <w:p w14:paraId="6551D49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顺-1,2-</w:t>
            </w:r>
          </w:p>
          <w:p w14:paraId="6D69B84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二氯乙烯</w:t>
            </w:r>
          </w:p>
        </w:tc>
        <w:tc>
          <w:tcPr>
            <w:tcW w:w="3806" w:type="dxa"/>
            <w:tcBorders>
              <w:tl2br w:val="nil"/>
              <w:tr2bl w:val="nil"/>
            </w:tcBorders>
            <w:vAlign w:val="center"/>
          </w:tcPr>
          <w:p w14:paraId="3F355C3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26EFF04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036DF74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0B17C8D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0.9×10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33B48E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0D2EDE9F">
            <w:pPr>
              <w:jc w:val="center"/>
              <w:rPr>
                <w:rFonts w:hint="default" w:ascii="Times New Roman" w:hAnsi="Times New Roman" w:eastAsia="宋体" w:cs="Times New Roman"/>
                <w:sz w:val="21"/>
                <w:szCs w:val="21"/>
                <w:lang w:val="en-US" w:eastAsia="zh-CN"/>
              </w:rPr>
            </w:pPr>
          </w:p>
        </w:tc>
        <w:tc>
          <w:tcPr>
            <w:tcW w:w="523" w:type="dxa"/>
            <w:vMerge w:val="continue"/>
            <w:tcBorders>
              <w:tl2br w:val="nil"/>
              <w:tr2bl w:val="nil"/>
            </w:tcBorders>
            <w:vAlign w:val="center"/>
          </w:tcPr>
          <w:p w14:paraId="49900216">
            <w:pPr>
              <w:jc w:val="center"/>
              <w:rPr>
                <w:rFonts w:hint="default" w:ascii="Times New Roman" w:hAnsi="Times New Roman" w:eastAsia="宋体" w:cs="Times New Roman"/>
                <w:sz w:val="21"/>
                <w:szCs w:val="21"/>
                <w:lang w:val="en-US" w:eastAsia="zh-CN"/>
              </w:rPr>
            </w:pPr>
          </w:p>
        </w:tc>
        <w:tc>
          <w:tcPr>
            <w:tcW w:w="869" w:type="dxa"/>
            <w:tcBorders>
              <w:tl2br w:val="nil"/>
              <w:tr2bl w:val="nil"/>
            </w:tcBorders>
            <w:vAlign w:val="center"/>
          </w:tcPr>
          <w:p w14:paraId="062D3BB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反-1,2-</w:t>
            </w:r>
          </w:p>
          <w:p w14:paraId="1F8DCA0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二氯乙烯</w:t>
            </w:r>
          </w:p>
        </w:tc>
        <w:tc>
          <w:tcPr>
            <w:tcW w:w="3806" w:type="dxa"/>
            <w:tcBorders>
              <w:tl2br w:val="nil"/>
              <w:tr2bl w:val="nil"/>
            </w:tcBorders>
            <w:vAlign w:val="center"/>
          </w:tcPr>
          <w:p w14:paraId="775ADE7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77C22E9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443FE4C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710136D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0.9×10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100992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restart"/>
            <w:tcBorders>
              <w:tl2br w:val="nil"/>
              <w:tr2bl w:val="nil"/>
            </w:tcBorders>
            <w:vAlign w:val="center"/>
          </w:tcPr>
          <w:p w14:paraId="148DEC8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土壤（总量）、污泥</w:t>
            </w:r>
          </w:p>
        </w:tc>
        <w:tc>
          <w:tcPr>
            <w:tcW w:w="1392" w:type="dxa"/>
            <w:gridSpan w:val="2"/>
            <w:tcBorders>
              <w:tl2br w:val="nil"/>
              <w:tr2bl w:val="nil"/>
            </w:tcBorders>
            <w:vAlign w:val="center"/>
          </w:tcPr>
          <w:p w14:paraId="5D11A0CE">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二氯甲烷</w:t>
            </w:r>
          </w:p>
        </w:tc>
        <w:tc>
          <w:tcPr>
            <w:tcW w:w="3806" w:type="dxa"/>
            <w:tcBorders>
              <w:tl2br w:val="nil"/>
              <w:tr2bl w:val="nil"/>
            </w:tcBorders>
            <w:vAlign w:val="center"/>
          </w:tcPr>
          <w:p w14:paraId="3527BCB8">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561CEA6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0054D3AE">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65F05AC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2.6×10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5AC5B1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09A3C3DB">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4FE73672">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1,2-二氯丙烷</w:t>
            </w:r>
          </w:p>
        </w:tc>
        <w:tc>
          <w:tcPr>
            <w:tcW w:w="3806" w:type="dxa"/>
            <w:tcBorders>
              <w:tl2br w:val="nil"/>
              <w:tr2bl w:val="nil"/>
            </w:tcBorders>
            <w:vAlign w:val="center"/>
          </w:tcPr>
          <w:p w14:paraId="4C8D9815">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3798BFA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2B688BE5">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185B359D">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1.9×10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615BAB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5591222A">
            <w:pPr>
              <w:jc w:val="center"/>
              <w:rPr>
                <w:rFonts w:hint="default" w:ascii="Times New Roman" w:hAnsi="Times New Roman" w:eastAsia="宋体" w:cs="Times New Roman"/>
                <w:sz w:val="21"/>
                <w:szCs w:val="21"/>
                <w:lang w:val="en-US" w:eastAsia="zh-CN"/>
              </w:rPr>
            </w:pPr>
          </w:p>
        </w:tc>
        <w:tc>
          <w:tcPr>
            <w:tcW w:w="523" w:type="dxa"/>
            <w:vMerge w:val="restart"/>
            <w:tcBorders>
              <w:tl2br w:val="nil"/>
              <w:tr2bl w:val="nil"/>
            </w:tcBorders>
            <w:vAlign w:val="center"/>
          </w:tcPr>
          <w:p w14:paraId="4027ACF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四</w:t>
            </w:r>
          </w:p>
          <w:p w14:paraId="2E3C5EE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氯</w:t>
            </w:r>
          </w:p>
          <w:p w14:paraId="7B39EA5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乙</w:t>
            </w:r>
          </w:p>
          <w:p w14:paraId="5AFDB6D1">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烷</w:t>
            </w:r>
          </w:p>
        </w:tc>
        <w:tc>
          <w:tcPr>
            <w:tcW w:w="869" w:type="dxa"/>
            <w:tcBorders>
              <w:tl2br w:val="nil"/>
              <w:tr2bl w:val="nil"/>
            </w:tcBorders>
            <w:vAlign w:val="center"/>
          </w:tcPr>
          <w:p w14:paraId="35179E7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1,1,1,2-</w:t>
            </w:r>
          </w:p>
          <w:p w14:paraId="190E0B4F">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四氯乙烷</w:t>
            </w:r>
          </w:p>
        </w:tc>
        <w:tc>
          <w:tcPr>
            <w:tcW w:w="3806" w:type="dxa"/>
            <w:tcBorders>
              <w:tl2br w:val="nil"/>
              <w:tr2bl w:val="nil"/>
            </w:tcBorders>
            <w:vAlign w:val="center"/>
          </w:tcPr>
          <w:p w14:paraId="488C3E26">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12AA2A6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556BA616">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6BA6988F">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1.0×10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6F65F3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57CA8C7E">
            <w:pPr>
              <w:jc w:val="center"/>
              <w:rPr>
                <w:rFonts w:hint="default" w:ascii="Times New Roman" w:hAnsi="Times New Roman" w:eastAsia="宋体" w:cs="Times New Roman"/>
                <w:sz w:val="21"/>
                <w:szCs w:val="21"/>
                <w:lang w:val="en-US" w:eastAsia="zh-CN"/>
              </w:rPr>
            </w:pPr>
          </w:p>
        </w:tc>
        <w:tc>
          <w:tcPr>
            <w:tcW w:w="523" w:type="dxa"/>
            <w:vMerge w:val="continue"/>
            <w:tcBorders>
              <w:tl2br w:val="nil"/>
              <w:tr2bl w:val="nil"/>
            </w:tcBorders>
            <w:vAlign w:val="center"/>
          </w:tcPr>
          <w:p w14:paraId="7956DA1E">
            <w:pPr>
              <w:jc w:val="center"/>
              <w:rPr>
                <w:rFonts w:hint="default" w:ascii="Times New Roman" w:hAnsi="Times New Roman" w:eastAsia="宋体" w:cs="Times New Roman"/>
                <w:sz w:val="21"/>
                <w:szCs w:val="21"/>
                <w:lang w:val="en-US" w:eastAsia="zh-CN"/>
              </w:rPr>
            </w:pPr>
          </w:p>
        </w:tc>
        <w:tc>
          <w:tcPr>
            <w:tcW w:w="869" w:type="dxa"/>
            <w:tcBorders>
              <w:tl2br w:val="nil"/>
              <w:tr2bl w:val="nil"/>
            </w:tcBorders>
            <w:vAlign w:val="center"/>
          </w:tcPr>
          <w:p w14:paraId="152E1E8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1,1,2,2-</w:t>
            </w:r>
          </w:p>
          <w:p w14:paraId="61A8E92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四氯乙烷</w:t>
            </w:r>
          </w:p>
        </w:tc>
        <w:tc>
          <w:tcPr>
            <w:tcW w:w="3806" w:type="dxa"/>
            <w:tcBorders>
              <w:tl2br w:val="nil"/>
              <w:tr2bl w:val="nil"/>
            </w:tcBorders>
            <w:vAlign w:val="center"/>
          </w:tcPr>
          <w:p w14:paraId="2C2EEC8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62E027A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39F800D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3A6D3D3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2A2663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6F3E5A3E">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2FAB537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四氯乙烯</w:t>
            </w:r>
          </w:p>
        </w:tc>
        <w:tc>
          <w:tcPr>
            <w:tcW w:w="3806" w:type="dxa"/>
            <w:tcBorders>
              <w:tl2br w:val="nil"/>
              <w:tr2bl w:val="nil"/>
            </w:tcBorders>
            <w:vAlign w:val="center"/>
          </w:tcPr>
          <w:p w14:paraId="6300803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1787D2A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5352F50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36A258B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0.8×10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6E85B1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1E95EB5F">
            <w:pPr>
              <w:jc w:val="center"/>
              <w:rPr>
                <w:rFonts w:hint="default" w:ascii="Times New Roman" w:hAnsi="Times New Roman" w:eastAsia="宋体" w:cs="Times New Roman"/>
                <w:sz w:val="21"/>
                <w:szCs w:val="21"/>
                <w:lang w:val="en-US" w:eastAsia="zh-CN"/>
              </w:rPr>
            </w:pPr>
          </w:p>
        </w:tc>
        <w:tc>
          <w:tcPr>
            <w:tcW w:w="523" w:type="dxa"/>
            <w:vMerge w:val="restart"/>
            <w:tcBorders>
              <w:tl2br w:val="nil"/>
              <w:tr2bl w:val="nil"/>
            </w:tcBorders>
            <w:vAlign w:val="center"/>
          </w:tcPr>
          <w:p w14:paraId="68CA469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三</w:t>
            </w:r>
          </w:p>
          <w:p w14:paraId="070CCAE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氯</w:t>
            </w:r>
          </w:p>
          <w:p w14:paraId="4B1F3E5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乙</w:t>
            </w:r>
          </w:p>
          <w:p w14:paraId="40E8FA6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烷</w:t>
            </w:r>
          </w:p>
        </w:tc>
        <w:tc>
          <w:tcPr>
            <w:tcW w:w="869" w:type="dxa"/>
            <w:tcBorders>
              <w:tl2br w:val="nil"/>
              <w:tr2bl w:val="nil"/>
            </w:tcBorders>
            <w:vAlign w:val="center"/>
          </w:tcPr>
          <w:p w14:paraId="5E6E297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1,1,1-</w:t>
            </w:r>
          </w:p>
          <w:p w14:paraId="343865B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三氯乙烷</w:t>
            </w:r>
          </w:p>
        </w:tc>
        <w:tc>
          <w:tcPr>
            <w:tcW w:w="3806" w:type="dxa"/>
            <w:tcBorders>
              <w:tl2br w:val="nil"/>
              <w:tr2bl w:val="nil"/>
            </w:tcBorders>
            <w:vAlign w:val="center"/>
          </w:tcPr>
          <w:p w14:paraId="0230D78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7FE6828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4FEBA49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36E1FA1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7EDA86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45F8989C">
            <w:pPr>
              <w:ind w:left="113" w:right="113"/>
              <w:jc w:val="center"/>
              <w:rPr>
                <w:rFonts w:hint="default" w:ascii="Times New Roman" w:hAnsi="Times New Roman" w:eastAsia="宋体" w:cs="Times New Roman"/>
                <w:sz w:val="21"/>
                <w:szCs w:val="21"/>
                <w:lang w:val="en-US" w:eastAsia="zh-CN"/>
              </w:rPr>
            </w:pPr>
          </w:p>
        </w:tc>
        <w:tc>
          <w:tcPr>
            <w:tcW w:w="523" w:type="dxa"/>
            <w:vMerge w:val="continue"/>
            <w:tcBorders>
              <w:tl2br w:val="nil"/>
              <w:tr2bl w:val="nil"/>
            </w:tcBorders>
            <w:vAlign w:val="center"/>
          </w:tcPr>
          <w:p w14:paraId="6034D204">
            <w:pPr>
              <w:jc w:val="center"/>
              <w:rPr>
                <w:rFonts w:hint="default" w:ascii="Times New Roman" w:hAnsi="Times New Roman" w:eastAsia="宋体" w:cs="Times New Roman"/>
                <w:sz w:val="21"/>
                <w:szCs w:val="21"/>
                <w:lang w:val="en-US" w:eastAsia="zh-CN"/>
              </w:rPr>
            </w:pPr>
          </w:p>
        </w:tc>
        <w:tc>
          <w:tcPr>
            <w:tcW w:w="869" w:type="dxa"/>
            <w:tcBorders>
              <w:tl2br w:val="nil"/>
              <w:tr2bl w:val="nil"/>
            </w:tcBorders>
            <w:vAlign w:val="center"/>
          </w:tcPr>
          <w:p w14:paraId="23C9F0C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1,1,2-</w:t>
            </w:r>
          </w:p>
          <w:p w14:paraId="54879C7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三氯乙烷</w:t>
            </w:r>
          </w:p>
        </w:tc>
        <w:tc>
          <w:tcPr>
            <w:tcW w:w="3806" w:type="dxa"/>
            <w:tcBorders>
              <w:tl2br w:val="nil"/>
              <w:tr2bl w:val="nil"/>
            </w:tcBorders>
            <w:vAlign w:val="center"/>
          </w:tcPr>
          <w:p w14:paraId="0B04C09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153689F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3E03F45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70774DF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1.4×10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73D85C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68E66420">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605E5F1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三氯乙烯</w:t>
            </w:r>
          </w:p>
        </w:tc>
        <w:tc>
          <w:tcPr>
            <w:tcW w:w="3806" w:type="dxa"/>
            <w:tcBorders>
              <w:tl2br w:val="nil"/>
              <w:tr2bl w:val="nil"/>
            </w:tcBorders>
            <w:vAlign w:val="center"/>
          </w:tcPr>
          <w:p w14:paraId="6D24721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45EB6C0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62D9066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067F3F0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0.9×10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31E748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2DFA868E">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3A8471D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1,2,3-三氯丙烷</w:t>
            </w:r>
          </w:p>
        </w:tc>
        <w:tc>
          <w:tcPr>
            <w:tcW w:w="3806" w:type="dxa"/>
            <w:tcBorders>
              <w:tl2br w:val="nil"/>
              <w:tr2bl w:val="nil"/>
            </w:tcBorders>
            <w:vAlign w:val="center"/>
          </w:tcPr>
          <w:p w14:paraId="7BD4D48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6A5F240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2B419A4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08FB064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4A617C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3A036257">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6700B3C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氯乙烯</w:t>
            </w:r>
          </w:p>
        </w:tc>
        <w:tc>
          <w:tcPr>
            <w:tcW w:w="3806" w:type="dxa"/>
            <w:tcBorders>
              <w:tl2br w:val="nil"/>
              <w:tr2bl w:val="nil"/>
            </w:tcBorders>
            <w:vAlign w:val="center"/>
          </w:tcPr>
          <w:p w14:paraId="3264420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0CB635A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365CC0B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198E3D5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1823D9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4598E761">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13B61F7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苯</w:t>
            </w:r>
          </w:p>
        </w:tc>
        <w:tc>
          <w:tcPr>
            <w:tcW w:w="3806" w:type="dxa"/>
            <w:tcBorders>
              <w:tl2br w:val="nil"/>
              <w:tr2bl w:val="nil"/>
            </w:tcBorders>
            <w:vAlign w:val="center"/>
          </w:tcPr>
          <w:p w14:paraId="788B321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722CDDF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2D1446C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3F9E1F0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09D561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60F07FC7">
            <w:pPr>
              <w:jc w:val="both"/>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0CCB8C7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氯苯</w:t>
            </w:r>
          </w:p>
        </w:tc>
        <w:tc>
          <w:tcPr>
            <w:tcW w:w="3806" w:type="dxa"/>
            <w:tcBorders>
              <w:tl2br w:val="nil"/>
              <w:tr2bl w:val="nil"/>
            </w:tcBorders>
            <w:vAlign w:val="center"/>
          </w:tcPr>
          <w:p w14:paraId="3BE080A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4152BBE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7D21F39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2514409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1512AE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1C2566AF">
            <w:pPr>
              <w:jc w:val="center"/>
              <w:rPr>
                <w:rFonts w:hint="default" w:ascii="Times New Roman" w:hAnsi="Times New Roman" w:eastAsia="宋体" w:cs="Times New Roman"/>
                <w:sz w:val="21"/>
                <w:szCs w:val="21"/>
                <w:lang w:val="en-US" w:eastAsia="zh-CN"/>
              </w:rPr>
            </w:pPr>
          </w:p>
        </w:tc>
        <w:tc>
          <w:tcPr>
            <w:tcW w:w="523" w:type="dxa"/>
            <w:tcBorders>
              <w:tl2br w:val="nil"/>
              <w:tr2bl w:val="nil"/>
            </w:tcBorders>
            <w:vAlign w:val="center"/>
          </w:tcPr>
          <w:p w14:paraId="4A45A1D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二氯苯</w:t>
            </w:r>
          </w:p>
        </w:tc>
        <w:tc>
          <w:tcPr>
            <w:tcW w:w="869" w:type="dxa"/>
            <w:tcBorders>
              <w:tl2br w:val="nil"/>
              <w:tr2bl w:val="nil"/>
            </w:tcBorders>
            <w:vAlign w:val="center"/>
          </w:tcPr>
          <w:p w14:paraId="6609BD9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w:t>
            </w:r>
          </w:p>
          <w:p w14:paraId="4684A59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二氯苯</w:t>
            </w:r>
          </w:p>
        </w:tc>
        <w:tc>
          <w:tcPr>
            <w:tcW w:w="3806" w:type="dxa"/>
            <w:tcBorders>
              <w:tl2br w:val="nil"/>
              <w:tr2bl w:val="nil"/>
            </w:tcBorders>
            <w:vAlign w:val="center"/>
          </w:tcPr>
          <w:p w14:paraId="2A587EF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0153DC2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68029C8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1C18547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566A3A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5C823D23">
            <w:pPr>
              <w:jc w:val="center"/>
              <w:rPr>
                <w:rFonts w:hint="default" w:ascii="Times New Roman" w:hAnsi="Times New Roman" w:eastAsia="宋体" w:cs="Times New Roman"/>
                <w:sz w:val="21"/>
                <w:szCs w:val="21"/>
                <w:lang w:val="en-US" w:eastAsia="zh-CN"/>
              </w:rPr>
            </w:pPr>
          </w:p>
        </w:tc>
        <w:tc>
          <w:tcPr>
            <w:tcW w:w="523" w:type="dxa"/>
            <w:tcBorders>
              <w:tl2br w:val="nil"/>
              <w:tr2bl w:val="nil"/>
            </w:tcBorders>
            <w:vAlign w:val="center"/>
          </w:tcPr>
          <w:p w14:paraId="127ED83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二氯苯</w:t>
            </w:r>
          </w:p>
        </w:tc>
        <w:tc>
          <w:tcPr>
            <w:tcW w:w="869" w:type="dxa"/>
            <w:tcBorders>
              <w:tl2br w:val="nil"/>
              <w:tr2bl w:val="nil"/>
            </w:tcBorders>
            <w:vAlign w:val="center"/>
          </w:tcPr>
          <w:p w14:paraId="5A86561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1,4-二氯苯</w:t>
            </w:r>
          </w:p>
        </w:tc>
        <w:tc>
          <w:tcPr>
            <w:tcW w:w="3806" w:type="dxa"/>
            <w:tcBorders>
              <w:tl2br w:val="nil"/>
              <w:tr2bl w:val="nil"/>
            </w:tcBorders>
            <w:vAlign w:val="center"/>
          </w:tcPr>
          <w:p w14:paraId="253DAD1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1936C38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70DB045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1D02BE3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147BA0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69B06454">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29A6C3E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乙苯</w:t>
            </w:r>
          </w:p>
        </w:tc>
        <w:tc>
          <w:tcPr>
            <w:tcW w:w="3806" w:type="dxa"/>
            <w:tcBorders>
              <w:tl2br w:val="nil"/>
              <w:tr2bl w:val="nil"/>
            </w:tcBorders>
            <w:vAlign w:val="center"/>
          </w:tcPr>
          <w:p w14:paraId="25B2E31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1D82890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0B9ED32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48F8051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4A3A79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66F57A49">
            <w:pPr>
              <w:ind w:left="113" w:right="113"/>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5F6A45B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苯乙烯</w:t>
            </w:r>
          </w:p>
        </w:tc>
        <w:tc>
          <w:tcPr>
            <w:tcW w:w="3806" w:type="dxa"/>
            <w:tcBorders>
              <w:tl2br w:val="nil"/>
              <w:tr2bl w:val="nil"/>
            </w:tcBorders>
            <w:vAlign w:val="center"/>
          </w:tcPr>
          <w:p w14:paraId="1E367A7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1834345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2107062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78BD814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6D8297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RlV"/>
            <w:vAlign w:val="center"/>
          </w:tcPr>
          <w:p w14:paraId="2FC70D2D">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6D4D6FB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甲苯</w:t>
            </w:r>
          </w:p>
        </w:tc>
        <w:tc>
          <w:tcPr>
            <w:tcW w:w="3806" w:type="dxa"/>
            <w:tcBorders>
              <w:tl2br w:val="nil"/>
              <w:tr2bl w:val="nil"/>
            </w:tcBorders>
            <w:vAlign w:val="center"/>
          </w:tcPr>
          <w:p w14:paraId="082E85B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30E680D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420FD17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2932C12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7C2477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7AE83461">
            <w:pPr>
              <w:jc w:val="center"/>
              <w:rPr>
                <w:rFonts w:hint="default" w:ascii="Times New Roman" w:hAnsi="Times New Roman" w:eastAsia="宋体" w:cs="Times New Roman"/>
                <w:sz w:val="21"/>
                <w:szCs w:val="21"/>
                <w:lang w:val="en-US" w:eastAsia="zh-CN"/>
              </w:rPr>
            </w:pPr>
          </w:p>
        </w:tc>
        <w:tc>
          <w:tcPr>
            <w:tcW w:w="523" w:type="dxa"/>
            <w:vMerge w:val="restart"/>
            <w:tcBorders>
              <w:tl2br w:val="nil"/>
              <w:tr2bl w:val="nil"/>
            </w:tcBorders>
            <w:vAlign w:val="center"/>
          </w:tcPr>
          <w:p w14:paraId="049831F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w:t>
            </w:r>
          </w:p>
          <w:p w14:paraId="7B0413A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甲</w:t>
            </w:r>
          </w:p>
          <w:p w14:paraId="33A3159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苯</w:t>
            </w:r>
          </w:p>
        </w:tc>
        <w:tc>
          <w:tcPr>
            <w:tcW w:w="869" w:type="dxa"/>
            <w:tcBorders>
              <w:tl2br w:val="nil"/>
              <w:tr2bl w:val="nil"/>
            </w:tcBorders>
            <w:vAlign w:val="center"/>
          </w:tcPr>
          <w:p w14:paraId="58F78FE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间,对</w:t>
            </w:r>
          </w:p>
          <w:p w14:paraId="156E5F2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二甲苯</w:t>
            </w:r>
          </w:p>
        </w:tc>
        <w:tc>
          <w:tcPr>
            <w:tcW w:w="3806" w:type="dxa"/>
            <w:tcBorders>
              <w:tl2br w:val="nil"/>
              <w:tr2bl w:val="nil"/>
            </w:tcBorders>
            <w:vAlign w:val="center"/>
          </w:tcPr>
          <w:p w14:paraId="074D714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2B63CB6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0149E7B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768D3DC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3.6×10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297B8B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6C44BFA4">
            <w:pPr>
              <w:jc w:val="center"/>
              <w:rPr>
                <w:rFonts w:hint="default" w:ascii="Times New Roman" w:hAnsi="Times New Roman" w:eastAsia="宋体" w:cs="Times New Roman"/>
                <w:sz w:val="21"/>
                <w:szCs w:val="21"/>
                <w:lang w:val="en-US" w:eastAsia="zh-CN"/>
              </w:rPr>
            </w:pPr>
          </w:p>
        </w:tc>
        <w:tc>
          <w:tcPr>
            <w:tcW w:w="523" w:type="dxa"/>
            <w:vMerge w:val="continue"/>
            <w:tcBorders>
              <w:tl2br w:val="nil"/>
              <w:tr2bl w:val="nil"/>
            </w:tcBorders>
            <w:vAlign w:val="center"/>
          </w:tcPr>
          <w:p w14:paraId="2F06E9B2">
            <w:pPr>
              <w:jc w:val="center"/>
              <w:rPr>
                <w:rFonts w:hint="default" w:ascii="Times New Roman" w:hAnsi="Times New Roman" w:eastAsia="宋体" w:cs="Times New Roman"/>
                <w:sz w:val="21"/>
                <w:szCs w:val="21"/>
                <w:lang w:val="en-US" w:eastAsia="zh-CN"/>
              </w:rPr>
            </w:pPr>
          </w:p>
        </w:tc>
        <w:tc>
          <w:tcPr>
            <w:tcW w:w="869" w:type="dxa"/>
            <w:tcBorders>
              <w:tl2br w:val="nil"/>
              <w:tr2bl w:val="nil"/>
            </w:tcBorders>
            <w:vAlign w:val="center"/>
          </w:tcPr>
          <w:p w14:paraId="15230CC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邻二甲苯</w:t>
            </w:r>
          </w:p>
        </w:tc>
        <w:tc>
          <w:tcPr>
            <w:tcW w:w="3806" w:type="dxa"/>
            <w:tcBorders>
              <w:tl2br w:val="nil"/>
              <w:tr2bl w:val="nil"/>
            </w:tcBorders>
            <w:vAlign w:val="center"/>
          </w:tcPr>
          <w:p w14:paraId="3CF38F7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挥发性有机物的测定 顶空/气相色谱-质谱法》HJ 642-2013</w:t>
            </w:r>
          </w:p>
        </w:tc>
        <w:tc>
          <w:tcPr>
            <w:tcW w:w="2186" w:type="dxa"/>
            <w:tcBorders>
              <w:tl2br w:val="nil"/>
              <w:tr2bl w:val="nil"/>
            </w:tcBorders>
            <w:vAlign w:val="center"/>
          </w:tcPr>
          <w:p w14:paraId="10E725B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08DC390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03A5232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1.3×10</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mg/kg</w:t>
            </w:r>
          </w:p>
        </w:tc>
      </w:tr>
      <w:tr w14:paraId="2D3AD0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0323D027">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5949CAE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硝基苯</w:t>
            </w:r>
          </w:p>
        </w:tc>
        <w:tc>
          <w:tcPr>
            <w:tcW w:w="3806" w:type="dxa"/>
            <w:tcBorders>
              <w:tl2br w:val="nil"/>
              <w:tr2bl w:val="nil"/>
            </w:tcBorders>
            <w:vAlign w:val="center"/>
          </w:tcPr>
          <w:p w14:paraId="3D3D8B0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半挥发性有机物的测定 气相色谱-质谱法》HJ 834-2017</w:t>
            </w:r>
          </w:p>
        </w:tc>
        <w:tc>
          <w:tcPr>
            <w:tcW w:w="2186" w:type="dxa"/>
            <w:tcBorders>
              <w:tl2br w:val="nil"/>
              <w:tr2bl w:val="nil"/>
            </w:tcBorders>
            <w:vAlign w:val="center"/>
          </w:tcPr>
          <w:p w14:paraId="3858A9D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71FE4D6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257D6A4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0.09mg/kg</w:t>
            </w:r>
          </w:p>
        </w:tc>
      </w:tr>
      <w:tr w14:paraId="631336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6E91C0F0">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61FCE3B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苯胺</w:t>
            </w:r>
          </w:p>
        </w:tc>
        <w:tc>
          <w:tcPr>
            <w:tcW w:w="3806" w:type="dxa"/>
            <w:tcBorders>
              <w:tl2br w:val="nil"/>
              <w:tr2bl w:val="nil"/>
            </w:tcBorders>
            <w:vAlign w:val="center"/>
          </w:tcPr>
          <w:p w14:paraId="6FF6A57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《半挥发性有机物的测定 气相色谱-</w:t>
            </w:r>
          </w:p>
          <w:p w14:paraId="31A6BFB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质谱法》 US EPA method 8270D </w:t>
            </w:r>
          </w:p>
        </w:tc>
        <w:tc>
          <w:tcPr>
            <w:tcW w:w="2186" w:type="dxa"/>
            <w:tcBorders>
              <w:tl2br w:val="nil"/>
              <w:tr2bl w:val="nil"/>
            </w:tcBorders>
            <w:vAlign w:val="center"/>
          </w:tcPr>
          <w:p w14:paraId="0F9710E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3050DE4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61D08E0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0.66mg/kg</w:t>
            </w:r>
          </w:p>
        </w:tc>
      </w:tr>
      <w:tr w14:paraId="471E15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403BC268">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1956D93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2-氯酚</w:t>
            </w:r>
          </w:p>
        </w:tc>
        <w:tc>
          <w:tcPr>
            <w:tcW w:w="3806" w:type="dxa"/>
            <w:tcBorders>
              <w:tl2br w:val="nil"/>
              <w:tr2bl w:val="nil"/>
            </w:tcBorders>
            <w:vAlign w:val="center"/>
          </w:tcPr>
          <w:p w14:paraId="401A95C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半挥发性有机物的测定 气相色谱-质谱法》HJ 834-2017</w:t>
            </w:r>
          </w:p>
        </w:tc>
        <w:tc>
          <w:tcPr>
            <w:tcW w:w="2186" w:type="dxa"/>
            <w:tcBorders>
              <w:tl2br w:val="nil"/>
              <w:tr2bl w:val="nil"/>
            </w:tcBorders>
            <w:vAlign w:val="center"/>
          </w:tcPr>
          <w:p w14:paraId="06BEA74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63C87C1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043FF92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0.06mg/kg</w:t>
            </w:r>
          </w:p>
        </w:tc>
      </w:tr>
      <w:tr w14:paraId="53371D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173127F9">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6D5067C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苯并[a]蒽</w:t>
            </w:r>
          </w:p>
        </w:tc>
        <w:tc>
          <w:tcPr>
            <w:tcW w:w="3806" w:type="dxa"/>
            <w:tcBorders>
              <w:tl2br w:val="nil"/>
              <w:tr2bl w:val="nil"/>
            </w:tcBorders>
            <w:vAlign w:val="center"/>
          </w:tcPr>
          <w:p w14:paraId="0881C1D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半挥发性有机物的测定  气相色谱-质谱法》HJ 834-2017</w:t>
            </w:r>
          </w:p>
        </w:tc>
        <w:tc>
          <w:tcPr>
            <w:tcW w:w="2186" w:type="dxa"/>
            <w:tcBorders>
              <w:tl2br w:val="nil"/>
              <w:tr2bl w:val="nil"/>
            </w:tcBorders>
            <w:vAlign w:val="center"/>
          </w:tcPr>
          <w:p w14:paraId="20476D2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217E5B2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17649CB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0.1mg/kg</w:t>
            </w:r>
          </w:p>
        </w:tc>
      </w:tr>
      <w:tr w14:paraId="019000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5F70C304">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647C3DB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苯并[a]芘</w:t>
            </w:r>
          </w:p>
        </w:tc>
        <w:tc>
          <w:tcPr>
            <w:tcW w:w="3806" w:type="dxa"/>
            <w:tcBorders>
              <w:tl2br w:val="nil"/>
              <w:tr2bl w:val="nil"/>
            </w:tcBorders>
            <w:vAlign w:val="center"/>
          </w:tcPr>
          <w:p w14:paraId="4D9334E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半挥发性有机物的测定 气相色谱-质谱法》HJ 834-2017</w:t>
            </w:r>
          </w:p>
        </w:tc>
        <w:tc>
          <w:tcPr>
            <w:tcW w:w="2186" w:type="dxa"/>
            <w:tcBorders>
              <w:tl2br w:val="nil"/>
              <w:tr2bl w:val="nil"/>
            </w:tcBorders>
            <w:vAlign w:val="center"/>
          </w:tcPr>
          <w:p w14:paraId="4B11F32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24ECCD4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0B0AEC9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0.1mg/kg</w:t>
            </w:r>
          </w:p>
        </w:tc>
      </w:tr>
      <w:tr w14:paraId="5515FF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restart"/>
            <w:tcBorders>
              <w:tl2br w:val="nil"/>
              <w:tr2bl w:val="nil"/>
            </w:tcBorders>
            <w:textDirection w:val="tbLrV"/>
            <w:vAlign w:val="center"/>
          </w:tcPr>
          <w:p w14:paraId="1AE8702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土壤（总量）、污泥</w:t>
            </w:r>
          </w:p>
        </w:tc>
        <w:tc>
          <w:tcPr>
            <w:tcW w:w="1392" w:type="dxa"/>
            <w:gridSpan w:val="2"/>
            <w:tcBorders>
              <w:tl2br w:val="nil"/>
              <w:tr2bl w:val="nil"/>
            </w:tcBorders>
            <w:vAlign w:val="center"/>
          </w:tcPr>
          <w:p w14:paraId="274C099C">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苯并[b]荧蒽</w:t>
            </w:r>
          </w:p>
        </w:tc>
        <w:tc>
          <w:tcPr>
            <w:tcW w:w="3806" w:type="dxa"/>
            <w:tcBorders>
              <w:tl2br w:val="nil"/>
              <w:tr2bl w:val="nil"/>
            </w:tcBorders>
            <w:vAlign w:val="center"/>
          </w:tcPr>
          <w:p w14:paraId="445C359A">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《土壤和沉积物 半挥发性有机物的测定 气相色谱-质谱法》HJ 834-2017</w:t>
            </w:r>
          </w:p>
        </w:tc>
        <w:tc>
          <w:tcPr>
            <w:tcW w:w="2186" w:type="dxa"/>
            <w:tcBorders>
              <w:tl2br w:val="nil"/>
              <w:tr2bl w:val="nil"/>
            </w:tcBorders>
            <w:vAlign w:val="center"/>
          </w:tcPr>
          <w:p w14:paraId="591F1FC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198AB1C6">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237E5C84">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0.2mg/kg</w:t>
            </w:r>
          </w:p>
        </w:tc>
      </w:tr>
      <w:tr w14:paraId="3FD34D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1D001595">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201309D8">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苯并[k]荧蒽</w:t>
            </w:r>
          </w:p>
        </w:tc>
        <w:tc>
          <w:tcPr>
            <w:tcW w:w="3806" w:type="dxa"/>
            <w:tcBorders>
              <w:tl2br w:val="nil"/>
              <w:tr2bl w:val="nil"/>
            </w:tcBorders>
            <w:vAlign w:val="center"/>
          </w:tcPr>
          <w:p w14:paraId="32A6548C">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《土壤和沉积物 半挥发性有机物的测定 气相色谱-质谱法》HJ 834-2017</w:t>
            </w:r>
          </w:p>
        </w:tc>
        <w:tc>
          <w:tcPr>
            <w:tcW w:w="2186" w:type="dxa"/>
            <w:tcBorders>
              <w:tl2br w:val="nil"/>
              <w:tr2bl w:val="nil"/>
            </w:tcBorders>
            <w:vAlign w:val="center"/>
          </w:tcPr>
          <w:p w14:paraId="5BC34B7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7986556F">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222FF7E7">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0.1mg/kg</w:t>
            </w:r>
          </w:p>
        </w:tc>
      </w:tr>
      <w:tr w14:paraId="124E56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textDirection w:val="tbLrV"/>
            <w:vAlign w:val="center"/>
          </w:tcPr>
          <w:p w14:paraId="0AEAEA4E">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217C1F02">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䓛</w:t>
            </w:r>
          </w:p>
        </w:tc>
        <w:tc>
          <w:tcPr>
            <w:tcW w:w="3806" w:type="dxa"/>
            <w:tcBorders>
              <w:tl2br w:val="nil"/>
              <w:tr2bl w:val="nil"/>
            </w:tcBorders>
            <w:vAlign w:val="center"/>
          </w:tcPr>
          <w:p w14:paraId="17168FDD">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《土壤和沉积物 半挥发性有机物的测定 气相色谱-质谱法》HJ 834-2017</w:t>
            </w:r>
          </w:p>
        </w:tc>
        <w:tc>
          <w:tcPr>
            <w:tcW w:w="2186" w:type="dxa"/>
            <w:tcBorders>
              <w:tl2br w:val="nil"/>
              <w:tr2bl w:val="nil"/>
            </w:tcBorders>
            <w:vAlign w:val="center"/>
          </w:tcPr>
          <w:p w14:paraId="4A0C743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09471171">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70AF5900">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0.1mg/kg</w:t>
            </w:r>
          </w:p>
        </w:tc>
      </w:tr>
      <w:tr w14:paraId="06F948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4CE3B1C6">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2D3D1FE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二苯并[a,h]蒽</w:t>
            </w:r>
          </w:p>
        </w:tc>
        <w:tc>
          <w:tcPr>
            <w:tcW w:w="3806" w:type="dxa"/>
            <w:tcBorders>
              <w:tl2br w:val="nil"/>
              <w:tr2bl w:val="nil"/>
            </w:tcBorders>
            <w:vAlign w:val="center"/>
          </w:tcPr>
          <w:p w14:paraId="5461F7B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半挥发性有机物的测定 气相色谱-质谱法》HJ 834-2017</w:t>
            </w:r>
          </w:p>
        </w:tc>
        <w:tc>
          <w:tcPr>
            <w:tcW w:w="2186" w:type="dxa"/>
            <w:tcBorders>
              <w:tl2br w:val="nil"/>
              <w:tr2bl w:val="nil"/>
            </w:tcBorders>
            <w:vAlign w:val="center"/>
          </w:tcPr>
          <w:p w14:paraId="5CE95E0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08CD68D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6D84075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0.1mg/kg</w:t>
            </w:r>
          </w:p>
        </w:tc>
      </w:tr>
      <w:tr w14:paraId="05DDD5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7635B0D7">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494AF7F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茚并[1,2,3-cd]芘</w:t>
            </w:r>
          </w:p>
        </w:tc>
        <w:tc>
          <w:tcPr>
            <w:tcW w:w="3806" w:type="dxa"/>
            <w:tcBorders>
              <w:tl2br w:val="nil"/>
              <w:tr2bl w:val="nil"/>
            </w:tcBorders>
            <w:vAlign w:val="center"/>
          </w:tcPr>
          <w:p w14:paraId="195F30C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半挥发性有机物的测定 气相色谱-质谱法》HJ 834-2017</w:t>
            </w:r>
          </w:p>
        </w:tc>
        <w:tc>
          <w:tcPr>
            <w:tcW w:w="2186" w:type="dxa"/>
            <w:tcBorders>
              <w:tl2br w:val="nil"/>
              <w:tr2bl w:val="nil"/>
            </w:tcBorders>
            <w:vAlign w:val="center"/>
          </w:tcPr>
          <w:p w14:paraId="5DB5DA0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7CA3DD0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77D9685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0.1mg/kg</w:t>
            </w:r>
          </w:p>
        </w:tc>
      </w:tr>
      <w:tr w14:paraId="46B8E2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53" w:type="dxa"/>
            <w:vMerge w:val="continue"/>
            <w:tcBorders>
              <w:tl2br w:val="nil"/>
              <w:tr2bl w:val="nil"/>
            </w:tcBorders>
            <w:vAlign w:val="center"/>
          </w:tcPr>
          <w:p w14:paraId="3FDF5C31">
            <w:pPr>
              <w:jc w:val="center"/>
              <w:rPr>
                <w:rFonts w:hint="default" w:ascii="Times New Roman" w:hAnsi="Times New Roman" w:eastAsia="宋体" w:cs="Times New Roman"/>
                <w:sz w:val="21"/>
                <w:szCs w:val="21"/>
                <w:lang w:val="en-US" w:eastAsia="zh-CN"/>
              </w:rPr>
            </w:pPr>
          </w:p>
        </w:tc>
        <w:tc>
          <w:tcPr>
            <w:tcW w:w="1392" w:type="dxa"/>
            <w:gridSpan w:val="2"/>
            <w:tcBorders>
              <w:tl2br w:val="nil"/>
              <w:tr2bl w:val="nil"/>
            </w:tcBorders>
            <w:vAlign w:val="center"/>
          </w:tcPr>
          <w:p w14:paraId="3D777A1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萘</w:t>
            </w:r>
          </w:p>
        </w:tc>
        <w:tc>
          <w:tcPr>
            <w:tcW w:w="3806" w:type="dxa"/>
            <w:tcBorders>
              <w:tl2br w:val="nil"/>
              <w:tr2bl w:val="nil"/>
            </w:tcBorders>
            <w:vAlign w:val="center"/>
          </w:tcPr>
          <w:p w14:paraId="34612C0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《土壤和沉积物 半挥发性有机物的测定 气相色谱-质谱法》HJ 834-2017</w:t>
            </w:r>
          </w:p>
        </w:tc>
        <w:tc>
          <w:tcPr>
            <w:tcW w:w="2186" w:type="dxa"/>
            <w:tcBorders>
              <w:tl2br w:val="nil"/>
              <w:tr2bl w:val="nil"/>
            </w:tcBorders>
            <w:vAlign w:val="center"/>
          </w:tcPr>
          <w:p w14:paraId="475B3B8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GCMS-QP2010 SE</w:t>
            </w:r>
          </w:p>
          <w:p w14:paraId="4100584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气相色谱质谱联用仪</w:t>
            </w:r>
          </w:p>
        </w:tc>
        <w:tc>
          <w:tcPr>
            <w:tcW w:w="1368" w:type="dxa"/>
            <w:tcBorders>
              <w:tl2br w:val="nil"/>
              <w:tr2bl w:val="nil"/>
            </w:tcBorders>
            <w:vAlign w:val="center"/>
          </w:tcPr>
          <w:p w14:paraId="20D386E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0.09mg/kg</w:t>
            </w:r>
          </w:p>
        </w:tc>
      </w:tr>
    </w:tbl>
    <w:p w14:paraId="7E00A4D1">
      <w:pPr>
        <w:pageBreakBefore w:val="0"/>
        <w:kinsoku w:val="0"/>
        <w:wordWrap w:val="0"/>
        <w:overflowPunct/>
        <w:topLinePunct/>
        <w:autoSpaceDE/>
        <w:autoSpaceDN/>
        <w:bidi w:val="0"/>
        <w:spacing w:before="120" w:beforeLines="50" w:line="240" w:lineRule="auto"/>
        <w:jc w:val="center"/>
        <w:rPr>
          <w:rFonts w:hint="default" w:ascii="Times New Roman" w:hAnsi="Times New Roman" w:eastAsia="宋体" w:cs="Times New Roman"/>
          <w:b/>
          <w:caps w:val="0"/>
          <w:smallCaps w:val="0"/>
          <w:color w:val="auto"/>
          <w:spacing w:val="0"/>
          <w:w w:val="100"/>
          <w:position w:val="0"/>
          <w:szCs w:val="21"/>
          <w:u w:val="none" w:color="auto"/>
        </w:rPr>
      </w:pPr>
    </w:p>
    <w:p w14:paraId="143EA4DF">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4、评价标准</w:t>
      </w:r>
    </w:p>
    <w:p w14:paraId="50561DE4">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b w:val="0"/>
          <w:bCs/>
          <w:caps w:val="0"/>
          <w:smallCaps w:val="0"/>
          <w:color w:val="auto"/>
          <w:spacing w:val="0"/>
          <w:w w:val="10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 xml:space="preserve">建设用地执行《土壤环境质量标准  </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建设</w:t>
      </w:r>
      <w:r>
        <w:rPr>
          <w:rFonts w:hint="default" w:ascii="Times New Roman" w:hAnsi="Times New Roman" w:eastAsia="宋体" w:cs="Times New Roman"/>
          <w:caps w:val="0"/>
          <w:smallCaps w:val="0"/>
          <w:color w:val="auto"/>
          <w:spacing w:val="0"/>
          <w:w w:val="100"/>
          <w:kern w:val="0"/>
          <w:position w:val="0"/>
          <w:sz w:val="24"/>
          <w:szCs w:val="24"/>
          <w:u w:val="none" w:color="auto"/>
        </w:rPr>
        <w:t>用地土壤污染风险管控标准》（GB</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36600</w:t>
      </w:r>
      <w:r>
        <w:rPr>
          <w:rFonts w:hint="default" w:ascii="Times New Roman" w:hAnsi="Times New Roman" w:eastAsia="宋体" w:cs="Times New Roman"/>
          <w:caps w:val="0"/>
          <w:smallCaps w:val="0"/>
          <w:color w:val="auto"/>
          <w:spacing w:val="0"/>
          <w:w w:val="100"/>
          <w:kern w:val="0"/>
          <w:position w:val="0"/>
          <w:sz w:val="24"/>
          <w:szCs w:val="24"/>
          <w:u w:val="none" w:color="auto"/>
        </w:rPr>
        <w:t>-2018）</w:t>
      </w:r>
      <w:r>
        <w:rPr>
          <w:rFonts w:hint="default" w:ascii="Times New Roman" w:hAnsi="Times New Roman" w:eastAsia="宋体" w:cs="Times New Roman"/>
          <w:b w:val="0"/>
          <w:bCs/>
          <w:caps w:val="0"/>
          <w:smallCaps w:val="0"/>
          <w:color w:val="auto"/>
          <w:spacing w:val="0"/>
          <w:w w:val="100"/>
          <w:position w:val="0"/>
          <w:sz w:val="24"/>
          <w:szCs w:val="24"/>
          <w:u w:val="none" w:color="auto"/>
        </w:rPr>
        <w:t>表1</w:t>
      </w:r>
      <w:r>
        <w:rPr>
          <w:rFonts w:hint="default" w:ascii="Times New Roman" w:hAnsi="Times New Roman" w:eastAsia="宋体" w:cs="Times New Roman"/>
          <w:b w:val="0"/>
          <w:bCs/>
          <w:caps w:val="0"/>
          <w:smallCaps w:val="0"/>
          <w:color w:val="auto"/>
          <w:spacing w:val="0"/>
          <w:w w:val="100"/>
          <w:position w:val="0"/>
          <w:sz w:val="24"/>
          <w:szCs w:val="24"/>
          <w:u w:val="none" w:color="auto"/>
          <w:lang w:eastAsia="zh-CN"/>
        </w:rPr>
        <w:t>规定的风险</w:t>
      </w:r>
      <w:r>
        <w:rPr>
          <w:rFonts w:hint="default" w:ascii="Times New Roman" w:hAnsi="Times New Roman" w:eastAsia="宋体" w:cs="Times New Roman"/>
          <w:b w:val="0"/>
          <w:bCs/>
          <w:caps w:val="0"/>
          <w:smallCaps w:val="0"/>
          <w:color w:val="auto"/>
          <w:spacing w:val="0"/>
          <w:w w:val="100"/>
          <w:position w:val="0"/>
          <w:sz w:val="24"/>
          <w:szCs w:val="24"/>
          <w:u w:val="none" w:color="auto"/>
        </w:rPr>
        <w:t>筛选值</w:t>
      </w:r>
      <w:r>
        <w:rPr>
          <w:rFonts w:hint="default" w:ascii="Times New Roman" w:hAnsi="Times New Roman" w:eastAsia="宋体" w:cs="Times New Roman"/>
          <w:b w:val="0"/>
          <w:bCs/>
          <w:caps w:val="0"/>
          <w:smallCaps w:val="0"/>
          <w:color w:val="auto"/>
          <w:spacing w:val="0"/>
          <w:w w:val="100"/>
          <w:position w:val="0"/>
          <w:sz w:val="24"/>
          <w:szCs w:val="24"/>
          <w:u w:val="none" w:color="auto"/>
          <w:lang w:eastAsia="zh-CN"/>
        </w:rPr>
        <w:t>、</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农用地执行</w:t>
      </w:r>
      <w:r>
        <w:rPr>
          <w:rFonts w:hint="default" w:ascii="Times New Roman" w:hAnsi="Times New Roman" w:eastAsia="宋体" w:cs="Times New Roman"/>
          <w:b w:val="0"/>
          <w:bCs/>
          <w:caps w:val="0"/>
          <w:smallCaps w:val="0"/>
          <w:color w:val="auto"/>
          <w:spacing w:val="0"/>
          <w:w w:val="100"/>
          <w:position w:val="0"/>
          <w:sz w:val="24"/>
          <w:szCs w:val="24"/>
          <w:u w:val="none" w:color="auto"/>
        </w:rPr>
        <w:t>《土壤环境质量</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 xml:space="preserve"> </w:t>
      </w:r>
      <w:r>
        <w:rPr>
          <w:rFonts w:hint="default" w:ascii="Times New Roman" w:hAnsi="Times New Roman" w:eastAsia="宋体" w:cs="Times New Roman"/>
          <w:b w:val="0"/>
          <w:bCs/>
          <w:caps w:val="0"/>
          <w:smallCaps w:val="0"/>
          <w:color w:val="auto"/>
          <w:spacing w:val="0"/>
          <w:w w:val="100"/>
          <w:position w:val="0"/>
          <w:sz w:val="24"/>
          <w:szCs w:val="24"/>
          <w:u w:val="none" w:color="auto"/>
        </w:rPr>
        <w:t>农用地土壤污染风险管控标准》（GB15618-2018）中表1农用地土壤污染风险筛选值（基本项目）</w:t>
      </w:r>
      <w:r>
        <w:rPr>
          <w:rFonts w:hint="default" w:ascii="Times New Roman" w:hAnsi="Times New Roman" w:eastAsia="宋体" w:cs="Times New Roman"/>
          <w:b w:val="0"/>
          <w:bCs/>
          <w:caps w:val="0"/>
          <w:smallCaps w:val="0"/>
          <w:color w:val="auto"/>
          <w:spacing w:val="0"/>
          <w:w w:val="100"/>
          <w:position w:val="0"/>
          <w:sz w:val="24"/>
          <w:szCs w:val="24"/>
          <w:u w:val="none" w:color="auto"/>
          <w:lang w:eastAsia="zh-CN"/>
        </w:rPr>
        <w:t>，</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底泥参照执行</w:t>
      </w:r>
      <w:r>
        <w:rPr>
          <w:rFonts w:hint="default" w:ascii="Times New Roman" w:hAnsi="Times New Roman" w:eastAsia="宋体" w:cs="Times New Roman"/>
          <w:b w:val="0"/>
          <w:bCs/>
          <w:caps w:val="0"/>
          <w:smallCaps w:val="0"/>
          <w:color w:val="auto"/>
          <w:spacing w:val="0"/>
          <w:w w:val="100"/>
          <w:position w:val="0"/>
          <w:sz w:val="24"/>
          <w:szCs w:val="24"/>
          <w:u w:val="none" w:color="auto"/>
        </w:rPr>
        <w:t>《土壤环境质量</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 xml:space="preserve"> </w:t>
      </w:r>
      <w:r>
        <w:rPr>
          <w:rFonts w:hint="default" w:ascii="Times New Roman" w:hAnsi="Times New Roman" w:eastAsia="宋体" w:cs="Times New Roman"/>
          <w:b w:val="0"/>
          <w:bCs/>
          <w:caps w:val="0"/>
          <w:smallCaps w:val="0"/>
          <w:color w:val="auto"/>
          <w:spacing w:val="0"/>
          <w:w w:val="100"/>
          <w:position w:val="0"/>
          <w:sz w:val="24"/>
          <w:szCs w:val="24"/>
          <w:u w:val="none" w:color="auto"/>
        </w:rPr>
        <w:t>农用地土壤污染风险管控标准》（GB15618-2018）中表1农用地土壤污染风险筛选值</w:t>
      </w:r>
      <w:r>
        <w:rPr>
          <w:rFonts w:hint="default" w:ascii="Times New Roman" w:hAnsi="Times New Roman" w:eastAsia="宋体" w:cs="Times New Roman"/>
          <w:b w:val="0"/>
          <w:bCs/>
          <w:caps w:val="0"/>
          <w:smallCaps w:val="0"/>
          <w:color w:val="auto"/>
          <w:spacing w:val="0"/>
          <w:w w:val="100"/>
          <w:position w:val="0"/>
          <w:sz w:val="24"/>
          <w:szCs w:val="24"/>
          <w:u w:val="none" w:color="auto"/>
          <w:lang w:eastAsia="zh-CN"/>
        </w:rPr>
        <w:t>。</w:t>
      </w:r>
    </w:p>
    <w:p w14:paraId="5C1AA8C3">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r>
        <w:rPr>
          <w:rFonts w:hint="default" w:ascii="Times New Roman" w:hAnsi="Times New Roman" w:eastAsia="宋体" w:cs="Times New Roman"/>
          <w:b/>
          <w:bCs/>
          <w:color w:val="auto"/>
          <w:spacing w:val="0"/>
          <w:w w:val="100"/>
          <w:kern w:val="0"/>
          <w:position w:val="0"/>
          <w:sz w:val="24"/>
          <w:u w:val="none" w:color="auto"/>
          <w:lang w:val="en-US" w:eastAsia="zh-CN"/>
        </w:rPr>
        <w:t>5、评价方法</w:t>
      </w:r>
    </w:p>
    <w:p w14:paraId="114C1456">
      <w:pPr>
        <w:pageBreakBefore w:val="0"/>
        <w:kinsoku w:val="0"/>
        <w:wordWrap w:val="0"/>
        <w:overflowPunct/>
        <w:topLinePunct/>
        <w:autoSpaceDE/>
        <w:autoSpaceDN/>
        <w:bidi w:val="0"/>
        <w:adjustRightInd w:val="0"/>
        <w:snapToGrid w:val="0"/>
        <w:spacing w:line="360" w:lineRule="auto"/>
        <w:ind w:firstLine="480" w:firstLineChars="200"/>
        <w:rPr>
          <w:rFonts w:hint="default" w:ascii="Times New Roman" w:hAnsi="Times New Roman" w:eastAsia="宋体" w:cs="Times New Roman"/>
          <w:caps w:val="0"/>
          <w:smallCaps w:val="0"/>
          <w:color w:val="auto"/>
          <w:spacing w:val="0"/>
          <w:w w:val="100"/>
          <w:position w:val="0"/>
          <w:sz w:val="24"/>
          <w:u w:val="none" w:color="auto"/>
        </w:rPr>
      </w:pPr>
      <w:r>
        <w:rPr>
          <w:rFonts w:hint="default" w:ascii="Times New Roman" w:hAnsi="Times New Roman" w:eastAsia="宋体" w:cs="Times New Roman"/>
          <w:caps w:val="0"/>
          <w:smallCaps w:val="0"/>
          <w:color w:val="auto"/>
          <w:spacing w:val="0"/>
          <w:w w:val="100"/>
          <w:position w:val="0"/>
          <w:sz w:val="24"/>
          <w:u w:val="none" w:color="auto"/>
          <w:lang w:val="en-US" w:eastAsia="zh-CN"/>
        </w:rPr>
        <w:t>土壤环境质量现状</w:t>
      </w:r>
      <w:r>
        <w:rPr>
          <w:rFonts w:hint="default" w:ascii="Times New Roman" w:hAnsi="Times New Roman" w:eastAsia="宋体" w:cs="Times New Roman"/>
          <w:caps w:val="0"/>
          <w:smallCaps w:val="0"/>
          <w:color w:val="auto"/>
          <w:spacing w:val="0"/>
          <w:w w:val="100"/>
          <w:position w:val="0"/>
          <w:sz w:val="24"/>
          <w:u w:val="none" w:color="auto"/>
        </w:rPr>
        <w:t>评价方法采用单因子指数法，计算式为：</w:t>
      </w:r>
    </w:p>
    <w:p w14:paraId="174C9D36">
      <w:pPr>
        <w:pageBreakBefore w:val="0"/>
        <w:kinsoku w:val="0"/>
        <w:wordWrap w:val="0"/>
        <w:overflowPunct/>
        <w:topLinePunct/>
        <w:autoSpaceDE/>
        <w:autoSpaceDN/>
        <w:bidi w:val="0"/>
        <w:adjustRightInd w:val="0"/>
        <w:snapToGrid w:val="0"/>
        <w:spacing w:line="360" w:lineRule="auto"/>
        <w:ind w:firstLine="480" w:firstLineChars="200"/>
        <w:jc w:val="center"/>
        <w:rPr>
          <w:rFonts w:hint="default" w:ascii="Times New Roman" w:hAnsi="Times New Roman" w:eastAsia="宋体" w:cs="Times New Roman"/>
          <w:caps w:val="0"/>
          <w:smallCaps w:val="0"/>
          <w:color w:val="auto"/>
          <w:spacing w:val="0"/>
          <w:w w:val="100"/>
          <w:position w:val="0"/>
          <w:sz w:val="24"/>
          <w:u w:val="none" w:color="auto"/>
        </w:rPr>
      </w:pPr>
      <w:r>
        <w:rPr>
          <w:rFonts w:hint="default" w:ascii="Times New Roman" w:hAnsi="Times New Roman" w:eastAsia="宋体" w:cs="Times New Roman"/>
          <w:caps w:val="0"/>
          <w:smallCaps w:val="0"/>
          <w:color w:val="auto"/>
          <w:spacing w:val="0"/>
          <w:w w:val="100"/>
          <w:position w:val="0"/>
          <w:sz w:val="24"/>
          <w:u w:val="none" w:color="auto"/>
        </w:rPr>
        <w:t>P</w:t>
      </w:r>
      <w:r>
        <w:rPr>
          <w:rFonts w:hint="default" w:ascii="Times New Roman" w:hAnsi="Times New Roman" w:eastAsia="宋体" w:cs="Times New Roman"/>
          <w:caps w:val="0"/>
          <w:smallCaps w:val="0"/>
          <w:color w:val="auto"/>
          <w:spacing w:val="0"/>
          <w:w w:val="100"/>
          <w:position w:val="0"/>
          <w:sz w:val="24"/>
          <w:u w:val="none" w:color="auto"/>
          <w:vertAlign w:val="subscript"/>
        </w:rPr>
        <w:t>i</w:t>
      </w:r>
      <w:r>
        <w:rPr>
          <w:rFonts w:hint="default" w:ascii="Times New Roman" w:hAnsi="Times New Roman" w:eastAsia="宋体" w:cs="Times New Roman"/>
          <w:caps w:val="0"/>
          <w:smallCaps w:val="0"/>
          <w:color w:val="auto"/>
          <w:spacing w:val="0"/>
          <w:w w:val="100"/>
          <w:position w:val="0"/>
          <w:sz w:val="24"/>
          <w:u w:val="none" w:color="auto"/>
        </w:rPr>
        <w:t>=C</w:t>
      </w:r>
      <w:r>
        <w:rPr>
          <w:rFonts w:hint="default" w:ascii="Times New Roman" w:hAnsi="Times New Roman" w:eastAsia="宋体" w:cs="Times New Roman"/>
          <w:caps w:val="0"/>
          <w:smallCaps w:val="0"/>
          <w:color w:val="auto"/>
          <w:spacing w:val="0"/>
          <w:w w:val="100"/>
          <w:position w:val="0"/>
          <w:sz w:val="24"/>
          <w:u w:val="none" w:color="auto"/>
          <w:vertAlign w:val="subscript"/>
        </w:rPr>
        <w:t>i</w:t>
      </w:r>
      <w:r>
        <w:rPr>
          <w:rFonts w:hint="default" w:ascii="Times New Roman" w:hAnsi="Times New Roman" w:eastAsia="宋体" w:cs="Times New Roman"/>
          <w:caps w:val="0"/>
          <w:smallCaps w:val="0"/>
          <w:color w:val="auto"/>
          <w:spacing w:val="0"/>
          <w:w w:val="100"/>
          <w:position w:val="0"/>
          <w:sz w:val="24"/>
          <w:u w:val="none" w:color="auto"/>
        </w:rPr>
        <w:t>/</w:t>
      </w:r>
      <w:r>
        <w:rPr>
          <w:rFonts w:hint="default" w:ascii="Times New Roman" w:hAnsi="Times New Roman" w:eastAsia="宋体" w:cs="Times New Roman"/>
          <w:caps w:val="0"/>
          <w:smallCaps w:val="0"/>
          <w:color w:val="auto"/>
          <w:spacing w:val="0"/>
          <w:w w:val="100"/>
          <w:position w:val="0"/>
          <w:u w:val="none" w:color="auto"/>
        </w:rPr>
        <w:t xml:space="preserve"> </w:t>
      </w:r>
      <w:r>
        <w:rPr>
          <w:rFonts w:hint="default" w:ascii="Times New Roman" w:hAnsi="Times New Roman" w:eastAsia="宋体" w:cs="Times New Roman"/>
          <w:caps w:val="0"/>
          <w:smallCaps w:val="0"/>
          <w:color w:val="auto"/>
          <w:spacing w:val="0"/>
          <w:w w:val="100"/>
          <w:position w:val="0"/>
          <w:sz w:val="24"/>
          <w:u w:val="none" w:color="auto"/>
        </w:rPr>
        <w:t>C</w:t>
      </w:r>
      <w:r>
        <w:rPr>
          <w:rFonts w:hint="default" w:ascii="Times New Roman" w:hAnsi="Times New Roman" w:eastAsia="宋体" w:cs="Times New Roman"/>
          <w:caps w:val="0"/>
          <w:smallCaps w:val="0"/>
          <w:color w:val="auto"/>
          <w:spacing w:val="0"/>
          <w:w w:val="100"/>
          <w:position w:val="0"/>
          <w:sz w:val="24"/>
          <w:u w:val="none" w:color="auto"/>
          <w:vertAlign w:val="subscript"/>
        </w:rPr>
        <w:t>oi</w:t>
      </w:r>
    </w:p>
    <w:p w14:paraId="481648EB">
      <w:pPr>
        <w:pageBreakBefore w:val="0"/>
        <w:kinsoku w:val="0"/>
        <w:wordWrap w:val="0"/>
        <w:overflowPunct/>
        <w:topLinePunct/>
        <w:autoSpaceDE/>
        <w:autoSpaceDN/>
        <w:bidi w:val="0"/>
        <w:adjustRightInd w:val="0"/>
        <w:snapToGrid w:val="0"/>
        <w:spacing w:line="360" w:lineRule="auto"/>
        <w:ind w:firstLine="480" w:firstLineChars="200"/>
        <w:rPr>
          <w:rFonts w:hint="default" w:ascii="Times New Roman" w:hAnsi="Times New Roman" w:eastAsia="宋体" w:cs="Times New Roman"/>
          <w:caps w:val="0"/>
          <w:smallCaps w:val="0"/>
          <w:color w:val="auto"/>
          <w:spacing w:val="0"/>
          <w:w w:val="100"/>
          <w:position w:val="0"/>
          <w:sz w:val="24"/>
          <w:u w:val="none" w:color="auto"/>
        </w:rPr>
      </w:pPr>
      <w:r>
        <w:rPr>
          <w:rFonts w:hint="default" w:ascii="Times New Roman" w:hAnsi="Times New Roman" w:eastAsia="宋体" w:cs="Times New Roman"/>
          <w:caps w:val="0"/>
          <w:smallCaps w:val="0"/>
          <w:color w:val="auto"/>
          <w:spacing w:val="0"/>
          <w:w w:val="100"/>
          <w:position w:val="0"/>
          <w:sz w:val="24"/>
          <w:u w:val="none" w:color="auto"/>
        </w:rPr>
        <w:t>式中：P</w:t>
      </w:r>
      <w:r>
        <w:rPr>
          <w:rFonts w:hint="default" w:ascii="Times New Roman" w:hAnsi="Times New Roman" w:eastAsia="宋体" w:cs="Times New Roman"/>
          <w:caps w:val="0"/>
          <w:smallCaps w:val="0"/>
          <w:color w:val="auto"/>
          <w:spacing w:val="0"/>
          <w:w w:val="100"/>
          <w:position w:val="0"/>
          <w:sz w:val="24"/>
          <w:u w:val="none" w:color="auto"/>
          <w:vertAlign w:val="subscript"/>
        </w:rPr>
        <w:t>i</w:t>
      </w:r>
      <w:r>
        <w:rPr>
          <w:rFonts w:hint="default" w:ascii="Times New Roman" w:hAnsi="Times New Roman" w:eastAsia="宋体" w:cs="Times New Roman"/>
          <w:caps w:val="0"/>
          <w:smallCaps w:val="0"/>
          <w:color w:val="auto"/>
          <w:spacing w:val="0"/>
          <w:w w:val="100"/>
          <w:position w:val="0"/>
          <w:sz w:val="24"/>
          <w:u w:val="none" w:color="auto"/>
        </w:rPr>
        <w:t>——土壤中i污染物的标准指数；</w:t>
      </w:r>
    </w:p>
    <w:p w14:paraId="5015BF3D">
      <w:pPr>
        <w:pageBreakBefore w:val="0"/>
        <w:kinsoku w:val="0"/>
        <w:wordWrap w:val="0"/>
        <w:overflowPunct/>
        <w:topLinePunct/>
        <w:autoSpaceDE/>
        <w:autoSpaceDN/>
        <w:bidi w:val="0"/>
        <w:adjustRightInd w:val="0"/>
        <w:snapToGrid w:val="0"/>
        <w:spacing w:line="360" w:lineRule="auto"/>
        <w:ind w:firstLine="1200" w:firstLineChars="500"/>
        <w:rPr>
          <w:rFonts w:hint="default" w:ascii="Times New Roman" w:hAnsi="Times New Roman" w:eastAsia="宋体" w:cs="Times New Roman"/>
          <w:caps w:val="0"/>
          <w:smallCaps w:val="0"/>
          <w:color w:val="auto"/>
          <w:spacing w:val="0"/>
          <w:w w:val="100"/>
          <w:position w:val="0"/>
          <w:sz w:val="24"/>
          <w:u w:val="none" w:color="auto"/>
        </w:rPr>
      </w:pPr>
      <w:r>
        <w:rPr>
          <w:rFonts w:hint="default" w:ascii="Times New Roman" w:hAnsi="Times New Roman" w:eastAsia="宋体" w:cs="Times New Roman"/>
          <w:caps w:val="0"/>
          <w:smallCaps w:val="0"/>
          <w:color w:val="auto"/>
          <w:spacing w:val="0"/>
          <w:w w:val="100"/>
          <w:position w:val="0"/>
          <w:sz w:val="24"/>
          <w:u w:val="none" w:color="auto"/>
        </w:rPr>
        <w:t>C</w:t>
      </w:r>
      <w:r>
        <w:rPr>
          <w:rFonts w:hint="default" w:ascii="Times New Roman" w:hAnsi="Times New Roman" w:eastAsia="宋体" w:cs="Times New Roman"/>
          <w:caps w:val="0"/>
          <w:smallCaps w:val="0"/>
          <w:color w:val="auto"/>
          <w:spacing w:val="0"/>
          <w:w w:val="100"/>
          <w:position w:val="0"/>
          <w:sz w:val="24"/>
          <w:u w:val="none" w:color="auto"/>
          <w:vertAlign w:val="subscript"/>
        </w:rPr>
        <w:t>i</w:t>
      </w:r>
      <w:r>
        <w:rPr>
          <w:rFonts w:hint="default" w:ascii="Times New Roman" w:hAnsi="Times New Roman" w:eastAsia="宋体" w:cs="Times New Roman"/>
          <w:caps w:val="0"/>
          <w:smallCaps w:val="0"/>
          <w:color w:val="auto"/>
          <w:spacing w:val="0"/>
          <w:w w:val="100"/>
          <w:position w:val="0"/>
          <w:sz w:val="24"/>
          <w:u w:val="none" w:color="auto"/>
        </w:rPr>
        <w:t>——土壤中污染物 i 的实测浓度，mg/kg；</w:t>
      </w:r>
    </w:p>
    <w:p w14:paraId="040D3A84">
      <w:pPr>
        <w:keepNext w:val="0"/>
        <w:keepLines w:val="0"/>
        <w:pageBreakBefore w:val="0"/>
        <w:widowControl w:val="0"/>
        <w:kinsoku w:val="0"/>
        <w:wordWrap w:val="0"/>
        <w:overflowPunct/>
        <w:topLinePunct/>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aps w:val="0"/>
          <w:smallCaps w:val="0"/>
          <w:color w:val="auto"/>
          <w:spacing w:val="0"/>
          <w:w w:val="100"/>
          <w:position w:val="0"/>
          <w:sz w:val="24"/>
          <w:u w:val="none" w:color="auto"/>
        </w:rPr>
      </w:pPr>
      <w:r>
        <w:rPr>
          <w:rFonts w:hint="default" w:ascii="Times New Roman" w:hAnsi="Times New Roman" w:eastAsia="宋体" w:cs="Times New Roman"/>
          <w:caps w:val="0"/>
          <w:smallCaps w:val="0"/>
          <w:color w:val="auto"/>
          <w:spacing w:val="0"/>
          <w:w w:val="100"/>
          <w:position w:val="0"/>
          <w:sz w:val="24"/>
          <w:u w:val="none" w:color="auto"/>
        </w:rPr>
        <w:t>C</w:t>
      </w:r>
      <w:r>
        <w:rPr>
          <w:rFonts w:hint="default" w:ascii="Times New Roman" w:hAnsi="Times New Roman" w:eastAsia="宋体" w:cs="Times New Roman"/>
          <w:caps w:val="0"/>
          <w:smallCaps w:val="0"/>
          <w:color w:val="auto"/>
          <w:spacing w:val="0"/>
          <w:w w:val="100"/>
          <w:position w:val="0"/>
          <w:sz w:val="24"/>
          <w:u w:val="none" w:color="auto"/>
          <w:vertAlign w:val="subscript"/>
        </w:rPr>
        <w:t>oi</w:t>
      </w:r>
      <w:r>
        <w:rPr>
          <w:rFonts w:hint="default" w:ascii="Times New Roman" w:hAnsi="Times New Roman" w:eastAsia="宋体" w:cs="Times New Roman"/>
          <w:caps w:val="0"/>
          <w:smallCaps w:val="0"/>
          <w:color w:val="auto"/>
          <w:spacing w:val="0"/>
          <w:w w:val="100"/>
          <w:position w:val="0"/>
          <w:sz w:val="24"/>
          <w:u w:val="none" w:color="auto"/>
        </w:rPr>
        <w:t>——污染物 i 的评价标准值，mg/kg。</w:t>
      </w:r>
    </w:p>
    <w:p w14:paraId="6D9D95B7">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u w:val="none" w:color="auto"/>
          <w:vertAlign w:val="baseline"/>
        </w:rPr>
      </w:pPr>
      <w:r>
        <w:rPr>
          <w:rFonts w:hint="default" w:ascii="Times New Roman" w:hAnsi="Times New Roman" w:eastAsia="宋体" w:cs="Times New Roman"/>
          <w:caps w:val="0"/>
          <w:smallCaps w:val="0"/>
          <w:color w:val="auto"/>
          <w:spacing w:val="0"/>
          <w:w w:val="100"/>
          <w:position w:val="0"/>
          <w:sz w:val="24"/>
          <w:u w:val="none" w:color="auto"/>
        </w:rPr>
        <w:t>土壤污染因子的标准指数大于1，表明该污染物超过了规定的标准限值，标准指数越大，说明超标越严重。</w:t>
      </w:r>
    </w:p>
    <w:p w14:paraId="6457A2D9">
      <w:pPr>
        <w:keepNext w:val="0"/>
        <w:keepLines w:val="0"/>
        <w:pageBreakBefore w:val="0"/>
        <w:widowControl w:val="0"/>
        <w:kinsoku/>
        <w:wordWrap/>
        <w:overflowPunct/>
        <w:topLinePunct w:val="0"/>
        <w:autoSpaceDE/>
        <w:autoSpaceDN/>
        <w:bidi w:val="0"/>
        <w:adjustRightInd/>
        <w:snapToGrid/>
        <w:spacing w:line="360" w:lineRule="auto"/>
        <w:ind w:left="0" w:firstLine="478"/>
        <w:textAlignment w:val="auto"/>
        <w:rPr>
          <w:rFonts w:hint="default" w:ascii="Times New Roman" w:hAnsi="Times New Roman" w:eastAsia="宋体" w:cs="Times New Roman"/>
          <w:b/>
          <w:bCs/>
          <w:color w:val="auto"/>
          <w:spacing w:val="0"/>
          <w:w w:val="100"/>
          <w:kern w:val="0"/>
          <w:position w:val="0"/>
          <w:sz w:val="24"/>
          <w:u w:val="none" w:color="auto"/>
          <w:lang w:val="en-US" w:eastAsia="zh-CN"/>
        </w:rPr>
      </w:pPr>
      <w:bookmarkStart w:id="179" w:name="_Toc488009101"/>
      <w:r>
        <w:rPr>
          <w:rFonts w:hint="default" w:ascii="Times New Roman" w:hAnsi="Times New Roman" w:eastAsia="宋体" w:cs="Times New Roman"/>
          <w:b/>
          <w:bCs/>
          <w:color w:val="auto"/>
          <w:spacing w:val="0"/>
          <w:w w:val="100"/>
          <w:kern w:val="0"/>
          <w:position w:val="0"/>
          <w:sz w:val="24"/>
          <w:u w:val="none" w:color="auto"/>
          <w:lang w:val="en-US" w:eastAsia="zh-CN"/>
        </w:rPr>
        <w:t>6、监测结果及评价</w:t>
      </w:r>
      <w:bookmarkEnd w:id="179"/>
    </w:p>
    <w:p w14:paraId="64B8158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u w:val="none" w:color="auto"/>
        </w:rPr>
        <w:t>本次评价</w:t>
      </w:r>
      <w:r>
        <w:rPr>
          <w:rFonts w:hint="default" w:ascii="Times New Roman" w:hAnsi="Times New Roman" w:eastAsia="宋体" w:cs="Times New Roman"/>
          <w:caps w:val="0"/>
          <w:smallCaps w:val="0"/>
          <w:color w:val="auto"/>
          <w:spacing w:val="0"/>
          <w:w w:val="100"/>
          <w:position w:val="0"/>
          <w:sz w:val="24"/>
          <w:u w:val="none" w:color="auto"/>
          <w:lang w:val="en-US" w:eastAsia="zh-CN"/>
        </w:rPr>
        <w:t>共</w:t>
      </w:r>
      <w:r>
        <w:rPr>
          <w:rFonts w:hint="default" w:ascii="Times New Roman" w:hAnsi="Times New Roman" w:eastAsia="宋体" w:cs="Times New Roman"/>
          <w:caps w:val="0"/>
          <w:smallCaps w:val="0"/>
          <w:color w:val="auto"/>
          <w:spacing w:val="0"/>
          <w:w w:val="100"/>
          <w:position w:val="0"/>
          <w:sz w:val="24"/>
          <w:u w:val="none" w:color="auto"/>
        </w:rPr>
        <w:t>设置</w:t>
      </w:r>
      <w:r>
        <w:rPr>
          <w:rFonts w:hint="default" w:ascii="Times New Roman" w:hAnsi="Times New Roman" w:eastAsia="宋体" w:cs="Times New Roman"/>
          <w:caps w:val="0"/>
          <w:smallCaps w:val="0"/>
          <w:color w:val="auto"/>
          <w:spacing w:val="0"/>
          <w:w w:val="100"/>
          <w:position w:val="0"/>
          <w:sz w:val="24"/>
          <w:u w:val="none" w:color="auto"/>
          <w:lang w:val="en-US" w:eastAsia="zh-CN"/>
        </w:rPr>
        <w:t>4</w:t>
      </w:r>
      <w:r>
        <w:rPr>
          <w:rFonts w:hint="default" w:ascii="Times New Roman" w:hAnsi="Times New Roman" w:eastAsia="宋体" w:cs="Times New Roman"/>
          <w:caps w:val="0"/>
          <w:smallCaps w:val="0"/>
          <w:color w:val="auto"/>
          <w:spacing w:val="0"/>
          <w:w w:val="100"/>
          <w:position w:val="0"/>
          <w:sz w:val="24"/>
          <w:u w:val="none" w:color="auto"/>
        </w:rPr>
        <w:t>个土壤</w:t>
      </w:r>
      <w:r>
        <w:rPr>
          <w:rFonts w:hint="default" w:ascii="Times New Roman" w:hAnsi="Times New Roman" w:eastAsia="宋体" w:cs="Times New Roman"/>
          <w:caps w:val="0"/>
          <w:smallCaps w:val="0"/>
          <w:color w:val="auto"/>
          <w:spacing w:val="0"/>
          <w:w w:val="100"/>
          <w:position w:val="0"/>
          <w:sz w:val="24"/>
          <w:u w:val="none" w:color="auto"/>
          <w:lang w:eastAsia="zh-CN"/>
        </w:rPr>
        <w:t>现状监测</w:t>
      </w:r>
      <w:r>
        <w:rPr>
          <w:rFonts w:hint="default" w:ascii="Times New Roman" w:hAnsi="Times New Roman" w:eastAsia="宋体" w:cs="Times New Roman"/>
          <w:caps w:val="0"/>
          <w:smallCaps w:val="0"/>
          <w:color w:val="auto"/>
          <w:spacing w:val="0"/>
          <w:w w:val="100"/>
          <w:position w:val="0"/>
          <w:sz w:val="24"/>
          <w:u w:val="none" w:color="auto"/>
        </w:rPr>
        <w:t>调查点，其调查情况见表</w:t>
      </w:r>
      <w:r>
        <w:rPr>
          <w:rFonts w:hint="default" w:ascii="Times New Roman" w:hAnsi="Times New Roman" w:eastAsia="宋体" w:cs="Times New Roman"/>
          <w:caps w:val="0"/>
          <w:smallCaps w:val="0"/>
          <w:color w:val="auto"/>
          <w:spacing w:val="0"/>
          <w:w w:val="100"/>
          <w:position w:val="0"/>
          <w:sz w:val="24"/>
          <w:u w:val="none" w:color="auto"/>
          <w:lang w:val="en-US" w:eastAsia="zh-CN"/>
        </w:rPr>
        <w:t>3.2-15</w:t>
      </w:r>
      <w:r>
        <w:rPr>
          <w:rFonts w:hint="default" w:ascii="Times New Roman" w:hAnsi="Times New Roman" w:eastAsia="宋体" w:cs="Times New Roman"/>
          <w:caps w:val="0"/>
          <w:smallCaps w:val="0"/>
          <w:color w:val="auto"/>
          <w:spacing w:val="0"/>
          <w:w w:val="100"/>
          <w:position w:val="0"/>
          <w:sz w:val="24"/>
          <w:u w:val="none" w:color="auto"/>
        </w:rPr>
        <w:t>。</w:t>
      </w:r>
    </w:p>
    <w:p w14:paraId="079C0DA3">
      <w:pPr>
        <w:pStyle w:val="6"/>
        <w:keepNext w:val="0"/>
        <w:keepLines w:val="0"/>
        <w:pageBreakBefore w:val="0"/>
        <w:widowControl w:val="0"/>
        <w:kinsoku w:val="0"/>
        <w:wordWrap w:val="0"/>
        <w:overflowPunct/>
        <w:topLinePunct/>
        <w:autoSpaceDE/>
        <w:autoSpaceDN/>
        <w:bidi w:val="0"/>
        <w:adjustRightInd/>
        <w:snapToGrid/>
        <w:spacing w:before="0" w:beforeLines="50" w:line="360" w:lineRule="auto"/>
        <w:ind w:left="0" w:leftChars="0" w:firstLine="0" w:firstLineChars="0"/>
        <w:jc w:val="center"/>
        <w:textAlignment w:val="auto"/>
        <w:rPr>
          <w:rFonts w:hint="default" w:ascii="Times New Roman" w:hAnsi="Times New Roman" w:eastAsia="宋体" w:cs="Times New Roman"/>
          <w:b/>
          <w:caps w:val="0"/>
          <w:smallCaps w:val="0"/>
          <w:color w:val="auto"/>
          <w:spacing w:val="0"/>
          <w:w w:val="100"/>
          <w:position w:val="0"/>
          <w:sz w:val="21"/>
          <w:szCs w:val="21"/>
          <w:u w:val="none" w:color="auto"/>
        </w:rPr>
      </w:pP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表3.2-15</w:t>
      </w:r>
      <w:r>
        <w:rPr>
          <w:rFonts w:hint="default" w:ascii="Times New Roman" w:hAnsi="Times New Roman" w:eastAsia="宋体" w:cs="Times New Roman"/>
          <w:b/>
          <w:caps w:val="0"/>
          <w:smallCaps w:val="0"/>
          <w:color w:val="auto"/>
          <w:spacing w:val="0"/>
          <w:w w:val="100"/>
          <w:position w:val="0"/>
          <w:sz w:val="21"/>
          <w:szCs w:val="21"/>
          <w:u w:val="none" w:color="auto"/>
        </w:rPr>
        <w:t xml:space="preserve">  土壤环境质量监测结果与评价一览表  单位：mg/kg（pH为无量纲）</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35"/>
        <w:gridCol w:w="712"/>
        <w:gridCol w:w="1774"/>
        <w:gridCol w:w="1560"/>
        <w:gridCol w:w="1560"/>
        <w:gridCol w:w="1585"/>
      </w:tblGrid>
      <w:tr w14:paraId="0AF4ED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334" w:type="dxa"/>
            <w:vMerge w:val="restart"/>
            <w:tcBorders>
              <w:tl2br w:val="nil"/>
              <w:tr2bl w:val="nil"/>
            </w:tcBorders>
            <w:vAlign w:val="center"/>
          </w:tcPr>
          <w:p w14:paraId="664B2A9E">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采样点位</w:t>
            </w:r>
          </w:p>
        </w:tc>
        <w:tc>
          <w:tcPr>
            <w:tcW w:w="2484" w:type="dxa"/>
            <w:gridSpan w:val="2"/>
            <w:tcBorders>
              <w:tl2br w:val="nil"/>
              <w:tr2bl w:val="nil"/>
            </w:tcBorders>
            <w:vAlign w:val="center"/>
          </w:tcPr>
          <w:p w14:paraId="108D3DB5">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检测项目</w:t>
            </w:r>
          </w:p>
        </w:tc>
        <w:tc>
          <w:tcPr>
            <w:tcW w:w="1559" w:type="dxa"/>
            <w:tcBorders>
              <w:tl2br w:val="nil"/>
              <w:tr2bl w:val="nil"/>
            </w:tcBorders>
            <w:vAlign w:val="center"/>
          </w:tcPr>
          <w:p w14:paraId="26C6ECA0">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监测结果</w:t>
            </w:r>
          </w:p>
        </w:tc>
        <w:tc>
          <w:tcPr>
            <w:tcW w:w="1559" w:type="dxa"/>
            <w:tcBorders>
              <w:tl2br w:val="nil"/>
              <w:tr2bl w:val="nil"/>
            </w:tcBorders>
            <w:vAlign w:val="center"/>
          </w:tcPr>
          <w:p w14:paraId="4F83CEE7">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标准值</w:t>
            </w:r>
          </w:p>
        </w:tc>
        <w:tc>
          <w:tcPr>
            <w:tcW w:w="1584" w:type="dxa"/>
            <w:tcBorders>
              <w:tl2br w:val="nil"/>
              <w:tr2bl w:val="nil"/>
            </w:tcBorders>
            <w:vAlign w:val="center"/>
          </w:tcPr>
          <w:p w14:paraId="0B03D9E6">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达标情况</w:t>
            </w:r>
          </w:p>
        </w:tc>
      </w:tr>
      <w:tr w14:paraId="16DAB9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restart"/>
            <w:tcBorders>
              <w:tl2br w:val="nil"/>
              <w:tr2bl w:val="nil"/>
            </w:tcBorders>
            <w:vAlign w:val="center"/>
          </w:tcPr>
          <w:p w14:paraId="1D59DBF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T1东山水库大坝</w:t>
            </w:r>
          </w:p>
        </w:tc>
        <w:tc>
          <w:tcPr>
            <w:tcW w:w="2484" w:type="dxa"/>
            <w:gridSpan w:val="2"/>
            <w:tcBorders>
              <w:tl2br w:val="nil"/>
              <w:tr2bl w:val="nil"/>
            </w:tcBorders>
            <w:vAlign w:val="center"/>
          </w:tcPr>
          <w:p w14:paraId="7BC66BB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pH</w:t>
            </w:r>
          </w:p>
        </w:tc>
        <w:tc>
          <w:tcPr>
            <w:tcW w:w="1559" w:type="dxa"/>
            <w:tcBorders>
              <w:tl2br w:val="nil"/>
              <w:tr2bl w:val="nil"/>
            </w:tcBorders>
            <w:vAlign w:val="center"/>
          </w:tcPr>
          <w:p w14:paraId="58AB709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7.22</w:t>
            </w:r>
          </w:p>
        </w:tc>
        <w:tc>
          <w:tcPr>
            <w:tcW w:w="1559" w:type="dxa"/>
            <w:tcBorders>
              <w:tl2br w:val="nil"/>
              <w:tr2bl w:val="nil"/>
            </w:tcBorders>
            <w:vAlign w:val="center"/>
          </w:tcPr>
          <w:p w14:paraId="4C7A6F64">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1584" w:type="dxa"/>
            <w:tcBorders>
              <w:tl2br w:val="nil"/>
              <w:tr2bl w:val="nil"/>
            </w:tcBorders>
            <w:vAlign w:val="center"/>
          </w:tcPr>
          <w:p w14:paraId="104C1E05">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r>
      <w:tr w14:paraId="15D118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AF42698">
            <w:pPr>
              <w:jc w:val="center"/>
              <w:rPr>
                <w:rFonts w:hint="default" w:ascii="Times New Roman" w:hAnsi="Times New Roman" w:eastAsia="宋体" w:cs="Times New Roman"/>
                <w:color w:val="FF0000"/>
                <w:sz w:val="21"/>
                <w:szCs w:val="21"/>
                <w:lang w:val="en-US" w:eastAsia="zh-CN"/>
              </w:rPr>
            </w:pPr>
          </w:p>
        </w:tc>
        <w:tc>
          <w:tcPr>
            <w:tcW w:w="2484" w:type="dxa"/>
            <w:gridSpan w:val="2"/>
            <w:tcBorders>
              <w:tl2br w:val="nil"/>
              <w:tr2bl w:val="nil"/>
            </w:tcBorders>
            <w:vAlign w:val="center"/>
          </w:tcPr>
          <w:p w14:paraId="39BEC21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砷</w:t>
            </w:r>
          </w:p>
        </w:tc>
        <w:tc>
          <w:tcPr>
            <w:tcW w:w="1559" w:type="dxa"/>
            <w:tcBorders>
              <w:tl2br w:val="nil"/>
              <w:tr2bl w:val="nil"/>
            </w:tcBorders>
            <w:vAlign w:val="center"/>
          </w:tcPr>
          <w:p w14:paraId="12471F5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18.8</w:t>
            </w:r>
          </w:p>
        </w:tc>
        <w:tc>
          <w:tcPr>
            <w:tcW w:w="1559" w:type="dxa"/>
            <w:tcBorders>
              <w:tl2br w:val="nil"/>
              <w:tr2bl w:val="nil"/>
            </w:tcBorders>
            <w:vAlign w:val="center"/>
          </w:tcPr>
          <w:p w14:paraId="0E48C9B8">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60</w:t>
            </w:r>
          </w:p>
        </w:tc>
        <w:tc>
          <w:tcPr>
            <w:tcW w:w="1584" w:type="dxa"/>
            <w:tcBorders>
              <w:tl2br w:val="nil"/>
              <w:tr2bl w:val="nil"/>
            </w:tcBorders>
            <w:vAlign w:val="center"/>
          </w:tcPr>
          <w:p w14:paraId="48C4F3E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50627C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60DFFFB">
            <w:pPr>
              <w:jc w:val="center"/>
              <w:rPr>
                <w:rFonts w:hint="default" w:ascii="Times New Roman" w:hAnsi="Times New Roman" w:eastAsia="宋体" w:cs="Times New Roman"/>
                <w:color w:val="FF0000"/>
                <w:sz w:val="21"/>
                <w:szCs w:val="21"/>
                <w:lang w:val="en-US" w:eastAsia="zh-CN"/>
              </w:rPr>
            </w:pPr>
          </w:p>
        </w:tc>
        <w:tc>
          <w:tcPr>
            <w:tcW w:w="2484" w:type="dxa"/>
            <w:gridSpan w:val="2"/>
            <w:tcBorders>
              <w:tl2br w:val="nil"/>
              <w:tr2bl w:val="nil"/>
            </w:tcBorders>
            <w:vAlign w:val="center"/>
          </w:tcPr>
          <w:p w14:paraId="046A763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镉</w:t>
            </w:r>
          </w:p>
        </w:tc>
        <w:tc>
          <w:tcPr>
            <w:tcW w:w="1559" w:type="dxa"/>
            <w:tcBorders>
              <w:tl2br w:val="nil"/>
              <w:tr2bl w:val="nil"/>
            </w:tcBorders>
            <w:vAlign w:val="center"/>
          </w:tcPr>
          <w:p w14:paraId="1253601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0.23</w:t>
            </w:r>
          </w:p>
        </w:tc>
        <w:tc>
          <w:tcPr>
            <w:tcW w:w="1559" w:type="dxa"/>
            <w:tcBorders>
              <w:tl2br w:val="nil"/>
              <w:tr2bl w:val="nil"/>
            </w:tcBorders>
            <w:vAlign w:val="center"/>
          </w:tcPr>
          <w:p w14:paraId="06523CA0">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65</w:t>
            </w:r>
          </w:p>
        </w:tc>
        <w:tc>
          <w:tcPr>
            <w:tcW w:w="1584" w:type="dxa"/>
            <w:tcBorders>
              <w:tl2br w:val="nil"/>
              <w:tr2bl w:val="nil"/>
            </w:tcBorders>
            <w:vAlign w:val="center"/>
          </w:tcPr>
          <w:p w14:paraId="6757B6E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373208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6E15BE48">
            <w:pPr>
              <w:jc w:val="center"/>
              <w:rPr>
                <w:rFonts w:hint="default" w:ascii="Times New Roman" w:hAnsi="Times New Roman" w:eastAsia="宋体" w:cs="Times New Roman"/>
                <w:color w:val="FF0000"/>
                <w:sz w:val="21"/>
                <w:szCs w:val="21"/>
                <w:lang w:val="en-US" w:eastAsia="zh-CN"/>
              </w:rPr>
            </w:pPr>
          </w:p>
        </w:tc>
        <w:tc>
          <w:tcPr>
            <w:tcW w:w="2484" w:type="dxa"/>
            <w:gridSpan w:val="2"/>
            <w:tcBorders>
              <w:tl2br w:val="nil"/>
              <w:tr2bl w:val="nil"/>
            </w:tcBorders>
            <w:vAlign w:val="center"/>
          </w:tcPr>
          <w:p w14:paraId="5F9D93E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六价铬</w:t>
            </w:r>
          </w:p>
        </w:tc>
        <w:tc>
          <w:tcPr>
            <w:tcW w:w="1559" w:type="dxa"/>
            <w:tcBorders>
              <w:tl2br w:val="nil"/>
              <w:tr2bl w:val="nil"/>
            </w:tcBorders>
            <w:vAlign w:val="center"/>
          </w:tcPr>
          <w:p w14:paraId="05BB384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0.5L</w:t>
            </w:r>
          </w:p>
        </w:tc>
        <w:tc>
          <w:tcPr>
            <w:tcW w:w="1559" w:type="dxa"/>
            <w:tcBorders>
              <w:tl2br w:val="nil"/>
              <w:tr2bl w:val="nil"/>
            </w:tcBorders>
            <w:vAlign w:val="center"/>
          </w:tcPr>
          <w:p w14:paraId="7535223E">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5.7</w:t>
            </w:r>
          </w:p>
        </w:tc>
        <w:tc>
          <w:tcPr>
            <w:tcW w:w="1584" w:type="dxa"/>
            <w:tcBorders>
              <w:tl2br w:val="nil"/>
              <w:tr2bl w:val="nil"/>
            </w:tcBorders>
            <w:vAlign w:val="center"/>
          </w:tcPr>
          <w:p w14:paraId="6E5E36A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2F3838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4F72A754">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3FC59BA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铜</w:t>
            </w:r>
          </w:p>
        </w:tc>
        <w:tc>
          <w:tcPr>
            <w:tcW w:w="1559" w:type="dxa"/>
            <w:tcBorders>
              <w:tl2br w:val="nil"/>
              <w:tr2bl w:val="nil"/>
            </w:tcBorders>
            <w:vAlign w:val="center"/>
          </w:tcPr>
          <w:p w14:paraId="28C2BF5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67</w:t>
            </w:r>
          </w:p>
        </w:tc>
        <w:tc>
          <w:tcPr>
            <w:tcW w:w="1559" w:type="dxa"/>
            <w:tcBorders>
              <w:tl2br w:val="nil"/>
              <w:tr2bl w:val="nil"/>
            </w:tcBorders>
            <w:vAlign w:val="center"/>
          </w:tcPr>
          <w:p w14:paraId="6C91C175">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18000</w:t>
            </w:r>
          </w:p>
        </w:tc>
        <w:tc>
          <w:tcPr>
            <w:tcW w:w="1584" w:type="dxa"/>
            <w:tcBorders>
              <w:tl2br w:val="nil"/>
              <w:tr2bl w:val="nil"/>
            </w:tcBorders>
            <w:vAlign w:val="center"/>
          </w:tcPr>
          <w:p w14:paraId="4A66373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370C98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295FD0B9">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0A0A25A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铅</w:t>
            </w:r>
          </w:p>
        </w:tc>
        <w:tc>
          <w:tcPr>
            <w:tcW w:w="1559" w:type="dxa"/>
            <w:tcBorders>
              <w:tl2br w:val="nil"/>
              <w:tr2bl w:val="nil"/>
            </w:tcBorders>
            <w:vAlign w:val="center"/>
          </w:tcPr>
          <w:p w14:paraId="1A655A5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60</w:t>
            </w:r>
          </w:p>
        </w:tc>
        <w:tc>
          <w:tcPr>
            <w:tcW w:w="1559" w:type="dxa"/>
            <w:tcBorders>
              <w:tl2br w:val="nil"/>
              <w:tr2bl w:val="nil"/>
            </w:tcBorders>
            <w:vAlign w:val="center"/>
          </w:tcPr>
          <w:p w14:paraId="6138C26F">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800</w:t>
            </w:r>
          </w:p>
        </w:tc>
        <w:tc>
          <w:tcPr>
            <w:tcW w:w="1584" w:type="dxa"/>
            <w:tcBorders>
              <w:tl2br w:val="nil"/>
              <w:tr2bl w:val="nil"/>
            </w:tcBorders>
            <w:vAlign w:val="center"/>
          </w:tcPr>
          <w:p w14:paraId="2957D48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118195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9A64B04">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3D4CFDD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汞</w:t>
            </w:r>
          </w:p>
        </w:tc>
        <w:tc>
          <w:tcPr>
            <w:tcW w:w="1559" w:type="dxa"/>
            <w:tcBorders>
              <w:tl2br w:val="nil"/>
              <w:tr2bl w:val="nil"/>
            </w:tcBorders>
            <w:vAlign w:val="center"/>
          </w:tcPr>
          <w:p w14:paraId="5E6267D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0.202</w:t>
            </w:r>
          </w:p>
        </w:tc>
        <w:tc>
          <w:tcPr>
            <w:tcW w:w="1559" w:type="dxa"/>
            <w:tcBorders>
              <w:tl2br w:val="nil"/>
              <w:tr2bl w:val="nil"/>
            </w:tcBorders>
            <w:vAlign w:val="center"/>
          </w:tcPr>
          <w:p w14:paraId="123D73F4">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38</w:t>
            </w:r>
          </w:p>
        </w:tc>
        <w:tc>
          <w:tcPr>
            <w:tcW w:w="1584" w:type="dxa"/>
            <w:tcBorders>
              <w:tl2br w:val="nil"/>
              <w:tr2bl w:val="nil"/>
            </w:tcBorders>
            <w:vAlign w:val="center"/>
          </w:tcPr>
          <w:p w14:paraId="19169AB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217C34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4077ED1F">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65D989E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镍</w:t>
            </w:r>
          </w:p>
        </w:tc>
        <w:tc>
          <w:tcPr>
            <w:tcW w:w="1559" w:type="dxa"/>
            <w:tcBorders>
              <w:tl2br w:val="nil"/>
              <w:tr2bl w:val="nil"/>
            </w:tcBorders>
            <w:vAlign w:val="center"/>
          </w:tcPr>
          <w:p w14:paraId="13FAD98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w:t>
            </w:r>
          </w:p>
        </w:tc>
        <w:tc>
          <w:tcPr>
            <w:tcW w:w="1559" w:type="dxa"/>
            <w:tcBorders>
              <w:tl2br w:val="nil"/>
              <w:tr2bl w:val="nil"/>
            </w:tcBorders>
            <w:vAlign w:val="center"/>
          </w:tcPr>
          <w:p w14:paraId="40672F54">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900</w:t>
            </w:r>
          </w:p>
        </w:tc>
        <w:tc>
          <w:tcPr>
            <w:tcW w:w="1584" w:type="dxa"/>
            <w:tcBorders>
              <w:tl2br w:val="nil"/>
              <w:tr2bl w:val="nil"/>
            </w:tcBorders>
            <w:vAlign w:val="center"/>
          </w:tcPr>
          <w:p w14:paraId="4984CEF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4F76AE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4F6603E4">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75E20EC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含盐量（g/kg）</w:t>
            </w:r>
          </w:p>
        </w:tc>
        <w:tc>
          <w:tcPr>
            <w:tcW w:w="1559" w:type="dxa"/>
            <w:tcBorders>
              <w:tl2br w:val="nil"/>
              <w:tr2bl w:val="nil"/>
            </w:tcBorders>
            <w:vAlign w:val="center"/>
          </w:tcPr>
          <w:p w14:paraId="6DFE23D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w:t>
            </w:r>
          </w:p>
        </w:tc>
        <w:tc>
          <w:tcPr>
            <w:tcW w:w="1559" w:type="dxa"/>
            <w:tcBorders>
              <w:tl2br w:val="nil"/>
              <w:tr2bl w:val="nil"/>
            </w:tcBorders>
            <w:vAlign w:val="center"/>
          </w:tcPr>
          <w:p w14:paraId="1C662D9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1584" w:type="dxa"/>
            <w:tcBorders>
              <w:tl2br w:val="nil"/>
              <w:tr2bl w:val="nil"/>
            </w:tcBorders>
            <w:vAlign w:val="center"/>
          </w:tcPr>
          <w:p w14:paraId="43559375">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r>
      <w:tr w14:paraId="7507D6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36E4ADA5">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0D87337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四氯化碳</w:t>
            </w:r>
          </w:p>
        </w:tc>
        <w:tc>
          <w:tcPr>
            <w:tcW w:w="1559" w:type="dxa"/>
            <w:tcBorders>
              <w:tl2br w:val="nil"/>
              <w:tr2bl w:val="nil"/>
            </w:tcBorders>
            <w:vAlign w:val="center"/>
          </w:tcPr>
          <w:p w14:paraId="11A9649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2.1×10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61913F91">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2.8</w:t>
            </w:r>
          </w:p>
        </w:tc>
        <w:tc>
          <w:tcPr>
            <w:tcW w:w="1584" w:type="dxa"/>
            <w:tcBorders>
              <w:tl2br w:val="nil"/>
              <w:tr2bl w:val="nil"/>
            </w:tcBorders>
            <w:vAlign w:val="center"/>
          </w:tcPr>
          <w:p w14:paraId="25180B4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377F8E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A25E8D6">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01329FF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氯仿</w:t>
            </w:r>
          </w:p>
        </w:tc>
        <w:tc>
          <w:tcPr>
            <w:tcW w:w="1559" w:type="dxa"/>
            <w:tcBorders>
              <w:tl2br w:val="nil"/>
              <w:tr2bl w:val="nil"/>
            </w:tcBorders>
            <w:vAlign w:val="center"/>
          </w:tcPr>
          <w:p w14:paraId="5C7617A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1.5×10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L</w:t>
            </w:r>
          </w:p>
        </w:tc>
        <w:tc>
          <w:tcPr>
            <w:tcW w:w="1559" w:type="dxa"/>
            <w:tcBorders>
              <w:tl2br w:val="nil"/>
              <w:tr2bl w:val="nil"/>
            </w:tcBorders>
            <w:vAlign w:val="center"/>
          </w:tcPr>
          <w:p w14:paraId="523BDAC4">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0.9</w:t>
            </w:r>
          </w:p>
        </w:tc>
        <w:tc>
          <w:tcPr>
            <w:tcW w:w="1584" w:type="dxa"/>
            <w:tcBorders>
              <w:tl2br w:val="nil"/>
              <w:tr2bl w:val="nil"/>
            </w:tcBorders>
            <w:vAlign w:val="center"/>
          </w:tcPr>
          <w:p w14:paraId="195B205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290260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09C1E4FF">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3CC04B3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氯甲烷</w:t>
            </w:r>
          </w:p>
        </w:tc>
        <w:tc>
          <w:tcPr>
            <w:tcW w:w="1559" w:type="dxa"/>
            <w:tcBorders>
              <w:tl2br w:val="nil"/>
              <w:tr2bl w:val="nil"/>
            </w:tcBorders>
            <w:vAlign w:val="center"/>
          </w:tcPr>
          <w:p w14:paraId="7A8C72A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3.0×10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L</w:t>
            </w:r>
          </w:p>
        </w:tc>
        <w:tc>
          <w:tcPr>
            <w:tcW w:w="1559" w:type="dxa"/>
            <w:tcBorders>
              <w:tl2br w:val="nil"/>
              <w:tr2bl w:val="nil"/>
            </w:tcBorders>
            <w:vAlign w:val="center"/>
          </w:tcPr>
          <w:p w14:paraId="2AD4F339">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37</w:t>
            </w:r>
          </w:p>
        </w:tc>
        <w:tc>
          <w:tcPr>
            <w:tcW w:w="1584" w:type="dxa"/>
            <w:tcBorders>
              <w:tl2br w:val="nil"/>
              <w:tr2bl w:val="nil"/>
            </w:tcBorders>
            <w:vAlign w:val="center"/>
          </w:tcPr>
          <w:p w14:paraId="1632C46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23C5C2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0A0A913B">
            <w:pPr>
              <w:jc w:val="center"/>
              <w:rPr>
                <w:rFonts w:hint="default" w:ascii="Times New Roman" w:hAnsi="Times New Roman" w:eastAsia="宋体" w:cs="Times New Roman"/>
                <w:sz w:val="21"/>
                <w:szCs w:val="21"/>
                <w:lang w:val="en-US" w:eastAsia="zh-CN"/>
              </w:rPr>
            </w:pPr>
          </w:p>
        </w:tc>
        <w:tc>
          <w:tcPr>
            <w:tcW w:w="711" w:type="dxa"/>
            <w:vMerge w:val="restart"/>
            <w:tcBorders>
              <w:tl2br w:val="nil"/>
              <w:tr2bl w:val="nil"/>
            </w:tcBorders>
            <w:vAlign w:val="center"/>
          </w:tcPr>
          <w:p w14:paraId="685DE8F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二氯乙烷</w:t>
            </w:r>
          </w:p>
        </w:tc>
        <w:tc>
          <w:tcPr>
            <w:tcW w:w="1773" w:type="dxa"/>
            <w:tcBorders>
              <w:tl2br w:val="nil"/>
              <w:tr2bl w:val="nil"/>
            </w:tcBorders>
            <w:vAlign w:val="center"/>
          </w:tcPr>
          <w:p w14:paraId="16672B8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1,1二氯乙烷</w:t>
            </w:r>
          </w:p>
        </w:tc>
        <w:tc>
          <w:tcPr>
            <w:tcW w:w="1559" w:type="dxa"/>
            <w:tcBorders>
              <w:tl2br w:val="nil"/>
              <w:tr2bl w:val="nil"/>
            </w:tcBorders>
            <w:vAlign w:val="center"/>
          </w:tcPr>
          <w:p w14:paraId="169CA1A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1.6×10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L</w:t>
            </w:r>
          </w:p>
        </w:tc>
        <w:tc>
          <w:tcPr>
            <w:tcW w:w="1559" w:type="dxa"/>
            <w:tcBorders>
              <w:tl2br w:val="nil"/>
              <w:tr2bl w:val="nil"/>
            </w:tcBorders>
            <w:vAlign w:val="center"/>
          </w:tcPr>
          <w:p w14:paraId="11814A0A">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584" w:type="dxa"/>
            <w:tcBorders>
              <w:tl2br w:val="nil"/>
              <w:tr2bl w:val="nil"/>
            </w:tcBorders>
            <w:vAlign w:val="center"/>
          </w:tcPr>
          <w:p w14:paraId="79DB729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13571E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0627446A">
            <w:pPr>
              <w:jc w:val="center"/>
              <w:rPr>
                <w:rFonts w:hint="default" w:ascii="Times New Roman" w:hAnsi="Times New Roman" w:eastAsia="宋体" w:cs="Times New Roman"/>
                <w:sz w:val="21"/>
                <w:szCs w:val="21"/>
                <w:lang w:val="en-US" w:eastAsia="zh-CN"/>
              </w:rPr>
            </w:pPr>
          </w:p>
        </w:tc>
        <w:tc>
          <w:tcPr>
            <w:tcW w:w="711" w:type="dxa"/>
            <w:vMerge w:val="continue"/>
            <w:tcBorders>
              <w:tl2br w:val="nil"/>
              <w:tr2bl w:val="nil"/>
            </w:tcBorders>
            <w:vAlign w:val="center"/>
          </w:tcPr>
          <w:p w14:paraId="6C9C69BC">
            <w:pPr>
              <w:jc w:val="center"/>
              <w:rPr>
                <w:rFonts w:hint="default" w:ascii="Times New Roman" w:hAnsi="Times New Roman" w:eastAsia="宋体" w:cs="Times New Roman"/>
                <w:sz w:val="21"/>
                <w:szCs w:val="21"/>
                <w:lang w:val="en-US" w:eastAsia="zh-CN"/>
              </w:rPr>
            </w:pPr>
          </w:p>
        </w:tc>
        <w:tc>
          <w:tcPr>
            <w:tcW w:w="1773" w:type="dxa"/>
            <w:tcBorders>
              <w:tl2br w:val="nil"/>
              <w:tr2bl w:val="nil"/>
            </w:tcBorders>
            <w:vAlign w:val="center"/>
          </w:tcPr>
          <w:p w14:paraId="2DF419E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1,2二氯乙烷</w:t>
            </w:r>
          </w:p>
        </w:tc>
        <w:tc>
          <w:tcPr>
            <w:tcW w:w="1559" w:type="dxa"/>
            <w:tcBorders>
              <w:tl2br w:val="nil"/>
              <w:tr2bl w:val="nil"/>
            </w:tcBorders>
            <w:vAlign w:val="center"/>
          </w:tcPr>
          <w:p w14:paraId="13CA410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1.3×10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09DCA46F">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584" w:type="dxa"/>
            <w:tcBorders>
              <w:tl2br w:val="nil"/>
              <w:tr2bl w:val="nil"/>
            </w:tcBorders>
            <w:vAlign w:val="center"/>
          </w:tcPr>
          <w:p w14:paraId="734E179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705B5B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7864D17F">
            <w:pPr>
              <w:jc w:val="center"/>
              <w:rPr>
                <w:rFonts w:hint="default" w:ascii="Times New Roman" w:hAnsi="Times New Roman" w:eastAsia="宋体" w:cs="Times New Roman"/>
                <w:sz w:val="21"/>
                <w:szCs w:val="21"/>
                <w:lang w:val="en-US" w:eastAsia="zh-CN"/>
              </w:rPr>
            </w:pPr>
          </w:p>
        </w:tc>
        <w:tc>
          <w:tcPr>
            <w:tcW w:w="711" w:type="dxa"/>
            <w:vMerge w:val="restart"/>
            <w:tcBorders>
              <w:tl2br w:val="nil"/>
              <w:tr2bl w:val="nil"/>
            </w:tcBorders>
            <w:vAlign w:val="center"/>
          </w:tcPr>
          <w:p w14:paraId="18D4330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二氯乙烯</w:t>
            </w:r>
          </w:p>
        </w:tc>
        <w:tc>
          <w:tcPr>
            <w:tcW w:w="1773" w:type="dxa"/>
            <w:tcBorders>
              <w:tl2br w:val="nil"/>
              <w:tr2bl w:val="nil"/>
            </w:tcBorders>
            <w:vAlign w:val="center"/>
          </w:tcPr>
          <w:p w14:paraId="6C88BB6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1,1-二氯乙烯</w:t>
            </w:r>
          </w:p>
        </w:tc>
        <w:tc>
          <w:tcPr>
            <w:tcW w:w="1559" w:type="dxa"/>
            <w:tcBorders>
              <w:tl2br w:val="nil"/>
              <w:tr2bl w:val="nil"/>
            </w:tcBorders>
            <w:vAlign w:val="center"/>
          </w:tcPr>
          <w:p w14:paraId="27D463E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0.8×10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L</w:t>
            </w:r>
          </w:p>
        </w:tc>
        <w:tc>
          <w:tcPr>
            <w:tcW w:w="1559" w:type="dxa"/>
            <w:tcBorders>
              <w:tl2br w:val="nil"/>
              <w:tr2bl w:val="nil"/>
            </w:tcBorders>
            <w:vAlign w:val="center"/>
          </w:tcPr>
          <w:p w14:paraId="7837FF53">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66</w:t>
            </w:r>
          </w:p>
        </w:tc>
        <w:tc>
          <w:tcPr>
            <w:tcW w:w="1584" w:type="dxa"/>
            <w:tcBorders>
              <w:tl2br w:val="nil"/>
              <w:tr2bl w:val="nil"/>
            </w:tcBorders>
            <w:vAlign w:val="center"/>
          </w:tcPr>
          <w:p w14:paraId="0E123EC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077A6F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39E2B947">
            <w:pPr>
              <w:jc w:val="center"/>
              <w:rPr>
                <w:rFonts w:hint="default" w:ascii="Times New Roman" w:hAnsi="Times New Roman" w:eastAsia="宋体" w:cs="Times New Roman"/>
                <w:sz w:val="21"/>
                <w:szCs w:val="21"/>
                <w:lang w:val="en-US" w:eastAsia="zh-CN"/>
              </w:rPr>
            </w:pPr>
          </w:p>
        </w:tc>
        <w:tc>
          <w:tcPr>
            <w:tcW w:w="711" w:type="dxa"/>
            <w:vMerge w:val="continue"/>
            <w:tcBorders>
              <w:tl2br w:val="nil"/>
              <w:tr2bl w:val="nil"/>
            </w:tcBorders>
            <w:vAlign w:val="center"/>
          </w:tcPr>
          <w:p w14:paraId="0B0F7E4A">
            <w:pPr>
              <w:jc w:val="center"/>
              <w:rPr>
                <w:rFonts w:hint="default" w:ascii="Times New Roman" w:hAnsi="Times New Roman" w:eastAsia="宋体" w:cs="Times New Roman"/>
                <w:sz w:val="21"/>
                <w:szCs w:val="21"/>
                <w:lang w:val="en-US" w:eastAsia="zh-CN"/>
              </w:rPr>
            </w:pPr>
          </w:p>
        </w:tc>
        <w:tc>
          <w:tcPr>
            <w:tcW w:w="1773" w:type="dxa"/>
            <w:tcBorders>
              <w:tl2br w:val="nil"/>
              <w:tr2bl w:val="nil"/>
            </w:tcBorders>
            <w:vAlign w:val="center"/>
          </w:tcPr>
          <w:p w14:paraId="69F3291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顺-1,2-二氯乙烯</w:t>
            </w:r>
          </w:p>
        </w:tc>
        <w:tc>
          <w:tcPr>
            <w:tcW w:w="1559" w:type="dxa"/>
            <w:tcBorders>
              <w:tl2br w:val="nil"/>
              <w:tr2bl w:val="nil"/>
            </w:tcBorders>
            <w:vAlign w:val="center"/>
          </w:tcPr>
          <w:p w14:paraId="113413E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0.9×10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2E934CB5">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596</w:t>
            </w:r>
          </w:p>
        </w:tc>
        <w:tc>
          <w:tcPr>
            <w:tcW w:w="1584" w:type="dxa"/>
            <w:tcBorders>
              <w:tl2br w:val="nil"/>
              <w:tr2bl w:val="nil"/>
            </w:tcBorders>
            <w:vAlign w:val="center"/>
          </w:tcPr>
          <w:p w14:paraId="7200AC1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7E84A6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8225BD7">
            <w:pPr>
              <w:jc w:val="center"/>
              <w:rPr>
                <w:rFonts w:hint="default" w:ascii="Times New Roman" w:hAnsi="Times New Roman" w:eastAsia="宋体" w:cs="Times New Roman"/>
                <w:sz w:val="21"/>
                <w:szCs w:val="21"/>
                <w:lang w:val="en-US" w:eastAsia="zh-CN"/>
              </w:rPr>
            </w:pPr>
          </w:p>
        </w:tc>
        <w:tc>
          <w:tcPr>
            <w:tcW w:w="711" w:type="dxa"/>
            <w:vMerge w:val="continue"/>
            <w:tcBorders>
              <w:tl2br w:val="nil"/>
              <w:tr2bl w:val="nil"/>
            </w:tcBorders>
            <w:vAlign w:val="center"/>
          </w:tcPr>
          <w:p w14:paraId="111A251E">
            <w:pPr>
              <w:jc w:val="center"/>
              <w:rPr>
                <w:rFonts w:hint="default" w:ascii="Times New Roman" w:hAnsi="Times New Roman" w:eastAsia="宋体" w:cs="Times New Roman"/>
                <w:sz w:val="21"/>
                <w:szCs w:val="21"/>
                <w:lang w:val="en-US" w:eastAsia="zh-CN"/>
              </w:rPr>
            </w:pPr>
          </w:p>
        </w:tc>
        <w:tc>
          <w:tcPr>
            <w:tcW w:w="1773" w:type="dxa"/>
            <w:tcBorders>
              <w:tl2br w:val="nil"/>
              <w:tr2bl w:val="nil"/>
            </w:tcBorders>
            <w:vAlign w:val="center"/>
          </w:tcPr>
          <w:p w14:paraId="6C80806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反-1,2-二氯乙烯</w:t>
            </w:r>
          </w:p>
        </w:tc>
        <w:tc>
          <w:tcPr>
            <w:tcW w:w="1559" w:type="dxa"/>
            <w:tcBorders>
              <w:tl2br w:val="nil"/>
              <w:tr2bl w:val="nil"/>
            </w:tcBorders>
            <w:vAlign w:val="center"/>
          </w:tcPr>
          <w:p w14:paraId="62AEE11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0.9×10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616C8438">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54</w:t>
            </w:r>
          </w:p>
        </w:tc>
        <w:tc>
          <w:tcPr>
            <w:tcW w:w="1584" w:type="dxa"/>
            <w:tcBorders>
              <w:tl2br w:val="nil"/>
              <w:tr2bl w:val="nil"/>
            </w:tcBorders>
            <w:vAlign w:val="center"/>
          </w:tcPr>
          <w:p w14:paraId="19D6A82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49DF6A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01E3405">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317218D8">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二氯甲烷</w:t>
            </w:r>
          </w:p>
        </w:tc>
        <w:tc>
          <w:tcPr>
            <w:tcW w:w="1559" w:type="dxa"/>
            <w:tcBorders>
              <w:tl2br w:val="nil"/>
              <w:tr2bl w:val="nil"/>
            </w:tcBorders>
            <w:vAlign w:val="center"/>
          </w:tcPr>
          <w:p w14:paraId="74869C71">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2.6×10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779847BE">
            <w:pPr>
              <w:keepNext w:val="0"/>
              <w:keepLines w:val="0"/>
              <w:widowControl/>
              <w:suppressLineNumbers w:val="0"/>
              <w:jc w:val="center"/>
              <w:textAlignment w:val="top"/>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616</w:t>
            </w:r>
          </w:p>
        </w:tc>
        <w:tc>
          <w:tcPr>
            <w:tcW w:w="1584" w:type="dxa"/>
            <w:tcBorders>
              <w:tl2br w:val="nil"/>
              <w:tr2bl w:val="nil"/>
            </w:tcBorders>
            <w:vAlign w:val="center"/>
          </w:tcPr>
          <w:p w14:paraId="4CBBD86E">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达标</w:t>
            </w:r>
          </w:p>
        </w:tc>
      </w:tr>
      <w:tr w14:paraId="7F9F25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7EB9F5B1">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5A70CD0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1,2-二氯丙烷</w:t>
            </w:r>
          </w:p>
        </w:tc>
        <w:tc>
          <w:tcPr>
            <w:tcW w:w="1559" w:type="dxa"/>
            <w:tcBorders>
              <w:tl2br w:val="nil"/>
              <w:tr2bl w:val="nil"/>
            </w:tcBorders>
            <w:vAlign w:val="center"/>
          </w:tcPr>
          <w:p w14:paraId="107CD1E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1.9×10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49C2EE3C">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584" w:type="dxa"/>
            <w:tcBorders>
              <w:tl2br w:val="nil"/>
              <w:tr2bl w:val="nil"/>
            </w:tcBorders>
            <w:vAlign w:val="center"/>
          </w:tcPr>
          <w:p w14:paraId="7BA3DC8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49C173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92454C7">
            <w:pPr>
              <w:jc w:val="center"/>
              <w:rPr>
                <w:rFonts w:hint="default" w:ascii="Times New Roman" w:hAnsi="Times New Roman" w:eastAsia="宋体" w:cs="Times New Roman"/>
                <w:sz w:val="21"/>
                <w:szCs w:val="21"/>
                <w:lang w:val="en-US" w:eastAsia="zh-CN"/>
              </w:rPr>
            </w:pPr>
          </w:p>
        </w:tc>
        <w:tc>
          <w:tcPr>
            <w:tcW w:w="711" w:type="dxa"/>
            <w:vMerge w:val="restart"/>
            <w:tcBorders>
              <w:tl2br w:val="nil"/>
              <w:tr2bl w:val="nil"/>
            </w:tcBorders>
            <w:vAlign w:val="center"/>
          </w:tcPr>
          <w:p w14:paraId="03D7863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四氯乙烷</w:t>
            </w:r>
          </w:p>
        </w:tc>
        <w:tc>
          <w:tcPr>
            <w:tcW w:w="1773" w:type="dxa"/>
            <w:tcBorders>
              <w:tl2br w:val="nil"/>
              <w:tr2bl w:val="nil"/>
            </w:tcBorders>
            <w:vAlign w:val="center"/>
          </w:tcPr>
          <w:p w14:paraId="4071CE2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1,1,1,2-四氯乙烷</w:t>
            </w:r>
          </w:p>
        </w:tc>
        <w:tc>
          <w:tcPr>
            <w:tcW w:w="1559" w:type="dxa"/>
            <w:tcBorders>
              <w:tl2br w:val="nil"/>
              <w:tr2bl w:val="nil"/>
            </w:tcBorders>
            <w:vAlign w:val="center"/>
          </w:tcPr>
          <w:p w14:paraId="674FA83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1.0×10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5CF8D0B0">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584" w:type="dxa"/>
            <w:tcBorders>
              <w:tl2br w:val="nil"/>
              <w:tr2bl w:val="nil"/>
            </w:tcBorders>
            <w:vAlign w:val="center"/>
          </w:tcPr>
          <w:p w14:paraId="1081A0D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354488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006E856">
            <w:pPr>
              <w:jc w:val="center"/>
              <w:rPr>
                <w:rFonts w:hint="default" w:ascii="Times New Roman" w:hAnsi="Times New Roman" w:eastAsia="宋体" w:cs="Times New Roman"/>
                <w:sz w:val="21"/>
                <w:szCs w:val="21"/>
                <w:lang w:val="en-US" w:eastAsia="zh-CN"/>
              </w:rPr>
            </w:pPr>
          </w:p>
        </w:tc>
        <w:tc>
          <w:tcPr>
            <w:tcW w:w="711" w:type="dxa"/>
            <w:vMerge w:val="continue"/>
            <w:tcBorders>
              <w:tl2br w:val="nil"/>
              <w:tr2bl w:val="nil"/>
            </w:tcBorders>
            <w:vAlign w:val="center"/>
          </w:tcPr>
          <w:p w14:paraId="1824AEBF">
            <w:pPr>
              <w:jc w:val="center"/>
              <w:rPr>
                <w:rFonts w:hint="default" w:ascii="Times New Roman" w:hAnsi="Times New Roman" w:eastAsia="宋体" w:cs="Times New Roman"/>
                <w:sz w:val="21"/>
                <w:szCs w:val="21"/>
                <w:lang w:val="en-US" w:eastAsia="zh-CN"/>
              </w:rPr>
            </w:pPr>
          </w:p>
        </w:tc>
        <w:tc>
          <w:tcPr>
            <w:tcW w:w="1773" w:type="dxa"/>
            <w:tcBorders>
              <w:tl2br w:val="nil"/>
              <w:tr2bl w:val="nil"/>
            </w:tcBorders>
            <w:vAlign w:val="center"/>
          </w:tcPr>
          <w:p w14:paraId="5781240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1,1,2,2-四氯乙烷</w:t>
            </w:r>
          </w:p>
        </w:tc>
        <w:tc>
          <w:tcPr>
            <w:tcW w:w="1559" w:type="dxa"/>
            <w:tcBorders>
              <w:tl2br w:val="nil"/>
              <w:tr2bl w:val="nil"/>
            </w:tcBorders>
            <w:vAlign w:val="center"/>
          </w:tcPr>
          <w:p w14:paraId="7C2057A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1.0×10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092ADA17">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6.8</w:t>
            </w:r>
          </w:p>
        </w:tc>
        <w:tc>
          <w:tcPr>
            <w:tcW w:w="1584" w:type="dxa"/>
            <w:tcBorders>
              <w:tl2br w:val="nil"/>
              <w:tr2bl w:val="nil"/>
            </w:tcBorders>
            <w:vAlign w:val="center"/>
          </w:tcPr>
          <w:p w14:paraId="5D1D938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4B6F32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68525D35">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6B2CD78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四氯乙烯</w:t>
            </w:r>
          </w:p>
        </w:tc>
        <w:tc>
          <w:tcPr>
            <w:tcW w:w="1559" w:type="dxa"/>
            <w:tcBorders>
              <w:tl2br w:val="nil"/>
              <w:tr2bl w:val="nil"/>
            </w:tcBorders>
            <w:vAlign w:val="center"/>
          </w:tcPr>
          <w:p w14:paraId="46C5FE6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0.8×10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7421989B">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53</w:t>
            </w:r>
          </w:p>
        </w:tc>
        <w:tc>
          <w:tcPr>
            <w:tcW w:w="1584" w:type="dxa"/>
            <w:tcBorders>
              <w:tl2br w:val="nil"/>
              <w:tr2bl w:val="nil"/>
            </w:tcBorders>
            <w:vAlign w:val="center"/>
          </w:tcPr>
          <w:p w14:paraId="13A680D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6D0660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28F0E34">
            <w:pPr>
              <w:jc w:val="center"/>
              <w:rPr>
                <w:rFonts w:hint="default" w:ascii="Times New Roman" w:hAnsi="Times New Roman" w:eastAsia="宋体" w:cs="Times New Roman"/>
                <w:sz w:val="21"/>
                <w:szCs w:val="21"/>
                <w:lang w:val="en-US" w:eastAsia="zh-CN"/>
              </w:rPr>
            </w:pPr>
          </w:p>
        </w:tc>
        <w:tc>
          <w:tcPr>
            <w:tcW w:w="711" w:type="dxa"/>
            <w:vMerge w:val="restart"/>
            <w:tcBorders>
              <w:tl2br w:val="nil"/>
              <w:tr2bl w:val="nil"/>
            </w:tcBorders>
            <w:vAlign w:val="center"/>
          </w:tcPr>
          <w:p w14:paraId="48ABF43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三氯乙烷</w:t>
            </w:r>
          </w:p>
        </w:tc>
        <w:tc>
          <w:tcPr>
            <w:tcW w:w="1773" w:type="dxa"/>
            <w:tcBorders>
              <w:tl2br w:val="nil"/>
              <w:tr2bl w:val="nil"/>
            </w:tcBorders>
            <w:vAlign w:val="center"/>
          </w:tcPr>
          <w:p w14:paraId="755C161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1,1,1-三氯乙烷</w:t>
            </w:r>
          </w:p>
        </w:tc>
        <w:tc>
          <w:tcPr>
            <w:tcW w:w="1559" w:type="dxa"/>
            <w:tcBorders>
              <w:tl2br w:val="nil"/>
              <w:tr2bl w:val="nil"/>
            </w:tcBorders>
            <w:vAlign w:val="center"/>
          </w:tcPr>
          <w:p w14:paraId="3B1B68B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1.1×10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73E433FF">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840</w:t>
            </w:r>
          </w:p>
        </w:tc>
        <w:tc>
          <w:tcPr>
            <w:tcW w:w="1584" w:type="dxa"/>
            <w:tcBorders>
              <w:tl2br w:val="nil"/>
              <w:tr2bl w:val="nil"/>
            </w:tcBorders>
            <w:vAlign w:val="center"/>
          </w:tcPr>
          <w:p w14:paraId="6689803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63D6EC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172E218C">
            <w:pPr>
              <w:jc w:val="center"/>
              <w:rPr>
                <w:rFonts w:hint="default" w:ascii="Times New Roman" w:hAnsi="Times New Roman" w:eastAsia="宋体" w:cs="Times New Roman"/>
                <w:sz w:val="21"/>
                <w:szCs w:val="21"/>
                <w:lang w:val="en-US" w:eastAsia="zh-CN"/>
              </w:rPr>
            </w:pPr>
          </w:p>
        </w:tc>
        <w:tc>
          <w:tcPr>
            <w:tcW w:w="711" w:type="dxa"/>
            <w:vMerge w:val="continue"/>
            <w:tcBorders>
              <w:tl2br w:val="nil"/>
              <w:tr2bl w:val="nil"/>
            </w:tcBorders>
            <w:vAlign w:val="center"/>
          </w:tcPr>
          <w:p w14:paraId="1BE04469">
            <w:pPr>
              <w:jc w:val="center"/>
              <w:rPr>
                <w:rFonts w:hint="default" w:ascii="Times New Roman" w:hAnsi="Times New Roman" w:eastAsia="宋体" w:cs="Times New Roman"/>
                <w:sz w:val="21"/>
                <w:szCs w:val="21"/>
                <w:lang w:val="en-US" w:eastAsia="zh-CN"/>
              </w:rPr>
            </w:pPr>
          </w:p>
        </w:tc>
        <w:tc>
          <w:tcPr>
            <w:tcW w:w="1773" w:type="dxa"/>
            <w:tcBorders>
              <w:tl2br w:val="nil"/>
              <w:tr2bl w:val="nil"/>
            </w:tcBorders>
            <w:vAlign w:val="center"/>
          </w:tcPr>
          <w:p w14:paraId="0BF1B8B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1,1,2-三氯乙烷</w:t>
            </w:r>
          </w:p>
        </w:tc>
        <w:tc>
          <w:tcPr>
            <w:tcW w:w="1559" w:type="dxa"/>
            <w:tcBorders>
              <w:tl2br w:val="nil"/>
              <w:tr2bl w:val="nil"/>
            </w:tcBorders>
            <w:vAlign w:val="center"/>
          </w:tcPr>
          <w:p w14:paraId="7C1D0EF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1.4×10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7704E6C1">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2.8</w:t>
            </w:r>
          </w:p>
        </w:tc>
        <w:tc>
          <w:tcPr>
            <w:tcW w:w="1584" w:type="dxa"/>
            <w:tcBorders>
              <w:tl2br w:val="nil"/>
              <w:tr2bl w:val="nil"/>
            </w:tcBorders>
            <w:vAlign w:val="center"/>
          </w:tcPr>
          <w:p w14:paraId="3CA011C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3AD2F1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4702CE9A">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78E70CC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三氯乙烯</w:t>
            </w:r>
          </w:p>
        </w:tc>
        <w:tc>
          <w:tcPr>
            <w:tcW w:w="1559" w:type="dxa"/>
            <w:tcBorders>
              <w:tl2br w:val="nil"/>
              <w:tr2bl w:val="nil"/>
            </w:tcBorders>
            <w:vAlign w:val="center"/>
          </w:tcPr>
          <w:p w14:paraId="5F87924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0.9×10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083A42CE">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2.8</w:t>
            </w:r>
          </w:p>
        </w:tc>
        <w:tc>
          <w:tcPr>
            <w:tcW w:w="1584" w:type="dxa"/>
            <w:tcBorders>
              <w:tl2br w:val="nil"/>
              <w:tr2bl w:val="nil"/>
            </w:tcBorders>
            <w:vAlign w:val="center"/>
          </w:tcPr>
          <w:p w14:paraId="0F96C14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685A34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4447946A">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4E9B455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1,2,3-三氯丙烷</w:t>
            </w:r>
          </w:p>
        </w:tc>
        <w:tc>
          <w:tcPr>
            <w:tcW w:w="1559" w:type="dxa"/>
            <w:tcBorders>
              <w:tl2br w:val="nil"/>
              <w:tr2bl w:val="nil"/>
            </w:tcBorders>
            <w:vAlign w:val="center"/>
          </w:tcPr>
          <w:p w14:paraId="0CAF203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1.0×10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68F46F1A">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0.5</w:t>
            </w:r>
          </w:p>
        </w:tc>
        <w:tc>
          <w:tcPr>
            <w:tcW w:w="1584" w:type="dxa"/>
            <w:tcBorders>
              <w:tl2br w:val="nil"/>
              <w:tr2bl w:val="nil"/>
            </w:tcBorders>
            <w:vAlign w:val="center"/>
          </w:tcPr>
          <w:p w14:paraId="66809CE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2C5DA1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6BE0D073">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04D3319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氯乙烯</w:t>
            </w:r>
          </w:p>
        </w:tc>
        <w:tc>
          <w:tcPr>
            <w:tcW w:w="1559" w:type="dxa"/>
            <w:tcBorders>
              <w:tl2br w:val="nil"/>
              <w:tr2bl w:val="nil"/>
            </w:tcBorders>
            <w:vAlign w:val="center"/>
          </w:tcPr>
          <w:p w14:paraId="0236A8F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1.5×10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266B88BD">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0.43</w:t>
            </w:r>
          </w:p>
        </w:tc>
        <w:tc>
          <w:tcPr>
            <w:tcW w:w="1584" w:type="dxa"/>
            <w:tcBorders>
              <w:tl2br w:val="nil"/>
              <w:tr2bl w:val="nil"/>
            </w:tcBorders>
            <w:vAlign w:val="center"/>
          </w:tcPr>
          <w:p w14:paraId="1CF42E6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5FE78C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02034CBB">
            <w:pPr>
              <w:jc w:val="center"/>
              <w:rPr>
                <w:rFonts w:hint="default" w:ascii="Times New Roman" w:hAnsi="Times New Roman" w:eastAsia="宋体" w:cs="Times New Roman"/>
                <w:color w:val="FF0000"/>
                <w:sz w:val="21"/>
                <w:szCs w:val="21"/>
                <w:lang w:val="en-US" w:eastAsia="zh-CN"/>
              </w:rPr>
            </w:pPr>
          </w:p>
        </w:tc>
        <w:tc>
          <w:tcPr>
            <w:tcW w:w="2484" w:type="dxa"/>
            <w:gridSpan w:val="2"/>
            <w:tcBorders>
              <w:tl2br w:val="nil"/>
              <w:tr2bl w:val="nil"/>
            </w:tcBorders>
            <w:vAlign w:val="center"/>
          </w:tcPr>
          <w:p w14:paraId="538B37D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苯</w:t>
            </w:r>
          </w:p>
        </w:tc>
        <w:tc>
          <w:tcPr>
            <w:tcW w:w="1559" w:type="dxa"/>
            <w:tcBorders>
              <w:tl2br w:val="nil"/>
              <w:tr2bl w:val="nil"/>
            </w:tcBorders>
            <w:vAlign w:val="center"/>
          </w:tcPr>
          <w:p w14:paraId="6BE7E16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1.6×10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1ED1B551">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584" w:type="dxa"/>
            <w:tcBorders>
              <w:tl2br w:val="nil"/>
              <w:tr2bl w:val="nil"/>
            </w:tcBorders>
            <w:vAlign w:val="center"/>
          </w:tcPr>
          <w:p w14:paraId="7915809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6D3591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2E87765D">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6D27CCC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氯苯</w:t>
            </w:r>
          </w:p>
        </w:tc>
        <w:tc>
          <w:tcPr>
            <w:tcW w:w="1559" w:type="dxa"/>
            <w:tcBorders>
              <w:tl2br w:val="nil"/>
              <w:tr2bl w:val="nil"/>
            </w:tcBorders>
            <w:vAlign w:val="center"/>
          </w:tcPr>
          <w:p w14:paraId="6970062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1.1×10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6BB294FA">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270</w:t>
            </w:r>
          </w:p>
        </w:tc>
        <w:tc>
          <w:tcPr>
            <w:tcW w:w="1584" w:type="dxa"/>
            <w:tcBorders>
              <w:tl2br w:val="nil"/>
              <w:tr2bl w:val="nil"/>
            </w:tcBorders>
            <w:vAlign w:val="center"/>
          </w:tcPr>
          <w:p w14:paraId="0BC2C8F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5DA7F9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787EE8FB">
            <w:pPr>
              <w:jc w:val="center"/>
              <w:rPr>
                <w:rFonts w:hint="default" w:ascii="Times New Roman" w:hAnsi="Times New Roman" w:eastAsia="宋体" w:cs="Times New Roman"/>
                <w:sz w:val="21"/>
                <w:szCs w:val="21"/>
                <w:lang w:val="en-US" w:eastAsia="zh-CN"/>
              </w:rPr>
            </w:pPr>
          </w:p>
        </w:tc>
        <w:tc>
          <w:tcPr>
            <w:tcW w:w="711" w:type="dxa"/>
            <w:vMerge w:val="restart"/>
            <w:tcBorders>
              <w:tl2br w:val="nil"/>
              <w:tr2bl w:val="nil"/>
            </w:tcBorders>
            <w:vAlign w:val="center"/>
          </w:tcPr>
          <w:p w14:paraId="49035B5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二氯苯</w:t>
            </w:r>
          </w:p>
        </w:tc>
        <w:tc>
          <w:tcPr>
            <w:tcW w:w="1773" w:type="dxa"/>
            <w:tcBorders>
              <w:tl2br w:val="nil"/>
              <w:tr2bl w:val="nil"/>
            </w:tcBorders>
            <w:vAlign w:val="center"/>
          </w:tcPr>
          <w:p w14:paraId="3B6555D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1,2-二氯苯</w:t>
            </w:r>
          </w:p>
        </w:tc>
        <w:tc>
          <w:tcPr>
            <w:tcW w:w="1559" w:type="dxa"/>
            <w:tcBorders>
              <w:tl2br w:val="nil"/>
              <w:tr2bl w:val="nil"/>
            </w:tcBorders>
            <w:vAlign w:val="center"/>
          </w:tcPr>
          <w:p w14:paraId="5EBEE07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1.0×10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4FC24E72">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560</w:t>
            </w:r>
          </w:p>
        </w:tc>
        <w:tc>
          <w:tcPr>
            <w:tcW w:w="1584" w:type="dxa"/>
            <w:tcBorders>
              <w:tl2br w:val="nil"/>
              <w:tr2bl w:val="nil"/>
            </w:tcBorders>
            <w:vAlign w:val="center"/>
          </w:tcPr>
          <w:p w14:paraId="41082EB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48672B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223684DA">
            <w:pPr>
              <w:jc w:val="center"/>
              <w:rPr>
                <w:rFonts w:hint="default" w:ascii="Times New Roman" w:hAnsi="Times New Roman" w:eastAsia="宋体" w:cs="Times New Roman"/>
                <w:sz w:val="21"/>
                <w:szCs w:val="21"/>
                <w:lang w:val="en-US" w:eastAsia="zh-CN"/>
              </w:rPr>
            </w:pPr>
          </w:p>
        </w:tc>
        <w:tc>
          <w:tcPr>
            <w:tcW w:w="711" w:type="dxa"/>
            <w:vMerge w:val="continue"/>
            <w:tcBorders>
              <w:tl2br w:val="nil"/>
              <w:tr2bl w:val="nil"/>
            </w:tcBorders>
            <w:vAlign w:val="center"/>
          </w:tcPr>
          <w:p w14:paraId="0166963B">
            <w:pPr>
              <w:jc w:val="center"/>
              <w:rPr>
                <w:rFonts w:hint="default" w:ascii="Times New Roman" w:hAnsi="Times New Roman" w:eastAsia="宋体" w:cs="Times New Roman"/>
                <w:sz w:val="21"/>
                <w:szCs w:val="21"/>
                <w:lang w:val="en-US" w:eastAsia="zh-CN"/>
              </w:rPr>
            </w:pPr>
          </w:p>
        </w:tc>
        <w:tc>
          <w:tcPr>
            <w:tcW w:w="1773" w:type="dxa"/>
            <w:tcBorders>
              <w:tl2br w:val="nil"/>
              <w:tr2bl w:val="nil"/>
            </w:tcBorders>
            <w:vAlign w:val="center"/>
          </w:tcPr>
          <w:p w14:paraId="0658563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1,4-二氯苯</w:t>
            </w:r>
          </w:p>
        </w:tc>
        <w:tc>
          <w:tcPr>
            <w:tcW w:w="1559" w:type="dxa"/>
            <w:tcBorders>
              <w:tl2br w:val="nil"/>
              <w:tr2bl w:val="nil"/>
            </w:tcBorders>
            <w:vAlign w:val="center"/>
          </w:tcPr>
          <w:p w14:paraId="62C8F96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1.2×10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024D8D5A">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1584" w:type="dxa"/>
            <w:tcBorders>
              <w:tl2br w:val="nil"/>
              <w:tr2bl w:val="nil"/>
            </w:tcBorders>
            <w:vAlign w:val="center"/>
          </w:tcPr>
          <w:p w14:paraId="6A7C51F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3D3C94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140BF179">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530AB6B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乙苯</w:t>
            </w:r>
          </w:p>
        </w:tc>
        <w:tc>
          <w:tcPr>
            <w:tcW w:w="1559" w:type="dxa"/>
            <w:tcBorders>
              <w:tl2br w:val="nil"/>
              <w:tr2bl w:val="nil"/>
            </w:tcBorders>
            <w:vAlign w:val="center"/>
          </w:tcPr>
          <w:p w14:paraId="65B4BC4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1.2×10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4D355E44">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28</w:t>
            </w:r>
          </w:p>
        </w:tc>
        <w:tc>
          <w:tcPr>
            <w:tcW w:w="1584" w:type="dxa"/>
            <w:tcBorders>
              <w:tl2br w:val="nil"/>
              <w:tr2bl w:val="nil"/>
            </w:tcBorders>
            <w:vAlign w:val="center"/>
          </w:tcPr>
          <w:p w14:paraId="51BA908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0373FB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03981D0A">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11DD4A7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苯乙烯</w:t>
            </w:r>
          </w:p>
        </w:tc>
        <w:tc>
          <w:tcPr>
            <w:tcW w:w="1559" w:type="dxa"/>
            <w:tcBorders>
              <w:tl2br w:val="nil"/>
              <w:tr2bl w:val="nil"/>
            </w:tcBorders>
            <w:vAlign w:val="center"/>
          </w:tcPr>
          <w:p w14:paraId="09071AB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1.6×10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69A9D948">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1290</w:t>
            </w:r>
          </w:p>
        </w:tc>
        <w:tc>
          <w:tcPr>
            <w:tcW w:w="1584" w:type="dxa"/>
            <w:tcBorders>
              <w:tl2br w:val="nil"/>
              <w:tr2bl w:val="nil"/>
            </w:tcBorders>
            <w:vAlign w:val="center"/>
          </w:tcPr>
          <w:p w14:paraId="319F6F8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39A881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64ACFC6">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2518785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甲苯</w:t>
            </w:r>
          </w:p>
        </w:tc>
        <w:tc>
          <w:tcPr>
            <w:tcW w:w="1559" w:type="dxa"/>
            <w:tcBorders>
              <w:tl2br w:val="nil"/>
              <w:tr2bl w:val="nil"/>
            </w:tcBorders>
            <w:vAlign w:val="center"/>
          </w:tcPr>
          <w:p w14:paraId="3D238FE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2.0×10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7DFE6AB7">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1200</w:t>
            </w:r>
          </w:p>
        </w:tc>
        <w:tc>
          <w:tcPr>
            <w:tcW w:w="1584" w:type="dxa"/>
            <w:tcBorders>
              <w:tl2br w:val="nil"/>
              <w:tr2bl w:val="nil"/>
            </w:tcBorders>
            <w:vAlign w:val="center"/>
          </w:tcPr>
          <w:p w14:paraId="41D0A6D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2B69A7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F609A19">
            <w:pPr>
              <w:jc w:val="center"/>
              <w:rPr>
                <w:rFonts w:hint="default" w:ascii="Times New Roman" w:hAnsi="Times New Roman" w:eastAsia="宋体" w:cs="Times New Roman"/>
                <w:sz w:val="21"/>
                <w:szCs w:val="21"/>
                <w:lang w:val="en-US" w:eastAsia="zh-CN"/>
              </w:rPr>
            </w:pPr>
          </w:p>
        </w:tc>
        <w:tc>
          <w:tcPr>
            <w:tcW w:w="711" w:type="dxa"/>
            <w:vMerge w:val="restart"/>
            <w:tcBorders>
              <w:tl2br w:val="nil"/>
              <w:tr2bl w:val="nil"/>
            </w:tcBorders>
            <w:vAlign w:val="center"/>
          </w:tcPr>
          <w:p w14:paraId="5F9ECA1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二甲苯</w:t>
            </w:r>
          </w:p>
        </w:tc>
        <w:tc>
          <w:tcPr>
            <w:tcW w:w="1773" w:type="dxa"/>
            <w:tcBorders>
              <w:tl2br w:val="nil"/>
              <w:tr2bl w:val="nil"/>
            </w:tcBorders>
            <w:vAlign w:val="center"/>
          </w:tcPr>
          <w:p w14:paraId="0E3D08E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间,对二甲苯</w:t>
            </w:r>
          </w:p>
        </w:tc>
        <w:tc>
          <w:tcPr>
            <w:tcW w:w="1559" w:type="dxa"/>
            <w:tcBorders>
              <w:tl2br w:val="nil"/>
              <w:tr2bl w:val="nil"/>
            </w:tcBorders>
            <w:vAlign w:val="center"/>
          </w:tcPr>
          <w:p w14:paraId="711A8CB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3.6×10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5316D997">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570</w:t>
            </w:r>
          </w:p>
        </w:tc>
        <w:tc>
          <w:tcPr>
            <w:tcW w:w="1584" w:type="dxa"/>
            <w:tcBorders>
              <w:tl2br w:val="nil"/>
              <w:tr2bl w:val="nil"/>
            </w:tcBorders>
            <w:vAlign w:val="center"/>
          </w:tcPr>
          <w:p w14:paraId="4CF339A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50A0C4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7BC4CE29">
            <w:pPr>
              <w:jc w:val="center"/>
              <w:rPr>
                <w:rFonts w:hint="default" w:ascii="Times New Roman" w:hAnsi="Times New Roman" w:eastAsia="宋体" w:cs="Times New Roman"/>
                <w:sz w:val="21"/>
                <w:szCs w:val="21"/>
                <w:lang w:val="en-US" w:eastAsia="zh-CN"/>
              </w:rPr>
            </w:pPr>
          </w:p>
        </w:tc>
        <w:tc>
          <w:tcPr>
            <w:tcW w:w="711" w:type="dxa"/>
            <w:vMerge w:val="continue"/>
            <w:tcBorders>
              <w:tl2br w:val="nil"/>
              <w:tr2bl w:val="nil"/>
            </w:tcBorders>
            <w:vAlign w:val="center"/>
          </w:tcPr>
          <w:p w14:paraId="43C2BF7A">
            <w:pPr>
              <w:jc w:val="center"/>
              <w:rPr>
                <w:rFonts w:hint="default" w:ascii="Times New Roman" w:hAnsi="Times New Roman" w:eastAsia="宋体" w:cs="Times New Roman"/>
                <w:sz w:val="21"/>
                <w:szCs w:val="21"/>
                <w:lang w:val="en-US" w:eastAsia="zh-CN"/>
              </w:rPr>
            </w:pPr>
          </w:p>
        </w:tc>
        <w:tc>
          <w:tcPr>
            <w:tcW w:w="1773" w:type="dxa"/>
            <w:tcBorders>
              <w:tl2br w:val="nil"/>
              <w:tr2bl w:val="nil"/>
            </w:tcBorders>
            <w:vAlign w:val="center"/>
          </w:tcPr>
          <w:p w14:paraId="1403E7B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邻二甲苯</w:t>
            </w:r>
          </w:p>
        </w:tc>
        <w:tc>
          <w:tcPr>
            <w:tcW w:w="1559" w:type="dxa"/>
            <w:tcBorders>
              <w:tl2br w:val="nil"/>
              <w:tr2bl w:val="nil"/>
            </w:tcBorders>
            <w:vAlign w:val="center"/>
          </w:tcPr>
          <w:p w14:paraId="2CC0DE9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1.3×10</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L</w:t>
            </w:r>
          </w:p>
        </w:tc>
        <w:tc>
          <w:tcPr>
            <w:tcW w:w="1559" w:type="dxa"/>
            <w:tcBorders>
              <w:tl2br w:val="nil"/>
              <w:tr2bl w:val="nil"/>
            </w:tcBorders>
            <w:vAlign w:val="center"/>
          </w:tcPr>
          <w:p w14:paraId="443B0CB8">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640</w:t>
            </w:r>
          </w:p>
        </w:tc>
        <w:tc>
          <w:tcPr>
            <w:tcW w:w="1584" w:type="dxa"/>
            <w:tcBorders>
              <w:tl2br w:val="nil"/>
              <w:tr2bl w:val="nil"/>
            </w:tcBorders>
            <w:vAlign w:val="center"/>
          </w:tcPr>
          <w:p w14:paraId="40B3985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464B14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31C25799">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2FF1DCB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硝基苯</w:t>
            </w:r>
          </w:p>
        </w:tc>
        <w:tc>
          <w:tcPr>
            <w:tcW w:w="1559" w:type="dxa"/>
            <w:tcBorders>
              <w:tl2br w:val="nil"/>
              <w:tr2bl w:val="nil"/>
            </w:tcBorders>
            <w:vAlign w:val="center"/>
          </w:tcPr>
          <w:p w14:paraId="7C85733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0.09L</w:t>
            </w:r>
          </w:p>
        </w:tc>
        <w:tc>
          <w:tcPr>
            <w:tcW w:w="1559" w:type="dxa"/>
            <w:tcBorders>
              <w:tl2br w:val="nil"/>
              <w:tr2bl w:val="nil"/>
            </w:tcBorders>
            <w:vAlign w:val="center"/>
          </w:tcPr>
          <w:p w14:paraId="28B825EB">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76</w:t>
            </w:r>
          </w:p>
        </w:tc>
        <w:tc>
          <w:tcPr>
            <w:tcW w:w="1584" w:type="dxa"/>
            <w:tcBorders>
              <w:tl2br w:val="nil"/>
              <w:tr2bl w:val="nil"/>
            </w:tcBorders>
            <w:vAlign w:val="center"/>
          </w:tcPr>
          <w:p w14:paraId="711183E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08D8C4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7EA5CDEC">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500EB48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苯胺</w:t>
            </w:r>
          </w:p>
        </w:tc>
        <w:tc>
          <w:tcPr>
            <w:tcW w:w="1559" w:type="dxa"/>
            <w:tcBorders>
              <w:tl2br w:val="nil"/>
              <w:tr2bl w:val="nil"/>
            </w:tcBorders>
            <w:vAlign w:val="center"/>
          </w:tcPr>
          <w:p w14:paraId="5E2707E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0.66L</w:t>
            </w:r>
          </w:p>
        </w:tc>
        <w:tc>
          <w:tcPr>
            <w:tcW w:w="1559" w:type="dxa"/>
            <w:tcBorders>
              <w:tl2br w:val="nil"/>
              <w:tr2bl w:val="nil"/>
            </w:tcBorders>
            <w:vAlign w:val="center"/>
          </w:tcPr>
          <w:p w14:paraId="3E886DA8">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260</w:t>
            </w:r>
          </w:p>
        </w:tc>
        <w:tc>
          <w:tcPr>
            <w:tcW w:w="1584" w:type="dxa"/>
            <w:tcBorders>
              <w:tl2br w:val="nil"/>
              <w:tr2bl w:val="nil"/>
            </w:tcBorders>
            <w:vAlign w:val="center"/>
          </w:tcPr>
          <w:p w14:paraId="18AC7DE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614A5C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77DD1DF8">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228F52F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2-氯酚</w:t>
            </w:r>
          </w:p>
        </w:tc>
        <w:tc>
          <w:tcPr>
            <w:tcW w:w="1559" w:type="dxa"/>
            <w:tcBorders>
              <w:tl2br w:val="nil"/>
              <w:tr2bl w:val="nil"/>
            </w:tcBorders>
            <w:vAlign w:val="center"/>
          </w:tcPr>
          <w:p w14:paraId="7BB33C8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0.06L</w:t>
            </w:r>
          </w:p>
        </w:tc>
        <w:tc>
          <w:tcPr>
            <w:tcW w:w="1559" w:type="dxa"/>
            <w:tcBorders>
              <w:tl2br w:val="nil"/>
              <w:tr2bl w:val="nil"/>
            </w:tcBorders>
            <w:vAlign w:val="center"/>
          </w:tcPr>
          <w:p w14:paraId="1D6F4152">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2256</w:t>
            </w:r>
          </w:p>
        </w:tc>
        <w:tc>
          <w:tcPr>
            <w:tcW w:w="1584" w:type="dxa"/>
            <w:tcBorders>
              <w:tl2br w:val="nil"/>
              <w:tr2bl w:val="nil"/>
            </w:tcBorders>
            <w:vAlign w:val="center"/>
          </w:tcPr>
          <w:p w14:paraId="3BC5B85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3296D6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64A1C11A">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12044FC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苯并[a]蒽</w:t>
            </w:r>
          </w:p>
        </w:tc>
        <w:tc>
          <w:tcPr>
            <w:tcW w:w="1559" w:type="dxa"/>
            <w:tcBorders>
              <w:tl2br w:val="nil"/>
              <w:tr2bl w:val="nil"/>
            </w:tcBorders>
            <w:vAlign w:val="center"/>
          </w:tcPr>
          <w:p w14:paraId="5A49427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0.1L</w:t>
            </w:r>
          </w:p>
        </w:tc>
        <w:tc>
          <w:tcPr>
            <w:tcW w:w="1559" w:type="dxa"/>
            <w:tcBorders>
              <w:tl2br w:val="nil"/>
              <w:tr2bl w:val="nil"/>
            </w:tcBorders>
            <w:vAlign w:val="center"/>
          </w:tcPr>
          <w:p w14:paraId="510FACE8">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584" w:type="dxa"/>
            <w:tcBorders>
              <w:tl2br w:val="nil"/>
              <w:tr2bl w:val="nil"/>
            </w:tcBorders>
            <w:vAlign w:val="center"/>
          </w:tcPr>
          <w:p w14:paraId="3DBEFBC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7AAE3C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27665905">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4BEC063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苯并[a]芘</w:t>
            </w:r>
          </w:p>
        </w:tc>
        <w:tc>
          <w:tcPr>
            <w:tcW w:w="1559" w:type="dxa"/>
            <w:tcBorders>
              <w:tl2br w:val="nil"/>
              <w:tr2bl w:val="nil"/>
            </w:tcBorders>
            <w:vAlign w:val="center"/>
          </w:tcPr>
          <w:p w14:paraId="07C7569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0.1L</w:t>
            </w:r>
          </w:p>
        </w:tc>
        <w:tc>
          <w:tcPr>
            <w:tcW w:w="1559" w:type="dxa"/>
            <w:tcBorders>
              <w:tl2br w:val="nil"/>
              <w:tr2bl w:val="nil"/>
            </w:tcBorders>
            <w:vAlign w:val="center"/>
          </w:tcPr>
          <w:p w14:paraId="55993D15">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584" w:type="dxa"/>
            <w:tcBorders>
              <w:tl2br w:val="nil"/>
              <w:tr2bl w:val="nil"/>
            </w:tcBorders>
            <w:vAlign w:val="center"/>
          </w:tcPr>
          <w:p w14:paraId="5F4447E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78A641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7F1F980C">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7368D77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苯并[b]荧蒽</w:t>
            </w:r>
          </w:p>
        </w:tc>
        <w:tc>
          <w:tcPr>
            <w:tcW w:w="1559" w:type="dxa"/>
            <w:tcBorders>
              <w:tl2br w:val="nil"/>
              <w:tr2bl w:val="nil"/>
            </w:tcBorders>
            <w:vAlign w:val="center"/>
          </w:tcPr>
          <w:p w14:paraId="25A2540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0.2L</w:t>
            </w:r>
          </w:p>
        </w:tc>
        <w:tc>
          <w:tcPr>
            <w:tcW w:w="1559" w:type="dxa"/>
            <w:tcBorders>
              <w:tl2br w:val="nil"/>
              <w:tr2bl w:val="nil"/>
            </w:tcBorders>
            <w:vAlign w:val="center"/>
          </w:tcPr>
          <w:p w14:paraId="7AC80920">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584" w:type="dxa"/>
            <w:tcBorders>
              <w:tl2br w:val="nil"/>
              <w:tr2bl w:val="nil"/>
            </w:tcBorders>
            <w:vAlign w:val="center"/>
          </w:tcPr>
          <w:p w14:paraId="0571830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76FD07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743CADBC">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4041715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苯并[k]荧蒽</w:t>
            </w:r>
          </w:p>
        </w:tc>
        <w:tc>
          <w:tcPr>
            <w:tcW w:w="1559" w:type="dxa"/>
            <w:tcBorders>
              <w:tl2br w:val="nil"/>
              <w:tr2bl w:val="nil"/>
            </w:tcBorders>
            <w:vAlign w:val="center"/>
          </w:tcPr>
          <w:p w14:paraId="7CA704E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0.1L</w:t>
            </w:r>
          </w:p>
        </w:tc>
        <w:tc>
          <w:tcPr>
            <w:tcW w:w="1559" w:type="dxa"/>
            <w:tcBorders>
              <w:tl2br w:val="nil"/>
              <w:tr2bl w:val="nil"/>
            </w:tcBorders>
            <w:vAlign w:val="center"/>
          </w:tcPr>
          <w:p w14:paraId="5D0A0E54">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151</w:t>
            </w:r>
          </w:p>
        </w:tc>
        <w:tc>
          <w:tcPr>
            <w:tcW w:w="1584" w:type="dxa"/>
            <w:tcBorders>
              <w:tl2br w:val="nil"/>
              <w:tr2bl w:val="nil"/>
            </w:tcBorders>
            <w:vAlign w:val="center"/>
          </w:tcPr>
          <w:p w14:paraId="3B9F33D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02029B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230A51DB">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53EF1D7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䓛</w:t>
            </w:r>
          </w:p>
        </w:tc>
        <w:tc>
          <w:tcPr>
            <w:tcW w:w="1559" w:type="dxa"/>
            <w:tcBorders>
              <w:tl2br w:val="nil"/>
              <w:tr2bl w:val="nil"/>
            </w:tcBorders>
            <w:vAlign w:val="center"/>
          </w:tcPr>
          <w:p w14:paraId="4785DBF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0.1L</w:t>
            </w:r>
          </w:p>
        </w:tc>
        <w:tc>
          <w:tcPr>
            <w:tcW w:w="1559" w:type="dxa"/>
            <w:tcBorders>
              <w:tl2br w:val="nil"/>
              <w:tr2bl w:val="nil"/>
            </w:tcBorders>
            <w:vAlign w:val="center"/>
          </w:tcPr>
          <w:p w14:paraId="1DA04FA1">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1293</w:t>
            </w:r>
          </w:p>
        </w:tc>
        <w:tc>
          <w:tcPr>
            <w:tcW w:w="1584" w:type="dxa"/>
            <w:tcBorders>
              <w:tl2br w:val="nil"/>
              <w:tr2bl w:val="nil"/>
            </w:tcBorders>
            <w:vAlign w:val="center"/>
          </w:tcPr>
          <w:p w14:paraId="4BBE3D8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51920B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6BA46CC0">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46B7288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二苯并[a,h]蒽</w:t>
            </w:r>
          </w:p>
        </w:tc>
        <w:tc>
          <w:tcPr>
            <w:tcW w:w="1559" w:type="dxa"/>
            <w:tcBorders>
              <w:tl2br w:val="nil"/>
              <w:tr2bl w:val="nil"/>
            </w:tcBorders>
            <w:vAlign w:val="center"/>
          </w:tcPr>
          <w:p w14:paraId="58970E7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0.1L</w:t>
            </w:r>
          </w:p>
        </w:tc>
        <w:tc>
          <w:tcPr>
            <w:tcW w:w="1559" w:type="dxa"/>
            <w:tcBorders>
              <w:tl2br w:val="nil"/>
              <w:tr2bl w:val="nil"/>
            </w:tcBorders>
            <w:vAlign w:val="center"/>
          </w:tcPr>
          <w:p w14:paraId="65628976">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584" w:type="dxa"/>
            <w:tcBorders>
              <w:tl2br w:val="nil"/>
              <w:tr2bl w:val="nil"/>
            </w:tcBorders>
            <w:vAlign w:val="center"/>
          </w:tcPr>
          <w:p w14:paraId="68F9CC1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123108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7E1E68E2">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3DB13F2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茚并[1,2,3-cd]芘</w:t>
            </w:r>
          </w:p>
        </w:tc>
        <w:tc>
          <w:tcPr>
            <w:tcW w:w="1559" w:type="dxa"/>
            <w:tcBorders>
              <w:tl2br w:val="nil"/>
              <w:tr2bl w:val="nil"/>
            </w:tcBorders>
            <w:vAlign w:val="center"/>
          </w:tcPr>
          <w:p w14:paraId="52A93FD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0.1L</w:t>
            </w:r>
          </w:p>
        </w:tc>
        <w:tc>
          <w:tcPr>
            <w:tcW w:w="1559" w:type="dxa"/>
            <w:tcBorders>
              <w:tl2br w:val="nil"/>
              <w:tr2bl w:val="nil"/>
            </w:tcBorders>
            <w:vAlign w:val="center"/>
          </w:tcPr>
          <w:p w14:paraId="24A7379C">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584" w:type="dxa"/>
            <w:tcBorders>
              <w:tl2br w:val="nil"/>
              <w:tr2bl w:val="nil"/>
            </w:tcBorders>
            <w:vAlign w:val="center"/>
          </w:tcPr>
          <w:p w14:paraId="27C6C55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1EA0B6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1829B86E">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59D4B77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萘</w:t>
            </w:r>
          </w:p>
        </w:tc>
        <w:tc>
          <w:tcPr>
            <w:tcW w:w="1559" w:type="dxa"/>
            <w:tcBorders>
              <w:tl2br w:val="nil"/>
              <w:tr2bl w:val="nil"/>
            </w:tcBorders>
            <w:vAlign w:val="center"/>
          </w:tcPr>
          <w:p w14:paraId="3EE454D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0.09L</w:t>
            </w:r>
          </w:p>
        </w:tc>
        <w:tc>
          <w:tcPr>
            <w:tcW w:w="1559" w:type="dxa"/>
            <w:tcBorders>
              <w:tl2br w:val="nil"/>
              <w:tr2bl w:val="nil"/>
            </w:tcBorders>
            <w:vAlign w:val="center"/>
          </w:tcPr>
          <w:p w14:paraId="171B7E29">
            <w:pPr>
              <w:keepNext w:val="0"/>
              <w:keepLines w:val="0"/>
              <w:widowControl/>
              <w:suppressLineNumbers w:val="0"/>
              <w:jc w:val="center"/>
              <w:textAlignment w:val="top"/>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70</w:t>
            </w:r>
          </w:p>
        </w:tc>
        <w:tc>
          <w:tcPr>
            <w:tcW w:w="1584" w:type="dxa"/>
            <w:tcBorders>
              <w:tl2br w:val="nil"/>
              <w:tr2bl w:val="nil"/>
            </w:tcBorders>
            <w:vAlign w:val="center"/>
          </w:tcPr>
          <w:p w14:paraId="1711E4F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27E9EA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restart"/>
            <w:tcBorders>
              <w:tl2br w:val="nil"/>
              <w:tr2bl w:val="nil"/>
            </w:tcBorders>
            <w:vAlign w:val="center"/>
          </w:tcPr>
          <w:p w14:paraId="0A52F7A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T2大坝下游东侧农田</w:t>
            </w:r>
          </w:p>
        </w:tc>
        <w:tc>
          <w:tcPr>
            <w:tcW w:w="2484" w:type="dxa"/>
            <w:gridSpan w:val="2"/>
            <w:tcBorders>
              <w:tl2br w:val="nil"/>
              <w:tr2bl w:val="nil"/>
            </w:tcBorders>
            <w:vAlign w:val="center"/>
          </w:tcPr>
          <w:p w14:paraId="4DD2C0FC">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pH</w:t>
            </w:r>
          </w:p>
        </w:tc>
        <w:tc>
          <w:tcPr>
            <w:tcW w:w="1559" w:type="dxa"/>
            <w:tcBorders>
              <w:tl2br w:val="nil"/>
              <w:tr2bl w:val="nil"/>
            </w:tcBorders>
            <w:vAlign w:val="center"/>
          </w:tcPr>
          <w:p w14:paraId="5AFBDB6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7.21</w:t>
            </w:r>
          </w:p>
        </w:tc>
        <w:tc>
          <w:tcPr>
            <w:tcW w:w="1559" w:type="dxa"/>
            <w:tcBorders>
              <w:tl2br w:val="nil"/>
              <w:tr2bl w:val="nil"/>
            </w:tcBorders>
            <w:vAlign w:val="center"/>
          </w:tcPr>
          <w:p w14:paraId="24957AD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6.5-7.5</w:t>
            </w:r>
          </w:p>
        </w:tc>
        <w:tc>
          <w:tcPr>
            <w:tcW w:w="1584" w:type="dxa"/>
            <w:tcBorders>
              <w:tl2br w:val="nil"/>
              <w:tr2bl w:val="nil"/>
            </w:tcBorders>
            <w:vAlign w:val="center"/>
          </w:tcPr>
          <w:p w14:paraId="517E66F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331933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60060378">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36375146">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砷</w:t>
            </w:r>
          </w:p>
        </w:tc>
        <w:tc>
          <w:tcPr>
            <w:tcW w:w="1559" w:type="dxa"/>
            <w:tcBorders>
              <w:tl2br w:val="nil"/>
              <w:tr2bl w:val="nil"/>
            </w:tcBorders>
            <w:vAlign w:val="center"/>
          </w:tcPr>
          <w:p w14:paraId="2F01EA77">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17.9</w:t>
            </w:r>
          </w:p>
        </w:tc>
        <w:tc>
          <w:tcPr>
            <w:tcW w:w="1559" w:type="dxa"/>
            <w:tcBorders>
              <w:tl2br w:val="nil"/>
              <w:tr2bl w:val="nil"/>
            </w:tcBorders>
            <w:vAlign w:val="center"/>
          </w:tcPr>
          <w:p w14:paraId="2206185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25</w:t>
            </w:r>
          </w:p>
        </w:tc>
        <w:tc>
          <w:tcPr>
            <w:tcW w:w="1584" w:type="dxa"/>
            <w:tcBorders>
              <w:tl2br w:val="nil"/>
              <w:tr2bl w:val="nil"/>
            </w:tcBorders>
            <w:vAlign w:val="center"/>
          </w:tcPr>
          <w:p w14:paraId="7499F5B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5BD05B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4AA36A04">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49DDF155">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镉</w:t>
            </w:r>
          </w:p>
        </w:tc>
        <w:tc>
          <w:tcPr>
            <w:tcW w:w="1559" w:type="dxa"/>
            <w:tcBorders>
              <w:tl2br w:val="nil"/>
              <w:tr2bl w:val="nil"/>
            </w:tcBorders>
            <w:vAlign w:val="center"/>
          </w:tcPr>
          <w:p w14:paraId="1C68FEE0">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0.13</w:t>
            </w:r>
          </w:p>
        </w:tc>
        <w:tc>
          <w:tcPr>
            <w:tcW w:w="1559" w:type="dxa"/>
            <w:tcBorders>
              <w:tl2br w:val="nil"/>
              <w:tr2bl w:val="nil"/>
            </w:tcBorders>
            <w:vAlign w:val="center"/>
          </w:tcPr>
          <w:p w14:paraId="4BA1527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0.6</w:t>
            </w:r>
          </w:p>
        </w:tc>
        <w:tc>
          <w:tcPr>
            <w:tcW w:w="1584" w:type="dxa"/>
            <w:tcBorders>
              <w:tl2br w:val="nil"/>
              <w:tr2bl w:val="nil"/>
            </w:tcBorders>
            <w:vAlign w:val="center"/>
          </w:tcPr>
          <w:p w14:paraId="335CCD7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2E8430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6A149679">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73214DA2">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铜</w:t>
            </w:r>
          </w:p>
        </w:tc>
        <w:tc>
          <w:tcPr>
            <w:tcW w:w="1559" w:type="dxa"/>
            <w:tcBorders>
              <w:tl2br w:val="nil"/>
              <w:tr2bl w:val="nil"/>
            </w:tcBorders>
            <w:vAlign w:val="center"/>
          </w:tcPr>
          <w:p w14:paraId="1259F0FE">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40</w:t>
            </w:r>
          </w:p>
        </w:tc>
        <w:tc>
          <w:tcPr>
            <w:tcW w:w="1559" w:type="dxa"/>
            <w:tcBorders>
              <w:tl2br w:val="nil"/>
              <w:tr2bl w:val="nil"/>
            </w:tcBorders>
            <w:vAlign w:val="center"/>
          </w:tcPr>
          <w:p w14:paraId="050ABC4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200</w:t>
            </w:r>
          </w:p>
        </w:tc>
        <w:tc>
          <w:tcPr>
            <w:tcW w:w="1584" w:type="dxa"/>
            <w:tcBorders>
              <w:tl2br w:val="nil"/>
              <w:tr2bl w:val="nil"/>
            </w:tcBorders>
            <w:vAlign w:val="center"/>
          </w:tcPr>
          <w:p w14:paraId="150EE9C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790D1C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07E243EA">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230D7FC4">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铅</w:t>
            </w:r>
          </w:p>
        </w:tc>
        <w:tc>
          <w:tcPr>
            <w:tcW w:w="1559" w:type="dxa"/>
            <w:tcBorders>
              <w:tl2br w:val="nil"/>
              <w:tr2bl w:val="nil"/>
            </w:tcBorders>
            <w:vAlign w:val="center"/>
          </w:tcPr>
          <w:p w14:paraId="3B78DF20">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41</w:t>
            </w:r>
          </w:p>
        </w:tc>
        <w:tc>
          <w:tcPr>
            <w:tcW w:w="1559" w:type="dxa"/>
            <w:tcBorders>
              <w:tl2br w:val="nil"/>
              <w:tr2bl w:val="nil"/>
            </w:tcBorders>
            <w:vAlign w:val="center"/>
          </w:tcPr>
          <w:p w14:paraId="75A9ABC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300</w:t>
            </w:r>
          </w:p>
        </w:tc>
        <w:tc>
          <w:tcPr>
            <w:tcW w:w="1584" w:type="dxa"/>
            <w:tcBorders>
              <w:tl2br w:val="nil"/>
              <w:tr2bl w:val="nil"/>
            </w:tcBorders>
            <w:vAlign w:val="center"/>
          </w:tcPr>
          <w:p w14:paraId="14659F9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6BECE6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1B009BE4">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0B124D05">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汞</w:t>
            </w:r>
          </w:p>
        </w:tc>
        <w:tc>
          <w:tcPr>
            <w:tcW w:w="1559" w:type="dxa"/>
            <w:tcBorders>
              <w:tl2br w:val="nil"/>
              <w:tr2bl w:val="nil"/>
            </w:tcBorders>
            <w:vAlign w:val="center"/>
          </w:tcPr>
          <w:p w14:paraId="16CD48AA">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0.189</w:t>
            </w:r>
          </w:p>
        </w:tc>
        <w:tc>
          <w:tcPr>
            <w:tcW w:w="1559" w:type="dxa"/>
            <w:tcBorders>
              <w:tl2br w:val="nil"/>
              <w:tr2bl w:val="nil"/>
            </w:tcBorders>
            <w:vAlign w:val="center"/>
          </w:tcPr>
          <w:p w14:paraId="7CF6D6D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0.6</w:t>
            </w:r>
          </w:p>
        </w:tc>
        <w:tc>
          <w:tcPr>
            <w:tcW w:w="1584" w:type="dxa"/>
            <w:tcBorders>
              <w:tl2br w:val="nil"/>
              <w:tr2bl w:val="nil"/>
            </w:tcBorders>
            <w:vAlign w:val="center"/>
          </w:tcPr>
          <w:p w14:paraId="7BEBDA0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1E88E5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7A71D26C">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6448203C">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镍</w:t>
            </w:r>
          </w:p>
        </w:tc>
        <w:tc>
          <w:tcPr>
            <w:tcW w:w="1559" w:type="dxa"/>
            <w:tcBorders>
              <w:tl2br w:val="nil"/>
              <w:tr2bl w:val="nil"/>
            </w:tcBorders>
            <w:vAlign w:val="center"/>
          </w:tcPr>
          <w:p w14:paraId="0AF1ECC5">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35</w:t>
            </w:r>
          </w:p>
        </w:tc>
        <w:tc>
          <w:tcPr>
            <w:tcW w:w="1559" w:type="dxa"/>
            <w:tcBorders>
              <w:tl2br w:val="nil"/>
              <w:tr2bl w:val="nil"/>
            </w:tcBorders>
            <w:vAlign w:val="center"/>
          </w:tcPr>
          <w:p w14:paraId="5CFB80A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100</w:t>
            </w:r>
          </w:p>
        </w:tc>
        <w:tc>
          <w:tcPr>
            <w:tcW w:w="1584" w:type="dxa"/>
            <w:tcBorders>
              <w:tl2br w:val="nil"/>
              <w:tr2bl w:val="nil"/>
            </w:tcBorders>
            <w:vAlign w:val="center"/>
          </w:tcPr>
          <w:p w14:paraId="7E2EBDD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364911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9D99A97">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16CF6358">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含盐量（g/kg）</w:t>
            </w:r>
          </w:p>
        </w:tc>
        <w:tc>
          <w:tcPr>
            <w:tcW w:w="1559" w:type="dxa"/>
            <w:tcBorders>
              <w:tl2br w:val="nil"/>
              <w:tr2bl w:val="nil"/>
            </w:tcBorders>
            <w:vAlign w:val="center"/>
          </w:tcPr>
          <w:p w14:paraId="31B3D7F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1.2</w:t>
            </w:r>
          </w:p>
        </w:tc>
        <w:tc>
          <w:tcPr>
            <w:tcW w:w="1559" w:type="dxa"/>
            <w:tcBorders>
              <w:tl2br w:val="nil"/>
              <w:tr2bl w:val="nil"/>
            </w:tcBorders>
            <w:vAlign w:val="center"/>
          </w:tcPr>
          <w:p w14:paraId="6104B89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1584" w:type="dxa"/>
            <w:tcBorders>
              <w:tl2br w:val="nil"/>
              <w:tr2bl w:val="nil"/>
            </w:tcBorders>
            <w:vAlign w:val="center"/>
          </w:tcPr>
          <w:p w14:paraId="6DA9386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1611B0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0F65E26A">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3E99FE0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锌</w:t>
            </w:r>
          </w:p>
        </w:tc>
        <w:tc>
          <w:tcPr>
            <w:tcW w:w="1559" w:type="dxa"/>
            <w:tcBorders>
              <w:tl2br w:val="nil"/>
              <w:tr2bl w:val="nil"/>
            </w:tcBorders>
            <w:vAlign w:val="center"/>
          </w:tcPr>
          <w:p w14:paraId="23153BDA">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142</w:t>
            </w:r>
          </w:p>
        </w:tc>
        <w:tc>
          <w:tcPr>
            <w:tcW w:w="1559" w:type="dxa"/>
            <w:tcBorders>
              <w:tl2br w:val="nil"/>
              <w:tr2bl w:val="nil"/>
            </w:tcBorders>
            <w:vAlign w:val="center"/>
          </w:tcPr>
          <w:p w14:paraId="0709FF0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250</w:t>
            </w:r>
          </w:p>
        </w:tc>
        <w:tc>
          <w:tcPr>
            <w:tcW w:w="1584" w:type="dxa"/>
            <w:tcBorders>
              <w:tl2br w:val="nil"/>
              <w:tr2bl w:val="nil"/>
            </w:tcBorders>
            <w:vAlign w:val="center"/>
          </w:tcPr>
          <w:p w14:paraId="308B6EE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5EEDB3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3EAEBD96">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660FF494">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总铬</w:t>
            </w:r>
          </w:p>
        </w:tc>
        <w:tc>
          <w:tcPr>
            <w:tcW w:w="1559" w:type="dxa"/>
            <w:tcBorders>
              <w:tl2br w:val="nil"/>
              <w:tr2bl w:val="nil"/>
            </w:tcBorders>
            <w:vAlign w:val="center"/>
          </w:tcPr>
          <w:p w14:paraId="5A585DF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32</w:t>
            </w:r>
          </w:p>
        </w:tc>
        <w:tc>
          <w:tcPr>
            <w:tcW w:w="1559" w:type="dxa"/>
            <w:tcBorders>
              <w:tl2br w:val="nil"/>
              <w:tr2bl w:val="nil"/>
            </w:tcBorders>
            <w:vAlign w:val="center"/>
          </w:tcPr>
          <w:p w14:paraId="25FBE86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300</w:t>
            </w:r>
          </w:p>
        </w:tc>
        <w:tc>
          <w:tcPr>
            <w:tcW w:w="1584" w:type="dxa"/>
            <w:tcBorders>
              <w:tl2br w:val="nil"/>
              <w:tr2bl w:val="nil"/>
            </w:tcBorders>
            <w:vAlign w:val="center"/>
          </w:tcPr>
          <w:p w14:paraId="347AAF7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3568B3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restart"/>
            <w:tcBorders>
              <w:tl2br w:val="nil"/>
              <w:tr2bl w:val="nil"/>
            </w:tcBorders>
            <w:vAlign w:val="center"/>
          </w:tcPr>
          <w:p w14:paraId="3B7578B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T3库区中部右岸林地</w:t>
            </w:r>
          </w:p>
        </w:tc>
        <w:tc>
          <w:tcPr>
            <w:tcW w:w="2484" w:type="dxa"/>
            <w:gridSpan w:val="2"/>
            <w:tcBorders>
              <w:tl2br w:val="nil"/>
              <w:tr2bl w:val="nil"/>
            </w:tcBorders>
            <w:vAlign w:val="center"/>
          </w:tcPr>
          <w:p w14:paraId="12EF63DE">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pH</w:t>
            </w:r>
          </w:p>
        </w:tc>
        <w:tc>
          <w:tcPr>
            <w:tcW w:w="1559" w:type="dxa"/>
            <w:tcBorders>
              <w:tl2br w:val="nil"/>
              <w:tr2bl w:val="nil"/>
            </w:tcBorders>
            <w:vAlign w:val="center"/>
          </w:tcPr>
          <w:p w14:paraId="2BCA8008">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7.23</w:t>
            </w:r>
          </w:p>
        </w:tc>
        <w:tc>
          <w:tcPr>
            <w:tcW w:w="1559" w:type="dxa"/>
            <w:tcBorders>
              <w:tl2br w:val="nil"/>
              <w:tr2bl w:val="nil"/>
            </w:tcBorders>
            <w:vAlign w:val="center"/>
          </w:tcPr>
          <w:p w14:paraId="61F5757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6.5-7.5</w:t>
            </w:r>
          </w:p>
        </w:tc>
        <w:tc>
          <w:tcPr>
            <w:tcW w:w="1584" w:type="dxa"/>
            <w:tcBorders>
              <w:tl2br w:val="nil"/>
              <w:tr2bl w:val="nil"/>
            </w:tcBorders>
            <w:vAlign w:val="center"/>
          </w:tcPr>
          <w:p w14:paraId="06DB300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01C54F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21F98921">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5654A866">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砷</w:t>
            </w:r>
          </w:p>
        </w:tc>
        <w:tc>
          <w:tcPr>
            <w:tcW w:w="1559" w:type="dxa"/>
            <w:tcBorders>
              <w:tl2br w:val="nil"/>
              <w:tr2bl w:val="nil"/>
            </w:tcBorders>
            <w:vAlign w:val="center"/>
          </w:tcPr>
          <w:p w14:paraId="50C68F0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20.6</w:t>
            </w:r>
          </w:p>
        </w:tc>
        <w:tc>
          <w:tcPr>
            <w:tcW w:w="1559" w:type="dxa"/>
            <w:tcBorders>
              <w:tl2br w:val="nil"/>
              <w:tr2bl w:val="nil"/>
            </w:tcBorders>
            <w:vAlign w:val="center"/>
          </w:tcPr>
          <w:p w14:paraId="661E2CB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30</w:t>
            </w:r>
          </w:p>
        </w:tc>
        <w:tc>
          <w:tcPr>
            <w:tcW w:w="1584" w:type="dxa"/>
            <w:tcBorders>
              <w:tl2br w:val="nil"/>
              <w:tr2bl w:val="nil"/>
            </w:tcBorders>
            <w:vAlign w:val="center"/>
          </w:tcPr>
          <w:p w14:paraId="735B6D7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79F559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3EE7C356">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4C55F5B4">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镉</w:t>
            </w:r>
          </w:p>
        </w:tc>
        <w:tc>
          <w:tcPr>
            <w:tcW w:w="1559" w:type="dxa"/>
            <w:tcBorders>
              <w:tl2br w:val="nil"/>
              <w:tr2bl w:val="nil"/>
            </w:tcBorders>
            <w:vAlign w:val="center"/>
          </w:tcPr>
          <w:p w14:paraId="62369910">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0.18</w:t>
            </w:r>
          </w:p>
        </w:tc>
        <w:tc>
          <w:tcPr>
            <w:tcW w:w="1559" w:type="dxa"/>
            <w:tcBorders>
              <w:tl2br w:val="nil"/>
              <w:tr2bl w:val="nil"/>
            </w:tcBorders>
            <w:vAlign w:val="center"/>
          </w:tcPr>
          <w:p w14:paraId="08BA856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w:t>
            </w:r>
          </w:p>
        </w:tc>
        <w:tc>
          <w:tcPr>
            <w:tcW w:w="1584" w:type="dxa"/>
            <w:tcBorders>
              <w:tl2br w:val="nil"/>
              <w:tr2bl w:val="nil"/>
            </w:tcBorders>
            <w:vAlign w:val="center"/>
          </w:tcPr>
          <w:p w14:paraId="36499CF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1A13AF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3931C66E">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3BC27427">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铜</w:t>
            </w:r>
          </w:p>
        </w:tc>
        <w:tc>
          <w:tcPr>
            <w:tcW w:w="1559" w:type="dxa"/>
            <w:tcBorders>
              <w:tl2br w:val="nil"/>
              <w:tr2bl w:val="nil"/>
            </w:tcBorders>
            <w:vAlign w:val="center"/>
          </w:tcPr>
          <w:p w14:paraId="6F4E3E24">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98</w:t>
            </w:r>
          </w:p>
        </w:tc>
        <w:tc>
          <w:tcPr>
            <w:tcW w:w="1559" w:type="dxa"/>
            <w:tcBorders>
              <w:tl2br w:val="nil"/>
              <w:tr2bl w:val="nil"/>
            </w:tcBorders>
            <w:vAlign w:val="center"/>
          </w:tcPr>
          <w:p w14:paraId="7537C4E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100</w:t>
            </w:r>
          </w:p>
        </w:tc>
        <w:tc>
          <w:tcPr>
            <w:tcW w:w="1584" w:type="dxa"/>
            <w:tcBorders>
              <w:tl2br w:val="nil"/>
              <w:tr2bl w:val="nil"/>
            </w:tcBorders>
            <w:vAlign w:val="center"/>
          </w:tcPr>
          <w:p w14:paraId="26AF73C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53C7A3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797E3BD5">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09CC7EEB">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铅</w:t>
            </w:r>
          </w:p>
        </w:tc>
        <w:tc>
          <w:tcPr>
            <w:tcW w:w="1559" w:type="dxa"/>
            <w:tcBorders>
              <w:tl2br w:val="nil"/>
              <w:tr2bl w:val="nil"/>
            </w:tcBorders>
            <w:vAlign w:val="center"/>
          </w:tcPr>
          <w:p w14:paraId="3FAD5B24">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66</w:t>
            </w:r>
          </w:p>
        </w:tc>
        <w:tc>
          <w:tcPr>
            <w:tcW w:w="1559" w:type="dxa"/>
            <w:tcBorders>
              <w:tl2br w:val="nil"/>
              <w:tr2bl w:val="nil"/>
            </w:tcBorders>
            <w:vAlign w:val="center"/>
          </w:tcPr>
          <w:p w14:paraId="6DC4CC4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120</w:t>
            </w:r>
          </w:p>
        </w:tc>
        <w:tc>
          <w:tcPr>
            <w:tcW w:w="1584" w:type="dxa"/>
            <w:tcBorders>
              <w:tl2br w:val="nil"/>
              <w:tr2bl w:val="nil"/>
            </w:tcBorders>
            <w:vAlign w:val="center"/>
          </w:tcPr>
          <w:p w14:paraId="6D2C7F4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2DC543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459AA101">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58DC3232">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汞</w:t>
            </w:r>
          </w:p>
        </w:tc>
        <w:tc>
          <w:tcPr>
            <w:tcW w:w="1559" w:type="dxa"/>
            <w:tcBorders>
              <w:tl2br w:val="nil"/>
              <w:tr2bl w:val="nil"/>
            </w:tcBorders>
            <w:vAlign w:val="center"/>
          </w:tcPr>
          <w:p w14:paraId="7CB5F39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0.227</w:t>
            </w:r>
          </w:p>
        </w:tc>
        <w:tc>
          <w:tcPr>
            <w:tcW w:w="1559" w:type="dxa"/>
            <w:tcBorders>
              <w:tl2br w:val="nil"/>
              <w:tr2bl w:val="nil"/>
            </w:tcBorders>
            <w:vAlign w:val="center"/>
          </w:tcPr>
          <w:p w14:paraId="10E776B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2.4</w:t>
            </w:r>
          </w:p>
        </w:tc>
        <w:tc>
          <w:tcPr>
            <w:tcW w:w="1584" w:type="dxa"/>
            <w:tcBorders>
              <w:tl2br w:val="nil"/>
              <w:tr2bl w:val="nil"/>
            </w:tcBorders>
            <w:vAlign w:val="center"/>
          </w:tcPr>
          <w:p w14:paraId="204A30B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0964A1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6280DC88">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75DC6E58">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镍</w:t>
            </w:r>
          </w:p>
        </w:tc>
        <w:tc>
          <w:tcPr>
            <w:tcW w:w="1559" w:type="dxa"/>
            <w:tcBorders>
              <w:tl2br w:val="nil"/>
              <w:tr2bl w:val="nil"/>
            </w:tcBorders>
            <w:vAlign w:val="center"/>
          </w:tcPr>
          <w:p w14:paraId="3E20DD4B">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19</w:t>
            </w:r>
          </w:p>
        </w:tc>
        <w:tc>
          <w:tcPr>
            <w:tcW w:w="1559" w:type="dxa"/>
            <w:tcBorders>
              <w:tl2br w:val="nil"/>
              <w:tr2bl w:val="nil"/>
            </w:tcBorders>
            <w:vAlign w:val="center"/>
          </w:tcPr>
          <w:p w14:paraId="78E9C9B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100</w:t>
            </w:r>
          </w:p>
        </w:tc>
        <w:tc>
          <w:tcPr>
            <w:tcW w:w="1584" w:type="dxa"/>
            <w:tcBorders>
              <w:tl2br w:val="nil"/>
              <w:tr2bl w:val="nil"/>
            </w:tcBorders>
            <w:vAlign w:val="center"/>
          </w:tcPr>
          <w:p w14:paraId="418B9D5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4B4FAD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276AFF18">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151420F1">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含盐量（g/kg）</w:t>
            </w:r>
          </w:p>
        </w:tc>
        <w:tc>
          <w:tcPr>
            <w:tcW w:w="1559" w:type="dxa"/>
            <w:tcBorders>
              <w:tl2br w:val="nil"/>
              <w:tr2bl w:val="nil"/>
            </w:tcBorders>
            <w:vAlign w:val="center"/>
          </w:tcPr>
          <w:p w14:paraId="32F2B898">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1.2</w:t>
            </w:r>
          </w:p>
        </w:tc>
        <w:tc>
          <w:tcPr>
            <w:tcW w:w="1559" w:type="dxa"/>
            <w:tcBorders>
              <w:tl2br w:val="nil"/>
              <w:tr2bl w:val="nil"/>
            </w:tcBorders>
            <w:vAlign w:val="center"/>
          </w:tcPr>
          <w:p w14:paraId="1E215EC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1584" w:type="dxa"/>
            <w:tcBorders>
              <w:tl2br w:val="nil"/>
              <w:tr2bl w:val="nil"/>
            </w:tcBorders>
            <w:vAlign w:val="center"/>
          </w:tcPr>
          <w:p w14:paraId="5EE6117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43C25C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1FBAF0FA">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1DEF2794">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锌</w:t>
            </w:r>
          </w:p>
        </w:tc>
        <w:tc>
          <w:tcPr>
            <w:tcW w:w="1559" w:type="dxa"/>
            <w:tcBorders>
              <w:tl2br w:val="nil"/>
              <w:tr2bl w:val="nil"/>
            </w:tcBorders>
            <w:vAlign w:val="center"/>
          </w:tcPr>
          <w:p w14:paraId="6D390DC3">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129</w:t>
            </w:r>
          </w:p>
        </w:tc>
        <w:tc>
          <w:tcPr>
            <w:tcW w:w="1559" w:type="dxa"/>
            <w:tcBorders>
              <w:tl2br w:val="nil"/>
              <w:tr2bl w:val="nil"/>
            </w:tcBorders>
            <w:vAlign w:val="center"/>
          </w:tcPr>
          <w:p w14:paraId="043FEFD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250</w:t>
            </w:r>
          </w:p>
        </w:tc>
        <w:tc>
          <w:tcPr>
            <w:tcW w:w="1584" w:type="dxa"/>
            <w:tcBorders>
              <w:tl2br w:val="nil"/>
              <w:tr2bl w:val="nil"/>
            </w:tcBorders>
            <w:vAlign w:val="center"/>
          </w:tcPr>
          <w:p w14:paraId="3F65A4A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1233D9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75A2DA70">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6C06FF04">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总铬</w:t>
            </w:r>
          </w:p>
        </w:tc>
        <w:tc>
          <w:tcPr>
            <w:tcW w:w="1559" w:type="dxa"/>
            <w:tcBorders>
              <w:tl2br w:val="nil"/>
              <w:tr2bl w:val="nil"/>
            </w:tcBorders>
            <w:vAlign w:val="center"/>
          </w:tcPr>
          <w:p w14:paraId="16DA6B80">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14</w:t>
            </w:r>
          </w:p>
        </w:tc>
        <w:tc>
          <w:tcPr>
            <w:tcW w:w="1559" w:type="dxa"/>
            <w:tcBorders>
              <w:tl2br w:val="nil"/>
              <w:tr2bl w:val="nil"/>
            </w:tcBorders>
            <w:vAlign w:val="center"/>
          </w:tcPr>
          <w:p w14:paraId="14CDFF0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200</w:t>
            </w:r>
          </w:p>
        </w:tc>
        <w:tc>
          <w:tcPr>
            <w:tcW w:w="1584" w:type="dxa"/>
            <w:tcBorders>
              <w:tl2br w:val="nil"/>
              <w:tr2bl w:val="nil"/>
            </w:tcBorders>
            <w:vAlign w:val="center"/>
          </w:tcPr>
          <w:p w14:paraId="7C76E4A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5234FC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restart"/>
            <w:tcBorders>
              <w:tl2br w:val="nil"/>
              <w:tr2bl w:val="nil"/>
            </w:tcBorders>
            <w:vAlign w:val="center"/>
          </w:tcPr>
          <w:p w14:paraId="587683AC">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T4水库大坝取水口附近底泥</w:t>
            </w:r>
          </w:p>
        </w:tc>
        <w:tc>
          <w:tcPr>
            <w:tcW w:w="2484" w:type="dxa"/>
            <w:gridSpan w:val="2"/>
            <w:tcBorders>
              <w:tl2br w:val="nil"/>
              <w:tr2bl w:val="nil"/>
            </w:tcBorders>
            <w:vAlign w:val="center"/>
          </w:tcPr>
          <w:p w14:paraId="405B9EF6">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pH</w:t>
            </w:r>
          </w:p>
        </w:tc>
        <w:tc>
          <w:tcPr>
            <w:tcW w:w="1559" w:type="dxa"/>
            <w:tcBorders>
              <w:tl2br w:val="nil"/>
              <w:tr2bl w:val="nil"/>
            </w:tcBorders>
            <w:vAlign w:val="center"/>
          </w:tcPr>
          <w:p w14:paraId="2D61D1A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7.23</w:t>
            </w:r>
          </w:p>
        </w:tc>
        <w:tc>
          <w:tcPr>
            <w:tcW w:w="1559" w:type="dxa"/>
            <w:tcBorders>
              <w:tl2br w:val="nil"/>
              <w:tr2bl w:val="nil"/>
            </w:tcBorders>
            <w:vAlign w:val="center"/>
          </w:tcPr>
          <w:p w14:paraId="532105D4">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6.5-7.5</w:t>
            </w:r>
          </w:p>
        </w:tc>
        <w:tc>
          <w:tcPr>
            <w:tcW w:w="1584" w:type="dxa"/>
            <w:tcBorders>
              <w:tl2br w:val="nil"/>
              <w:tr2bl w:val="nil"/>
            </w:tcBorders>
            <w:vAlign w:val="center"/>
          </w:tcPr>
          <w:p w14:paraId="68FDFD84">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74E553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2C2D6DB">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489871E7">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镉</w:t>
            </w:r>
          </w:p>
        </w:tc>
        <w:tc>
          <w:tcPr>
            <w:tcW w:w="1559" w:type="dxa"/>
            <w:tcBorders>
              <w:tl2br w:val="nil"/>
              <w:tr2bl w:val="nil"/>
            </w:tcBorders>
            <w:vAlign w:val="center"/>
          </w:tcPr>
          <w:p w14:paraId="50B9049F">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0.20</w:t>
            </w:r>
          </w:p>
        </w:tc>
        <w:tc>
          <w:tcPr>
            <w:tcW w:w="1559" w:type="dxa"/>
            <w:tcBorders>
              <w:tl2br w:val="nil"/>
              <w:tr2bl w:val="nil"/>
            </w:tcBorders>
            <w:vAlign w:val="center"/>
          </w:tcPr>
          <w:p w14:paraId="56EDE0EA">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0.3</w:t>
            </w:r>
          </w:p>
        </w:tc>
        <w:tc>
          <w:tcPr>
            <w:tcW w:w="1584" w:type="dxa"/>
            <w:tcBorders>
              <w:tl2br w:val="nil"/>
              <w:tr2bl w:val="nil"/>
            </w:tcBorders>
            <w:vAlign w:val="center"/>
          </w:tcPr>
          <w:p w14:paraId="52C99C6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4F1CFB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6A2D1D89">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3C675F69">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汞</w:t>
            </w:r>
          </w:p>
        </w:tc>
        <w:tc>
          <w:tcPr>
            <w:tcW w:w="1559" w:type="dxa"/>
            <w:tcBorders>
              <w:tl2br w:val="nil"/>
              <w:tr2bl w:val="nil"/>
            </w:tcBorders>
            <w:vAlign w:val="center"/>
          </w:tcPr>
          <w:p w14:paraId="082365F4">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0.204</w:t>
            </w:r>
          </w:p>
        </w:tc>
        <w:tc>
          <w:tcPr>
            <w:tcW w:w="1559" w:type="dxa"/>
            <w:tcBorders>
              <w:tl2br w:val="nil"/>
              <w:tr2bl w:val="nil"/>
            </w:tcBorders>
            <w:vAlign w:val="center"/>
          </w:tcPr>
          <w:p w14:paraId="3294B638">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2.4</w:t>
            </w:r>
          </w:p>
        </w:tc>
        <w:tc>
          <w:tcPr>
            <w:tcW w:w="1584" w:type="dxa"/>
            <w:tcBorders>
              <w:tl2br w:val="nil"/>
              <w:tr2bl w:val="nil"/>
            </w:tcBorders>
            <w:vAlign w:val="center"/>
          </w:tcPr>
          <w:p w14:paraId="2CC3E36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6B0B9C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DE461E7">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61995F55">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砷</w:t>
            </w:r>
          </w:p>
        </w:tc>
        <w:tc>
          <w:tcPr>
            <w:tcW w:w="1559" w:type="dxa"/>
            <w:tcBorders>
              <w:tl2br w:val="nil"/>
              <w:tr2bl w:val="nil"/>
            </w:tcBorders>
            <w:vAlign w:val="center"/>
          </w:tcPr>
          <w:p w14:paraId="4E204822">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17.7</w:t>
            </w:r>
          </w:p>
        </w:tc>
        <w:tc>
          <w:tcPr>
            <w:tcW w:w="1559" w:type="dxa"/>
            <w:tcBorders>
              <w:tl2br w:val="nil"/>
              <w:tr2bl w:val="nil"/>
            </w:tcBorders>
            <w:vAlign w:val="center"/>
          </w:tcPr>
          <w:p w14:paraId="3E7A434E">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30</w:t>
            </w:r>
          </w:p>
        </w:tc>
        <w:tc>
          <w:tcPr>
            <w:tcW w:w="1584" w:type="dxa"/>
            <w:tcBorders>
              <w:tl2br w:val="nil"/>
              <w:tr2bl w:val="nil"/>
            </w:tcBorders>
            <w:vAlign w:val="center"/>
          </w:tcPr>
          <w:p w14:paraId="31A6B06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3056BC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793B9CF8">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5EAD56BF">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铅</w:t>
            </w:r>
          </w:p>
        </w:tc>
        <w:tc>
          <w:tcPr>
            <w:tcW w:w="1559" w:type="dxa"/>
            <w:tcBorders>
              <w:tl2br w:val="nil"/>
              <w:tr2bl w:val="nil"/>
            </w:tcBorders>
            <w:vAlign w:val="center"/>
          </w:tcPr>
          <w:p w14:paraId="68A1C265">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55</w:t>
            </w:r>
          </w:p>
        </w:tc>
        <w:tc>
          <w:tcPr>
            <w:tcW w:w="1559" w:type="dxa"/>
            <w:tcBorders>
              <w:tl2br w:val="nil"/>
              <w:tr2bl w:val="nil"/>
            </w:tcBorders>
            <w:vAlign w:val="center"/>
          </w:tcPr>
          <w:p w14:paraId="06E861F6">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120</w:t>
            </w:r>
          </w:p>
        </w:tc>
        <w:tc>
          <w:tcPr>
            <w:tcW w:w="1584" w:type="dxa"/>
            <w:tcBorders>
              <w:tl2br w:val="nil"/>
              <w:tr2bl w:val="nil"/>
            </w:tcBorders>
            <w:vAlign w:val="center"/>
          </w:tcPr>
          <w:p w14:paraId="4A21DB0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59FDEC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995D428">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55068F3F">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铬</w:t>
            </w:r>
          </w:p>
        </w:tc>
        <w:tc>
          <w:tcPr>
            <w:tcW w:w="1559" w:type="dxa"/>
            <w:tcBorders>
              <w:tl2br w:val="nil"/>
              <w:tr2bl w:val="nil"/>
            </w:tcBorders>
            <w:vAlign w:val="center"/>
          </w:tcPr>
          <w:p w14:paraId="62A641F5">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23</w:t>
            </w:r>
          </w:p>
        </w:tc>
        <w:tc>
          <w:tcPr>
            <w:tcW w:w="1559" w:type="dxa"/>
            <w:tcBorders>
              <w:tl2br w:val="nil"/>
              <w:tr2bl w:val="nil"/>
            </w:tcBorders>
            <w:vAlign w:val="center"/>
          </w:tcPr>
          <w:p w14:paraId="76201DAF">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200</w:t>
            </w:r>
          </w:p>
        </w:tc>
        <w:tc>
          <w:tcPr>
            <w:tcW w:w="1584" w:type="dxa"/>
            <w:tcBorders>
              <w:tl2br w:val="nil"/>
              <w:tr2bl w:val="nil"/>
            </w:tcBorders>
            <w:vAlign w:val="center"/>
          </w:tcPr>
          <w:p w14:paraId="3212100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025418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33C6786A">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114BDA17">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铜</w:t>
            </w:r>
          </w:p>
        </w:tc>
        <w:tc>
          <w:tcPr>
            <w:tcW w:w="1559" w:type="dxa"/>
            <w:tcBorders>
              <w:tl2br w:val="nil"/>
              <w:tr2bl w:val="nil"/>
            </w:tcBorders>
            <w:vAlign w:val="center"/>
          </w:tcPr>
          <w:p w14:paraId="331E3D3C">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40</w:t>
            </w:r>
          </w:p>
        </w:tc>
        <w:tc>
          <w:tcPr>
            <w:tcW w:w="1559" w:type="dxa"/>
            <w:tcBorders>
              <w:tl2br w:val="nil"/>
              <w:tr2bl w:val="nil"/>
            </w:tcBorders>
            <w:vAlign w:val="center"/>
          </w:tcPr>
          <w:p w14:paraId="50BFF8B4">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100</w:t>
            </w:r>
          </w:p>
        </w:tc>
        <w:tc>
          <w:tcPr>
            <w:tcW w:w="1584" w:type="dxa"/>
            <w:tcBorders>
              <w:tl2br w:val="nil"/>
              <w:tr2bl w:val="nil"/>
            </w:tcBorders>
            <w:vAlign w:val="center"/>
          </w:tcPr>
          <w:p w14:paraId="0BBBA7D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4D31A4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B581C93">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5B654BFC">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锌</w:t>
            </w:r>
          </w:p>
        </w:tc>
        <w:tc>
          <w:tcPr>
            <w:tcW w:w="1559" w:type="dxa"/>
            <w:tcBorders>
              <w:tl2br w:val="nil"/>
              <w:tr2bl w:val="nil"/>
            </w:tcBorders>
            <w:vAlign w:val="center"/>
          </w:tcPr>
          <w:p w14:paraId="3D6DF87C">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155</w:t>
            </w:r>
          </w:p>
        </w:tc>
        <w:tc>
          <w:tcPr>
            <w:tcW w:w="1559" w:type="dxa"/>
            <w:tcBorders>
              <w:tl2br w:val="nil"/>
              <w:tr2bl w:val="nil"/>
            </w:tcBorders>
            <w:vAlign w:val="center"/>
          </w:tcPr>
          <w:p w14:paraId="20831AD8">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250</w:t>
            </w:r>
          </w:p>
        </w:tc>
        <w:tc>
          <w:tcPr>
            <w:tcW w:w="1584" w:type="dxa"/>
            <w:tcBorders>
              <w:tl2br w:val="nil"/>
              <w:tr2bl w:val="nil"/>
            </w:tcBorders>
            <w:vAlign w:val="center"/>
          </w:tcPr>
          <w:p w14:paraId="46158F2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56BBEE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51141F49">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49D2A8C8">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镍</w:t>
            </w:r>
          </w:p>
        </w:tc>
        <w:tc>
          <w:tcPr>
            <w:tcW w:w="1559" w:type="dxa"/>
            <w:tcBorders>
              <w:tl2br w:val="nil"/>
              <w:tr2bl w:val="nil"/>
            </w:tcBorders>
            <w:vAlign w:val="center"/>
          </w:tcPr>
          <w:p w14:paraId="22191B87">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27</w:t>
            </w:r>
          </w:p>
        </w:tc>
        <w:tc>
          <w:tcPr>
            <w:tcW w:w="1559" w:type="dxa"/>
            <w:tcBorders>
              <w:tl2br w:val="nil"/>
              <w:tr2bl w:val="nil"/>
            </w:tcBorders>
            <w:vAlign w:val="center"/>
          </w:tcPr>
          <w:p w14:paraId="2B87BD62">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100</w:t>
            </w:r>
          </w:p>
        </w:tc>
        <w:tc>
          <w:tcPr>
            <w:tcW w:w="1584" w:type="dxa"/>
            <w:tcBorders>
              <w:tl2br w:val="nil"/>
              <w:tr2bl w:val="nil"/>
            </w:tcBorders>
            <w:vAlign w:val="center"/>
          </w:tcPr>
          <w:p w14:paraId="77A0275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03A6CD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34" w:type="dxa"/>
            <w:vMerge w:val="continue"/>
            <w:tcBorders>
              <w:tl2br w:val="nil"/>
              <w:tr2bl w:val="nil"/>
            </w:tcBorders>
            <w:vAlign w:val="center"/>
          </w:tcPr>
          <w:p w14:paraId="06822189">
            <w:pPr>
              <w:jc w:val="center"/>
              <w:rPr>
                <w:rFonts w:hint="default" w:ascii="Times New Roman" w:hAnsi="Times New Roman" w:eastAsia="宋体" w:cs="Times New Roman"/>
                <w:sz w:val="21"/>
                <w:szCs w:val="21"/>
                <w:lang w:val="en-US" w:eastAsia="zh-CN"/>
              </w:rPr>
            </w:pPr>
          </w:p>
        </w:tc>
        <w:tc>
          <w:tcPr>
            <w:tcW w:w="2484" w:type="dxa"/>
            <w:gridSpan w:val="2"/>
            <w:tcBorders>
              <w:tl2br w:val="nil"/>
              <w:tr2bl w:val="nil"/>
            </w:tcBorders>
            <w:vAlign w:val="center"/>
          </w:tcPr>
          <w:p w14:paraId="254DEB06">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含盐量（g/kg）</w:t>
            </w:r>
          </w:p>
        </w:tc>
        <w:tc>
          <w:tcPr>
            <w:tcW w:w="1559" w:type="dxa"/>
            <w:tcBorders>
              <w:tl2br w:val="nil"/>
              <w:tr2bl w:val="nil"/>
            </w:tcBorders>
            <w:vAlign w:val="center"/>
          </w:tcPr>
          <w:p w14:paraId="454C6C43">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1.2</w:t>
            </w:r>
          </w:p>
        </w:tc>
        <w:tc>
          <w:tcPr>
            <w:tcW w:w="1559" w:type="dxa"/>
            <w:tcBorders>
              <w:tl2br w:val="nil"/>
              <w:tr2bl w:val="nil"/>
            </w:tcBorders>
            <w:vAlign w:val="center"/>
          </w:tcPr>
          <w:p w14:paraId="17FCCF32">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w:t>
            </w:r>
          </w:p>
        </w:tc>
        <w:tc>
          <w:tcPr>
            <w:tcW w:w="1584" w:type="dxa"/>
            <w:tcBorders>
              <w:tl2br w:val="nil"/>
              <w:tr2bl w:val="nil"/>
            </w:tcBorders>
            <w:vAlign w:val="center"/>
          </w:tcPr>
          <w:p w14:paraId="01CF100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tc>
      </w:tr>
      <w:tr w14:paraId="6F132F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20" w:type="dxa"/>
            <w:gridSpan w:val="6"/>
            <w:tcBorders>
              <w:tl2br w:val="nil"/>
              <w:tr2bl w:val="nil"/>
            </w:tcBorders>
            <w:vAlign w:val="center"/>
          </w:tcPr>
          <w:p w14:paraId="3899F077">
            <w:pPr>
              <w:widowControl/>
              <w:spacing w:line="12" w:lineRule="atLeast"/>
              <w:ind w:left="-105" w:leftChars="-50" w:right="-105" w:rightChars="-50" w:firstLine="210" w:firstLineChars="10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备注：“检出限+L”表示检测结果低于本方法检出限，未检出。</w:t>
            </w:r>
          </w:p>
        </w:tc>
      </w:tr>
    </w:tbl>
    <w:p w14:paraId="12A314B5">
      <w:pPr>
        <w:pStyle w:val="7"/>
        <w:rPr>
          <w:rFonts w:hint="default" w:ascii="Times New Roman" w:hAnsi="Times New Roman" w:eastAsia="宋体" w:cs="Times New Roman"/>
          <w:b/>
          <w:caps w:val="0"/>
          <w:smallCaps w:val="0"/>
          <w:color w:val="auto"/>
          <w:spacing w:val="0"/>
          <w:w w:val="100"/>
          <w:position w:val="0"/>
          <w:sz w:val="21"/>
          <w:szCs w:val="21"/>
          <w:u w:val="none" w:color="auto"/>
        </w:rPr>
      </w:pPr>
    </w:p>
    <w:p w14:paraId="38A45035">
      <w:pPr>
        <w:adjustRightInd w:val="0"/>
        <w:snapToGrid w:val="0"/>
        <w:spacing w:line="360" w:lineRule="auto"/>
        <w:ind w:firstLine="480" w:firstLineChars="200"/>
        <w:rPr>
          <w:rFonts w:hint="default" w:ascii="Times New Roman" w:hAnsi="Times New Roman" w:eastAsia="宋体" w:cs="Times New Roman"/>
          <w:color w:val="auto"/>
          <w:spacing w:val="0"/>
          <w:w w:val="100"/>
          <w:position w:val="0"/>
          <w:sz w:val="24"/>
          <w:szCs w:val="24"/>
          <w:u w:val="none" w:color="auto"/>
          <w:lang w:eastAsia="zh-CN"/>
        </w:rPr>
      </w:pPr>
      <w:bookmarkStart w:id="180" w:name="_Toc13428"/>
      <w:bookmarkStart w:id="181" w:name="_Toc24809"/>
      <w:r>
        <w:rPr>
          <w:rFonts w:hint="default" w:ascii="Times New Roman" w:hAnsi="Times New Roman" w:eastAsia="宋体" w:cs="Times New Roman"/>
          <w:color w:val="auto"/>
          <w:sz w:val="24"/>
          <w:highlight w:val="none"/>
          <w:u w:val="none" w:color="auto"/>
          <w:lang w:eastAsia="zh-CN"/>
        </w:rPr>
        <w:t>由上表可知，</w:t>
      </w:r>
      <w:r>
        <w:rPr>
          <w:rFonts w:hint="default" w:ascii="Times New Roman" w:hAnsi="Times New Roman" w:eastAsia="宋体" w:cs="Times New Roman"/>
          <w:color w:val="auto"/>
          <w:sz w:val="24"/>
          <w:highlight w:val="none"/>
          <w:u w:val="none" w:color="auto"/>
          <w:lang w:val="en-US" w:eastAsia="zh-CN"/>
        </w:rPr>
        <w:t>土壤环境影响评价范围内的土壤</w:t>
      </w:r>
      <w:r>
        <w:rPr>
          <w:rFonts w:hint="eastAsia" w:ascii="Times New Roman" w:hAnsi="Times New Roman" w:eastAsia="宋体" w:cs="Times New Roman"/>
          <w:color w:val="auto"/>
          <w:sz w:val="24"/>
          <w:highlight w:val="none"/>
          <w:u w:val="none" w:color="auto"/>
          <w:lang w:val="en-US" w:eastAsia="zh-CN"/>
        </w:rPr>
        <w:t>无</w:t>
      </w:r>
      <w:r>
        <w:rPr>
          <w:rFonts w:hint="default" w:ascii="Times New Roman" w:hAnsi="Times New Roman" w:eastAsia="宋体" w:cs="Times New Roman"/>
          <w:color w:val="auto"/>
          <w:sz w:val="24"/>
          <w:highlight w:val="none"/>
          <w:u w:val="none" w:color="auto"/>
          <w:lang w:val="en-US" w:eastAsia="zh-CN"/>
        </w:rPr>
        <w:t>酸化</w:t>
      </w:r>
      <w:r>
        <w:rPr>
          <w:rFonts w:hint="eastAsia" w:ascii="Times New Roman" w:hAnsi="Times New Roman" w:eastAsia="宋体" w:cs="Times New Roman"/>
          <w:color w:val="auto"/>
          <w:sz w:val="24"/>
          <w:highlight w:val="none"/>
          <w:u w:val="none" w:color="auto"/>
          <w:lang w:val="en-US" w:eastAsia="zh-CN"/>
        </w:rPr>
        <w:t>或</w:t>
      </w:r>
      <w:r>
        <w:rPr>
          <w:rFonts w:hint="default" w:ascii="Times New Roman" w:hAnsi="Times New Roman" w:eastAsia="宋体" w:cs="Times New Roman"/>
          <w:color w:val="auto"/>
          <w:sz w:val="24"/>
          <w:highlight w:val="none"/>
          <w:u w:val="none" w:color="auto"/>
          <w:lang w:val="en-US" w:eastAsia="zh-CN"/>
        </w:rPr>
        <w:t>碱化</w:t>
      </w:r>
      <w:r>
        <w:rPr>
          <w:rFonts w:hint="eastAsia" w:ascii="Times New Roman" w:hAnsi="Times New Roman" w:eastAsia="宋体" w:cs="Times New Roman"/>
          <w:color w:val="auto"/>
          <w:sz w:val="24"/>
          <w:highlight w:val="none"/>
          <w:u w:val="none" w:color="auto"/>
          <w:lang w:val="en-US" w:eastAsia="zh-CN"/>
        </w:rPr>
        <w:t>，轻度</w:t>
      </w:r>
      <w:r>
        <w:rPr>
          <w:rFonts w:hint="default" w:ascii="Times New Roman" w:hAnsi="Times New Roman" w:eastAsia="宋体" w:cs="Times New Roman"/>
          <w:color w:val="auto"/>
          <w:sz w:val="24"/>
          <w:highlight w:val="none"/>
          <w:u w:val="none" w:color="auto"/>
          <w:lang w:val="en-US" w:eastAsia="zh-CN"/>
        </w:rPr>
        <w:t>盐化</w:t>
      </w:r>
      <w:r>
        <w:rPr>
          <w:rFonts w:hint="eastAsia" w:ascii="Times New Roman" w:hAnsi="Times New Roman" w:eastAsia="宋体" w:cs="Times New Roman"/>
          <w:color w:val="auto"/>
          <w:sz w:val="24"/>
          <w:highlight w:val="none"/>
          <w:u w:val="none" w:color="auto"/>
          <w:lang w:val="en-US" w:eastAsia="zh-CN"/>
        </w:rPr>
        <w:t>。同时</w:t>
      </w:r>
      <w:r>
        <w:rPr>
          <w:rFonts w:hint="default" w:ascii="Times New Roman" w:hAnsi="Times New Roman" w:eastAsia="宋体" w:cs="Times New Roman"/>
          <w:color w:val="auto"/>
          <w:spacing w:val="0"/>
          <w:w w:val="100"/>
          <w:position w:val="0"/>
          <w:sz w:val="24"/>
          <w:szCs w:val="24"/>
          <w:u w:val="none" w:color="auto"/>
          <w:lang w:eastAsia="zh-CN"/>
        </w:rPr>
        <w:t>项目大坝</w:t>
      </w:r>
      <w:r>
        <w:rPr>
          <w:rFonts w:hint="default" w:ascii="Times New Roman" w:hAnsi="Times New Roman" w:eastAsia="宋体" w:cs="Times New Roman"/>
          <w:color w:val="auto"/>
          <w:sz w:val="24"/>
          <w:highlight w:val="none"/>
          <w:u w:val="none" w:color="auto"/>
          <w:lang w:eastAsia="zh-CN"/>
        </w:rPr>
        <w:t>土壤各项监测因子均满足《土壤环境质量</w:t>
      </w:r>
      <w:r>
        <w:rPr>
          <w:rFonts w:hint="default" w:ascii="Times New Roman" w:hAnsi="Times New Roman" w:eastAsia="宋体" w:cs="Times New Roman"/>
          <w:color w:val="auto"/>
          <w:sz w:val="24"/>
          <w:highlight w:val="none"/>
          <w:u w:val="none" w:color="auto"/>
          <w:lang w:val="en-US" w:eastAsia="zh-CN"/>
        </w:rPr>
        <w:t xml:space="preserve"> </w:t>
      </w:r>
      <w:r>
        <w:rPr>
          <w:rFonts w:hint="default" w:ascii="Times New Roman" w:hAnsi="Times New Roman" w:eastAsia="宋体" w:cs="Times New Roman"/>
          <w:color w:val="auto"/>
          <w:sz w:val="24"/>
          <w:highlight w:val="none"/>
          <w:u w:val="none" w:color="auto"/>
          <w:lang w:eastAsia="zh-CN"/>
        </w:rPr>
        <w:t>建设用地土壤污染风险管控标准（试行）》GB 36600-2018表</w:t>
      </w:r>
      <w:r>
        <w:rPr>
          <w:rFonts w:hint="default" w:ascii="Times New Roman" w:hAnsi="Times New Roman" w:eastAsia="宋体" w:cs="Times New Roman"/>
          <w:color w:val="auto"/>
          <w:sz w:val="24"/>
          <w:highlight w:val="none"/>
          <w:u w:val="none" w:color="auto"/>
          <w:lang w:val="en-US" w:eastAsia="zh-CN"/>
        </w:rPr>
        <w:t>1</w:t>
      </w:r>
      <w:r>
        <w:rPr>
          <w:rFonts w:hint="default" w:ascii="Times New Roman" w:hAnsi="Times New Roman" w:eastAsia="宋体" w:cs="Times New Roman"/>
          <w:color w:val="auto"/>
          <w:sz w:val="24"/>
          <w:highlight w:val="none"/>
          <w:u w:val="none" w:color="auto"/>
          <w:lang w:eastAsia="zh-CN"/>
        </w:rPr>
        <w:t>第二类用地筛选值要求。</w:t>
      </w:r>
      <w:r>
        <w:rPr>
          <w:rFonts w:hint="default" w:ascii="Times New Roman" w:hAnsi="Times New Roman" w:eastAsia="宋体" w:cs="Times New Roman"/>
          <w:color w:val="auto"/>
          <w:sz w:val="24"/>
          <w:highlight w:val="none"/>
          <w:u w:val="none" w:color="auto"/>
          <w:lang w:val="en-US" w:eastAsia="zh-CN"/>
        </w:rPr>
        <w:t>周边林地、农田和底泥监测因子可达到</w:t>
      </w:r>
      <w:r>
        <w:rPr>
          <w:rFonts w:hint="default" w:ascii="Times New Roman" w:hAnsi="Times New Roman" w:eastAsia="宋体" w:cs="Times New Roman"/>
          <w:b w:val="0"/>
          <w:bCs/>
          <w:caps w:val="0"/>
          <w:smallCaps w:val="0"/>
          <w:color w:val="auto"/>
          <w:spacing w:val="0"/>
          <w:w w:val="100"/>
          <w:position w:val="0"/>
          <w:sz w:val="24"/>
          <w:szCs w:val="24"/>
          <w:u w:val="none" w:color="auto"/>
        </w:rPr>
        <w:t>《土壤环境质量</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 xml:space="preserve"> </w:t>
      </w:r>
      <w:r>
        <w:rPr>
          <w:rFonts w:hint="default" w:ascii="Times New Roman" w:hAnsi="Times New Roman" w:eastAsia="宋体" w:cs="Times New Roman"/>
          <w:b w:val="0"/>
          <w:bCs/>
          <w:caps w:val="0"/>
          <w:smallCaps w:val="0"/>
          <w:color w:val="auto"/>
          <w:spacing w:val="0"/>
          <w:w w:val="100"/>
          <w:position w:val="0"/>
          <w:sz w:val="24"/>
          <w:szCs w:val="24"/>
          <w:u w:val="none" w:color="auto"/>
        </w:rPr>
        <w:t>农用地土壤污染风险管控标准》（GB15618-2018）中表1农用地土壤污染风险筛选值</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要求</w:t>
      </w:r>
      <w:r>
        <w:rPr>
          <w:rFonts w:hint="default" w:ascii="Times New Roman" w:hAnsi="Times New Roman" w:eastAsia="宋体" w:cs="Times New Roman"/>
          <w:b w:val="0"/>
          <w:bCs/>
          <w:caps w:val="0"/>
          <w:smallCaps w:val="0"/>
          <w:color w:val="auto"/>
          <w:spacing w:val="0"/>
          <w:w w:val="100"/>
          <w:position w:val="0"/>
          <w:sz w:val="24"/>
          <w:szCs w:val="24"/>
          <w:u w:val="none" w:color="auto"/>
          <w:lang w:eastAsia="zh-CN"/>
        </w:rPr>
        <w:t>。</w:t>
      </w:r>
      <w:bookmarkEnd w:id="180"/>
      <w:bookmarkEnd w:id="181"/>
    </w:p>
    <w:p w14:paraId="791BF258">
      <w:pPr>
        <w:pStyle w:val="3"/>
        <w:bidi w:val="0"/>
        <w:rPr>
          <w:rFonts w:hint="default" w:ascii="Times New Roman" w:hAnsi="Times New Roman" w:cs="Times New Roman"/>
          <w:lang w:val="en-US" w:eastAsia="zh-CN"/>
        </w:rPr>
      </w:pPr>
      <w:bookmarkStart w:id="182" w:name="_Toc17731"/>
      <w:r>
        <w:rPr>
          <w:rFonts w:hint="default" w:ascii="Times New Roman" w:hAnsi="Times New Roman" w:cs="Times New Roman"/>
          <w:lang w:val="en-US" w:eastAsia="zh-CN"/>
        </w:rPr>
        <w:t>生态环境现状调查与评价</w:t>
      </w:r>
      <w:bookmarkEnd w:id="182"/>
    </w:p>
    <w:p w14:paraId="3E561CD8">
      <w:pPr>
        <w:pStyle w:val="4"/>
        <w:bidi w:val="0"/>
        <w:rPr>
          <w:rFonts w:hint="default" w:ascii="Times New Roman" w:hAnsi="Times New Roman" w:cs="Times New Roman"/>
          <w:lang w:val="en-US" w:eastAsia="zh-CN"/>
        </w:rPr>
      </w:pPr>
      <w:bookmarkStart w:id="183" w:name="_Toc4099"/>
      <w:r>
        <w:rPr>
          <w:rFonts w:hint="default" w:ascii="Times New Roman" w:hAnsi="Times New Roman" w:cs="Times New Roman"/>
          <w:lang w:val="en-US" w:eastAsia="zh-CN"/>
        </w:rPr>
        <w:t>主要调查内容和评价方法</w:t>
      </w:r>
      <w:bookmarkEnd w:id="183"/>
    </w:p>
    <w:p w14:paraId="24F81FA0">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陆生植物调查</w:t>
      </w:r>
    </w:p>
    <w:p w14:paraId="0C3FCB91">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lang w:val="en-US" w:eastAsia="zh-CN"/>
        </w:rPr>
      </w:pPr>
      <w:bookmarkStart w:id="184" w:name="_Hlk42039869"/>
      <w:r>
        <w:rPr>
          <w:rFonts w:hint="default" w:ascii="Times New Roman" w:hAnsi="Times New Roman" w:eastAsia="宋体" w:cs="Times New Roman"/>
          <w:caps w:val="0"/>
          <w:smallCaps w:val="0"/>
          <w:sz w:val="24"/>
          <w:szCs w:val="20"/>
          <w:lang w:eastAsia="zh-CN"/>
        </w:rPr>
        <w:t>（</w:t>
      </w:r>
      <w:r>
        <w:rPr>
          <w:rFonts w:hint="default" w:ascii="Times New Roman" w:hAnsi="Times New Roman" w:eastAsia="宋体" w:cs="Times New Roman"/>
          <w:caps w:val="0"/>
          <w:smallCaps w:val="0"/>
          <w:sz w:val="24"/>
          <w:szCs w:val="20"/>
          <w:lang w:val="en-US" w:eastAsia="zh-CN"/>
        </w:rPr>
        <w:t>1</w:t>
      </w:r>
      <w:r>
        <w:rPr>
          <w:rFonts w:hint="default" w:ascii="Times New Roman" w:hAnsi="Times New Roman" w:eastAsia="宋体" w:cs="Times New Roman"/>
          <w:caps w:val="0"/>
          <w:smallCaps w:val="0"/>
          <w:sz w:val="24"/>
          <w:szCs w:val="20"/>
          <w:lang w:eastAsia="zh-CN"/>
        </w:rPr>
        <w:t>）</w:t>
      </w:r>
      <w:r>
        <w:rPr>
          <w:rFonts w:hint="default" w:ascii="Times New Roman" w:hAnsi="Times New Roman" w:eastAsia="宋体" w:cs="Times New Roman"/>
          <w:caps w:val="0"/>
          <w:smallCaps w:val="0"/>
          <w:sz w:val="24"/>
          <w:szCs w:val="20"/>
          <w:lang w:val="en-US" w:eastAsia="zh-CN"/>
        </w:rPr>
        <w:t>种类调查</w:t>
      </w:r>
    </w:p>
    <w:p w14:paraId="24D36B13">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在调查过程中，确定评价范围内的植物种类及资源状况、珍稀濒危植物的种类及生存状况等。实地调查采取样线调查与样方调查相结合的方法，对于没有原生植被的区域采取样线调查，在施工区域以及植被状况良好的区域实行样方重点调查；对国家级、省级野生保护植物、珍稀濒危植物、古树名木调查采取资料查询和野外调查相结合的方法进行。采集野外难以辨认的植物标本并拍摄照片，记录项目区的植被现状。</w:t>
      </w:r>
    </w:p>
    <w:p w14:paraId="4805937E">
      <w:pPr>
        <w:spacing w:line="360" w:lineRule="auto"/>
        <w:ind w:firstLine="480" w:firstLineChars="200"/>
        <w:rPr>
          <w:rFonts w:hint="default" w:ascii="Times New Roman" w:hAnsi="Times New Roman" w:eastAsia="宋体" w:cs="Times New Roman"/>
          <w:caps w:val="0"/>
          <w:smallCaps w:val="0"/>
          <w:sz w:val="24"/>
          <w:szCs w:val="21"/>
        </w:rPr>
      </w:pPr>
      <w:r>
        <w:rPr>
          <w:rFonts w:hint="default" w:ascii="Times New Roman" w:hAnsi="Times New Roman" w:eastAsia="宋体" w:cs="Times New Roman"/>
          <w:caps w:val="0"/>
          <w:smallCaps w:val="0"/>
          <w:sz w:val="24"/>
          <w:szCs w:val="21"/>
          <w:lang w:eastAsia="zh-CN"/>
        </w:rPr>
        <w:t>（</w:t>
      </w:r>
      <w:r>
        <w:rPr>
          <w:rFonts w:hint="default" w:ascii="Times New Roman" w:hAnsi="Times New Roman" w:eastAsia="宋体" w:cs="Times New Roman"/>
          <w:caps w:val="0"/>
          <w:smallCaps w:val="0"/>
          <w:sz w:val="24"/>
          <w:szCs w:val="21"/>
          <w:lang w:val="en-US" w:eastAsia="zh-CN"/>
        </w:rPr>
        <w:t>2</w:t>
      </w:r>
      <w:r>
        <w:rPr>
          <w:rFonts w:hint="default" w:ascii="Times New Roman" w:hAnsi="Times New Roman" w:eastAsia="宋体" w:cs="Times New Roman"/>
          <w:caps w:val="0"/>
          <w:smallCaps w:val="0"/>
          <w:sz w:val="24"/>
          <w:szCs w:val="21"/>
          <w:lang w:eastAsia="zh-CN"/>
        </w:rPr>
        <w:t>）</w:t>
      </w:r>
      <w:r>
        <w:rPr>
          <w:rFonts w:hint="default" w:ascii="Times New Roman" w:hAnsi="Times New Roman" w:eastAsia="宋体" w:cs="Times New Roman"/>
          <w:caps w:val="0"/>
          <w:smallCaps w:val="0"/>
          <w:sz w:val="24"/>
          <w:szCs w:val="21"/>
        </w:rPr>
        <w:t>植被调查</w:t>
      </w:r>
    </w:p>
    <w:bookmarkEnd w:id="184"/>
    <w:p w14:paraId="2175A7BD">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植被调查取样的目的是要通过样方的研究准确地推测评价区域植被的总体，所选取的样方具有代表性，能通过尽可能少的抽样获得较为准确的有关总体的特征。在对评价区域的植被进行样方调查中，样方布设的原则是：</w:t>
      </w:r>
    </w:p>
    <w:p w14:paraId="7972249E">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①尽量在拟建地设置样地，并考虑布设的均匀性，山地区域还应结合海拔段、坡位、坡向进行布设。</w:t>
      </w:r>
    </w:p>
    <w:p w14:paraId="3609C9B3">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②所选取的样方植被为评价区域内分布较广具有代表性的植被类型。</w:t>
      </w:r>
    </w:p>
    <w:p w14:paraId="6216F09D">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③记录样方植被类型（以群系为单位），应涵盖评价范围内不同的植被类型及生境类型。</w:t>
      </w:r>
    </w:p>
    <w:p w14:paraId="4D4BED5D">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④尽量避免非取样误差：避免选择路边易到之处；两人以上进行观察记录，消除主观因素。</w:t>
      </w:r>
    </w:p>
    <w:p w14:paraId="627C6657">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本次调查主要踏勘了项目用地范围内及周边区域，通过边踏勘边汇总边调整的方式，根据评价区总体植被类型分布情况，着重选取项目用地范围内及生态保护目标所在区域的主要植被群系开展样方调查，保证选取的植被群系一定是评价区分布最广，并且受到项目直接影响的群系。对选取的植被群系尽量在项目用地范围内或临近区域拉设植物样方，样方点位尽量布置在项目主要工程区域，每种群系均设置3个样方，以使样方无论在调查对象、点位布置还是数量上，均具有规范性和代表性。</w:t>
      </w:r>
    </w:p>
    <w:p w14:paraId="00D1EB33">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陆生动物调查</w:t>
      </w:r>
    </w:p>
    <w:p w14:paraId="07E2042E">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动物资源调查主要采用资料查询和现场调查相结合的方法。陆生野生动物调查，根据资料整理归纳的基础上，走访当地林业部门与周边村民了解评价区的陆生野生动物类群分布</w:t>
      </w:r>
      <w:r>
        <w:rPr>
          <w:rFonts w:hint="default" w:ascii="Times New Roman" w:hAnsi="Times New Roman" w:eastAsia="宋体" w:cs="Times New Roman"/>
          <w:caps w:val="0"/>
          <w:smallCaps w:val="0"/>
          <w:sz w:val="24"/>
          <w:szCs w:val="20"/>
          <w:lang w:val="en-US" w:eastAsia="zh-CN"/>
        </w:rPr>
        <w:t>情况、</w:t>
      </w:r>
      <w:r>
        <w:rPr>
          <w:rFonts w:hint="default" w:ascii="Times New Roman" w:hAnsi="Times New Roman" w:eastAsia="宋体" w:cs="Times New Roman"/>
          <w:caps w:val="0"/>
          <w:smallCaps w:val="0"/>
          <w:sz w:val="24"/>
          <w:szCs w:val="20"/>
        </w:rPr>
        <w:t>种群数量以及出现频率；在拟建地采取实地调查，</w:t>
      </w:r>
      <w:r>
        <w:rPr>
          <w:rFonts w:hint="default" w:ascii="Times New Roman" w:hAnsi="Times New Roman" w:eastAsia="宋体" w:cs="Times New Roman"/>
          <w:caps w:val="0"/>
          <w:smallCaps w:val="0"/>
          <w:sz w:val="24"/>
          <w:szCs w:val="20"/>
          <w:lang w:val="en-US" w:eastAsia="zh-CN"/>
        </w:rPr>
        <w:t>根据</w:t>
      </w:r>
      <w:r>
        <w:rPr>
          <w:rFonts w:hint="default" w:ascii="Times New Roman" w:hAnsi="Times New Roman" w:eastAsia="宋体" w:cs="Times New Roman"/>
          <w:caps w:val="0"/>
          <w:smallCaps w:val="0"/>
          <w:sz w:val="24"/>
          <w:szCs w:val="20"/>
        </w:rPr>
        <w:t>生境类型，</w:t>
      </w:r>
      <w:r>
        <w:rPr>
          <w:rFonts w:hint="default" w:ascii="Times New Roman" w:hAnsi="Times New Roman" w:eastAsia="宋体" w:cs="Times New Roman"/>
          <w:caps w:val="0"/>
          <w:smallCaps w:val="0"/>
          <w:sz w:val="24"/>
          <w:szCs w:val="20"/>
          <w:lang w:val="en-US" w:eastAsia="zh-CN"/>
        </w:rPr>
        <w:t>每类</w:t>
      </w:r>
      <w:r>
        <w:rPr>
          <w:rFonts w:hint="default" w:ascii="Times New Roman" w:hAnsi="Times New Roman" w:eastAsia="宋体" w:cs="Times New Roman"/>
          <w:caps w:val="0"/>
          <w:smallCaps w:val="0"/>
          <w:sz w:val="24"/>
          <w:szCs w:val="20"/>
          <w:highlight w:val="none"/>
        </w:rPr>
        <w:t>设置</w:t>
      </w:r>
      <w:r>
        <w:rPr>
          <w:rFonts w:hint="default" w:ascii="Times New Roman" w:hAnsi="Times New Roman" w:eastAsia="宋体" w:cs="Times New Roman"/>
          <w:caps w:val="0"/>
          <w:smallCaps w:val="0"/>
          <w:sz w:val="24"/>
          <w:szCs w:val="20"/>
          <w:highlight w:val="none"/>
          <w:lang w:val="en-US" w:eastAsia="zh-CN"/>
        </w:rPr>
        <w:t>3</w:t>
      </w:r>
      <w:r>
        <w:rPr>
          <w:rFonts w:hint="default" w:ascii="Times New Roman" w:hAnsi="Times New Roman" w:eastAsia="宋体" w:cs="Times New Roman"/>
          <w:caps w:val="0"/>
          <w:smallCaps w:val="0"/>
          <w:sz w:val="24"/>
          <w:szCs w:val="20"/>
          <w:highlight w:val="none"/>
        </w:rPr>
        <w:t>条样线</w:t>
      </w:r>
      <w:r>
        <w:rPr>
          <w:rFonts w:hint="default" w:ascii="Times New Roman" w:hAnsi="Times New Roman" w:eastAsia="宋体" w:cs="Times New Roman"/>
          <w:caps w:val="0"/>
          <w:smallCaps w:val="0"/>
          <w:sz w:val="24"/>
          <w:szCs w:val="20"/>
        </w:rPr>
        <w:t>，以进一步核实资料和走访结果的可靠性。</w:t>
      </w:r>
    </w:p>
    <w:p w14:paraId="6DACFCF4">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水生生物调查</w:t>
      </w:r>
    </w:p>
    <w:p w14:paraId="163BF67A">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水生生物调查主要参照《内陆水域渔业自然资源调查手册》、《水库渔业资源调查规范》（SL167-2014）和《淡水浮游生物研究方法》等的相关技术和要求进行。调查内容包括：浮游藻类、浮游动物、底栖动物、鱼类。</w:t>
      </w:r>
    </w:p>
    <w:p w14:paraId="58D3D61A">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（1）野外调查和采集</w:t>
      </w:r>
    </w:p>
    <w:p w14:paraId="33C78BCB">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由于工程影响区域为藏区，鱼类捕捞管理严格，主要依据收集历史上有关本项目所在流域的资料和访问当地渔政部门等，了解工程所在河段水生生物的多样性及资源现状。鱼类“三场”主要通过河段生境和鱼类繁殖特性来进行初步确定。</w:t>
      </w:r>
    </w:p>
    <w:p w14:paraId="444781DB">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（2）业内分析</w:t>
      </w:r>
    </w:p>
    <w:p w14:paraId="5B4A92D9">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在实验室根据所取得的调查数据和文献资料进行报告编写。内业分析工作主要包括以下几个方面：</w:t>
      </w:r>
    </w:p>
    <w:p w14:paraId="28FE27E5">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①查阅有关文献资源，摸清工程影响区的本底现状。</w:t>
      </w:r>
    </w:p>
    <w:p w14:paraId="17C5537E">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②根据工程基本情况及运行特点、工程与周围环境的关系以及调查结果，综合分析项目运行后对水生生态的影响情况。</w:t>
      </w:r>
    </w:p>
    <w:p w14:paraId="6BB66159">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制图及数据处理</w:t>
      </w:r>
    </w:p>
    <w:p w14:paraId="024C3DA3">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在现场调查和群落样地调查的基础上，采用GPS、RS和GIS相结合的地理信息技术，进行地面类型的数字化判读，完成数字化的植被图和土地利用类型图，进行生态环境质量的定性和定量评价。对监督分类产生的植被初图，结合路线调查记录和</w:t>
      </w:r>
      <w:r>
        <w:rPr>
          <w:rFonts w:hint="default" w:ascii="Times New Roman" w:hAnsi="Times New Roman" w:eastAsia="宋体" w:cs="Times New Roman"/>
          <w:caps w:val="0"/>
          <w:smallCaps w:val="0"/>
          <w:sz w:val="24"/>
          <w:szCs w:val="20"/>
          <w:lang w:val="en-US" w:eastAsia="zh-CN"/>
        </w:rPr>
        <w:t>海拔</w:t>
      </w:r>
      <w:r>
        <w:rPr>
          <w:rFonts w:hint="default" w:ascii="Times New Roman" w:hAnsi="Times New Roman" w:eastAsia="宋体" w:cs="Times New Roman"/>
          <w:caps w:val="0"/>
          <w:smallCaps w:val="0"/>
          <w:sz w:val="24"/>
          <w:szCs w:val="20"/>
        </w:rPr>
        <w:t>、坡度、坡向等信息，对植被图进行目视解译校正，得到符合精度要求的植被图。在植被图的基础上，进一步合并有关地面类型，得到生态系统类型图和土地利用现状图。利用RS软件进行卫片数据汇总，得出评价区生态系统分布、土地利用现状数据及植被分类面积数据。本报告</w:t>
      </w:r>
      <w:r>
        <w:rPr>
          <w:rFonts w:hint="default" w:ascii="Times New Roman" w:hAnsi="Times New Roman" w:eastAsia="宋体" w:cs="Times New Roman"/>
          <w:caps w:val="0"/>
          <w:smallCaps w:val="0"/>
          <w:sz w:val="24"/>
          <w:szCs w:val="20"/>
          <w:lang w:eastAsia="zh-CN"/>
        </w:rPr>
        <w:t>遥感数据使用</w:t>
      </w:r>
      <w:r>
        <w:rPr>
          <w:rFonts w:hint="default" w:ascii="Times New Roman" w:hAnsi="Times New Roman" w:eastAsia="宋体" w:cs="Times New Roman"/>
          <w:caps w:val="0"/>
          <w:smallCaps w:val="0"/>
          <w:sz w:val="24"/>
          <w:szCs w:val="20"/>
        </w:rPr>
        <w:t>Sentinel-2</w:t>
      </w:r>
      <w:r>
        <w:rPr>
          <w:rFonts w:hint="default" w:ascii="Times New Roman" w:hAnsi="Times New Roman" w:eastAsia="宋体" w:cs="Times New Roman"/>
          <w:caps w:val="0"/>
          <w:smallCaps w:val="0"/>
          <w:sz w:val="24"/>
          <w:szCs w:val="20"/>
          <w:lang w:eastAsia="zh-CN"/>
        </w:rPr>
        <w:t>卫星</w:t>
      </w:r>
      <w:r>
        <w:rPr>
          <w:rFonts w:hint="default" w:ascii="Times New Roman" w:hAnsi="Times New Roman" w:eastAsia="宋体" w:cs="Times New Roman"/>
          <w:caps w:val="0"/>
          <w:smallCaps w:val="0"/>
          <w:sz w:val="24"/>
          <w:szCs w:val="20"/>
        </w:rPr>
        <w:t>影像数据（</w:t>
      </w:r>
      <w:r>
        <w:rPr>
          <w:rFonts w:hint="default" w:ascii="Times New Roman" w:hAnsi="Times New Roman" w:eastAsia="宋体" w:cs="Times New Roman"/>
          <w:caps w:val="0"/>
          <w:smallCaps w:val="0"/>
          <w:sz w:val="24"/>
          <w:szCs w:val="20"/>
          <w:highlight w:val="none"/>
        </w:rPr>
        <w:t>成像时间202</w:t>
      </w:r>
      <w:r>
        <w:rPr>
          <w:rFonts w:hint="default" w:ascii="Times New Roman" w:hAnsi="Times New Roman" w:eastAsia="宋体" w:cs="Times New Roman"/>
          <w:caps w:val="0"/>
          <w:smallCaps w:val="0"/>
          <w:sz w:val="24"/>
          <w:szCs w:val="20"/>
          <w:highlight w:val="none"/>
          <w:lang w:val="en-US" w:eastAsia="zh-CN"/>
        </w:rPr>
        <w:t>3</w:t>
      </w:r>
      <w:r>
        <w:rPr>
          <w:rFonts w:hint="default" w:ascii="Times New Roman" w:hAnsi="Times New Roman" w:eastAsia="宋体" w:cs="Times New Roman"/>
          <w:caps w:val="0"/>
          <w:smallCaps w:val="0"/>
          <w:sz w:val="24"/>
          <w:szCs w:val="20"/>
          <w:highlight w:val="none"/>
        </w:rPr>
        <w:t>年</w:t>
      </w:r>
      <w:r>
        <w:rPr>
          <w:rFonts w:hint="default" w:ascii="Times New Roman" w:hAnsi="Times New Roman" w:eastAsia="宋体" w:cs="Times New Roman"/>
          <w:caps w:val="0"/>
          <w:smallCaps w:val="0"/>
          <w:sz w:val="24"/>
          <w:szCs w:val="20"/>
          <w:highlight w:val="none"/>
          <w:lang w:val="en-US" w:eastAsia="zh-CN"/>
        </w:rPr>
        <w:t>4-10</w:t>
      </w:r>
      <w:r>
        <w:rPr>
          <w:rFonts w:hint="default" w:ascii="Times New Roman" w:hAnsi="Times New Roman" w:eastAsia="宋体" w:cs="Times New Roman"/>
          <w:caps w:val="0"/>
          <w:smallCaps w:val="0"/>
          <w:sz w:val="24"/>
          <w:szCs w:val="20"/>
          <w:highlight w:val="none"/>
        </w:rPr>
        <w:t>月</w:t>
      </w:r>
      <w:r>
        <w:rPr>
          <w:rFonts w:hint="default" w:ascii="Times New Roman" w:hAnsi="Times New Roman" w:eastAsia="宋体" w:cs="Times New Roman"/>
          <w:caps w:val="0"/>
          <w:smallCaps w:val="0"/>
          <w:sz w:val="24"/>
          <w:szCs w:val="20"/>
        </w:rPr>
        <w:t>）</w:t>
      </w:r>
      <w:r>
        <w:rPr>
          <w:rFonts w:hint="default" w:ascii="Times New Roman" w:hAnsi="Times New Roman" w:eastAsia="宋体" w:cs="Times New Roman"/>
          <w:caps w:val="0"/>
          <w:smallCaps w:val="0"/>
          <w:sz w:val="24"/>
          <w:szCs w:val="20"/>
          <w:lang w:eastAsia="zh-CN"/>
        </w:rPr>
        <w:t>、天地图影像数据</w:t>
      </w:r>
      <w:r>
        <w:rPr>
          <w:rFonts w:hint="default" w:ascii="Times New Roman" w:hAnsi="Times New Roman" w:eastAsia="宋体" w:cs="Times New Roman"/>
          <w:caps w:val="0"/>
          <w:smallCaps w:val="0"/>
          <w:sz w:val="24"/>
          <w:szCs w:val="20"/>
          <w:lang w:val="en-US" w:eastAsia="zh-CN"/>
        </w:rPr>
        <w:t>等</w:t>
      </w:r>
      <w:r>
        <w:rPr>
          <w:rFonts w:hint="default" w:ascii="Times New Roman" w:hAnsi="Times New Roman" w:eastAsia="宋体" w:cs="Times New Roman"/>
          <w:caps w:val="0"/>
          <w:smallCaps w:val="0"/>
          <w:sz w:val="24"/>
          <w:szCs w:val="20"/>
        </w:rPr>
        <w:t>。</w:t>
      </w:r>
    </w:p>
    <w:p w14:paraId="6B88E599">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生物量和生产力的估算</w:t>
      </w:r>
    </w:p>
    <w:p w14:paraId="7680CF98">
      <w:pPr>
        <w:keepNext w:val="0"/>
        <w:keepLines w:val="0"/>
        <w:pageBreakBefore w:val="0"/>
        <w:widowControl w:val="0"/>
        <w:tabs>
          <w:tab w:val="left" w:pos="1021"/>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sz w:val="24"/>
          <w:szCs w:val="20"/>
        </w:rPr>
      </w:pPr>
      <w:r>
        <w:rPr>
          <w:rFonts w:hint="default" w:ascii="Times New Roman" w:hAnsi="Times New Roman" w:eastAsia="宋体" w:cs="Times New Roman"/>
          <w:caps w:val="0"/>
          <w:smallCaps w:val="0"/>
          <w:sz w:val="24"/>
          <w:szCs w:val="20"/>
        </w:rPr>
        <w:t>参考国内外有关生产量</w:t>
      </w:r>
      <w:r>
        <w:rPr>
          <w:rFonts w:hint="default" w:ascii="Times New Roman" w:hAnsi="Times New Roman" w:eastAsia="宋体" w:cs="Times New Roman"/>
          <w:caps w:val="0"/>
          <w:smallCaps w:val="0"/>
          <w:sz w:val="24"/>
          <w:szCs w:val="20"/>
          <w:lang w:eastAsia="zh-CN"/>
        </w:rPr>
        <w:t>的研究</w:t>
      </w:r>
      <w:r>
        <w:rPr>
          <w:rFonts w:hint="default" w:ascii="Times New Roman" w:hAnsi="Times New Roman" w:eastAsia="宋体" w:cs="Times New Roman"/>
          <w:caps w:val="0"/>
          <w:smallCaps w:val="0"/>
          <w:sz w:val="24"/>
          <w:szCs w:val="20"/>
        </w:rPr>
        <w:t>资料，并根据当地的实际情况作适当调查，估算出评价范围域区的植被类型</w:t>
      </w:r>
      <w:r>
        <w:rPr>
          <w:rFonts w:hint="default" w:ascii="Times New Roman" w:hAnsi="Times New Roman" w:eastAsia="宋体" w:cs="Times New Roman"/>
          <w:caps w:val="0"/>
          <w:smallCaps w:val="0"/>
          <w:sz w:val="24"/>
          <w:szCs w:val="20"/>
          <w:lang w:eastAsia="zh-CN"/>
        </w:rPr>
        <w:t>生物量</w:t>
      </w:r>
      <w:r>
        <w:rPr>
          <w:rFonts w:hint="default" w:ascii="Times New Roman" w:hAnsi="Times New Roman" w:eastAsia="宋体" w:cs="Times New Roman"/>
          <w:caps w:val="0"/>
          <w:smallCaps w:val="0"/>
          <w:sz w:val="24"/>
          <w:szCs w:val="20"/>
        </w:rPr>
        <w:t>。</w:t>
      </w:r>
    </w:p>
    <w:p w14:paraId="48ACC103">
      <w:pPr>
        <w:spacing w:line="360" w:lineRule="auto"/>
        <w:ind w:firstLine="480" w:firstLineChars="200"/>
        <w:rPr>
          <w:rFonts w:hint="default" w:ascii="Times New Roman" w:hAnsi="Times New Roman" w:eastAsia="宋体" w:cs="Times New Roman"/>
          <w:caps w:val="0"/>
          <w:smallCaps w:val="0"/>
          <w:sz w:val="24"/>
          <w:szCs w:val="21"/>
        </w:rPr>
      </w:pPr>
      <w:r>
        <w:rPr>
          <w:rFonts w:hint="default" w:ascii="Times New Roman" w:hAnsi="Times New Roman" w:eastAsia="宋体" w:cs="Times New Roman"/>
          <w:caps w:val="0"/>
          <w:smallCaps w:val="0"/>
          <w:sz w:val="24"/>
          <w:szCs w:val="21"/>
        </w:rPr>
        <w:t>生产力估算采用导则推荐模型—Miami模型估算评价区本底自然生产力。</w:t>
      </w:r>
    </w:p>
    <w:p w14:paraId="37BB96DD">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调查记录</w:t>
      </w:r>
    </w:p>
    <w:p w14:paraId="0E7C8A1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aps w:val="0"/>
          <w:smallCaps w:val="0"/>
          <w:kern w:val="2"/>
          <w:sz w:val="24"/>
          <w:szCs w:val="21"/>
          <w:lang w:val="en-US" w:eastAsia="zh-CN" w:bidi="ar-SA"/>
        </w:rPr>
      </w:pPr>
      <w:r>
        <w:rPr>
          <w:rFonts w:hint="default" w:ascii="Times New Roman" w:hAnsi="Times New Roman" w:eastAsia="宋体" w:cs="Times New Roman"/>
          <w:caps w:val="0"/>
          <w:smallCaps w:val="0"/>
          <w:kern w:val="2"/>
          <w:sz w:val="24"/>
          <w:szCs w:val="21"/>
          <w:lang w:val="en-US" w:eastAsia="zh-CN" w:bidi="ar-SA"/>
        </w:rPr>
        <w:t>本次评价共开展1次现场调查，调查时间为：2024年5月18日-19日。同时收集了地方林业、农业部门近年的观测资料。</w:t>
      </w:r>
    </w:p>
    <w:p w14:paraId="7556C89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z w:val="24"/>
          <w:szCs w:val="20"/>
          <w:lang w:val="en-US" w:eastAsia="zh-CN"/>
        </w:rPr>
        <w:t>调查人员：匡阳正（林学）、</w:t>
      </w:r>
      <w:r>
        <w:rPr>
          <w:rFonts w:hint="default" w:ascii="Times New Roman" w:hAnsi="Times New Roman" w:eastAsia="宋体" w:cs="Times New Roman"/>
          <w:caps w:val="0"/>
          <w:smallCaps w:val="0"/>
          <w:sz w:val="24"/>
          <w:szCs w:val="20"/>
          <w:highlight w:val="none"/>
          <w:lang w:val="en-US" w:eastAsia="zh-CN"/>
        </w:rPr>
        <w:t xml:space="preserve"> 张益彰（生态学）</w:t>
      </w:r>
      <w:r>
        <w:rPr>
          <w:rFonts w:hint="default" w:ascii="Times New Roman" w:hAnsi="Times New Roman" w:eastAsia="宋体" w:cs="Times New Roman"/>
          <w:caps w:val="0"/>
          <w:smallCaps w:val="0"/>
          <w:sz w:val="24"/>
          <w:szCs w:val="20"/>
          <w:lang w:val="en-US" w:eastAsia="zh-CN"/>
        </w:rPr>
        <w:t>。</w:t>
      </w:r>
    </w:p>
    <w:p w14:paraId="6AF76B54">
      <w:pPr>
        <w:pStyle w:val="4"/>
        <w:bidi w:val="0"/>
        <w:rPr>
          <w:rFonts w:hint="default" w:ascii="Times New Roman" w:hAnsi="Times New Roman" w:cs="Times New Roman"/>
          <w:lang w:val="en-US" w:eastAsia="zh-CN"/>
        </w:rPr>
      </w:pPr>
      <w:bookmarkStart w:id="185" w:name="_Toc488758322"/>
      <w:bookmarkStart w:id="186" w:name="_Toc469741864"/>
      <w:bookmarkStart w:id="187" w:name="_Toc20524"/>
      <w:bookmarkStart w:id="188" w:name="_Toc29035"/>
      <w:bookmarkStart w:id="189" w:name="_Toc20273"/>
      <w:bookmarkStart w:id="190" w:name="_Toc26437"/>
      <w:bookmarkStart w:id="191" w:name="_Toc1988"/>
      <w:bookmarkStart w:id="192" w:name="_Toc27965"/>
      <w:bookmarkStart w:id="193" w:name="_Toc8129"/>
      <w:r>
        <w:rPr>
          <w:rFonts w:hint="default" w:ascii="Times New Roman" w:hAnsi="Times New Roman" w:cs="Times New Roman"/>
          <w:lang w:val="en-US" w:eastAsia="zh-CN"/>
        </w:rPr>
        <w:t>生态功能区划</w:t>
      </w:r>
      <w:bookmarkEnd w:id="185"/>
      <w:bookmarkEnd w:id="186"/>
      <w:r>
        <w:rPr>
          <w:rFonts w:hint="default" w:ascii="Times New Roman" w:hAnsi="Times New Roman" w:cs="Times New Roman"/>
          <w:lang w:val="en-US" w:eastAsia="zh-CN"/>
        </w:rPr>
        <w:t>及主要生态问题</w:t>
      </w:r>
      <w:bookmarkEnd w:id="187"/>
      <w:bookmarkEnd w:id="188"/>
    </w:p>
    <w:p w14:paraId="1F41B29F">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全国生态功能区划</w:t>
      </w:r>
    </w:p>
    <w:p w14:paraId="5214FE4C">
      <w:pPr>
        <w:autoSpaceDE w:val="0"/>
        <w:autoSpaceDN w:val="0"/>
        <w:adjustRightInd w:val="0"/>
        <w:spacing w:line="360" w:lineRule="auto"/>
        <w:ind w:firstLine="480" w:firstLineChars="200"/>
        <w:rPr>
          <w:rFonts w:hint="default" w:ascii="Times New Roman" w:hAnsi="Times New Roman" w:eastAsia="宋体" w:cs="Times New Roman"/>
          <w:caps w:val="0"/>
          <w:smallCaps w:val="0"/>
          <w:sz w:val="24"/>
          <w:szCs w:val="22"/>
          <w:u w:val="none"/>
        </w:rPr>
      </w:pPr>
      <w:r>
        <w:rPr>
          <w:rFonts w:hint="default" w:ascii="Times New Roman" w:hAnsi="Times New Roman" w:eastAsia="宋体" w:cs="Times New Roman"/>
          <w:caps w:val="0"/>
          <w:smallCaps w:val="0"/>
          <w:sz w:val="24"/>
          <w:szCs w:val="22"/>
          <w:u w:val="none"/>
        </w:rPr>
        <w:t>根据《全国生态功能区划（修编版）》（环境保护部 中国科学院，2015），评价区属</w:t>
      </w:r>
      <w:r>
        <w:rPr>
          <w:rFonts w:hint="default" w:ascii="Times New Roman" w:hAnsi="Times New Roman" w:eastAsia="宋体" w:cs="Times New Roman"/>
          <w:caps w:val="0"/>
          <w:smallCaps w:val="0"/>
          <w:sz w:val="24"/>
          <w:szCs w:val="22"/>
          <w:u w:val="none"/>
          <w:lang w:eastAsia="zh-CN"/>
        </w:rPr>
        <w:t>生态调节功能区——洪水调蓄功能区——</w:t>
      </w:r>
      <w:r>
        <w:rPr>
          <w:rFonts w:hint="default" w:ascii="Times New Roman" w:hAnsi="Times New Roman" w:eastAsia="宋体" w:cs="Times New Roman"/>
          <w:caps w:val="0"/>
          <w:smallCaps w:val="0"/>
          <w:sz w:val="24"/>
          <w:szCs w:val="22"/>
          <w:u w:val="none"/>
        </w:rPr>
        <w:t>洞庭湖洪水调蓄与生物多样性保护功能区。该区是长江中游的天然洪水调蓄库，对长江流域的生态安全具有十分重要的作用；同时还是我国重要的水产品生产区。此外，区域内洲滩及湿地植物发育，是迁徙鸟类重要的越冬地，对生物多样性保护具有重要意义。</w:t>
      </w:r>
    </w:p>
    <w:p w14:paraId="7C72093C">
      <w:pPr>
        <w:pStyle w:val="5"/>
        <w:bidi w:val="0"/>
        <w:rPr>
          <w:rFonts w:hint="default" w:ascii="Times New Roman" w:hAnsi="Times New Roman" w:cs="Times New Roman"/>
          <w:lang w:val="en-US" w:eastAsia="zh-CN"/>
        </w:rPr>
      </w:pPr>
      <w:bookmarkStart w:id="194" w:name="_Toc470013431"/>
      <w:r>
        <w:rPr>
          <w:rFonts w:hint="default" w:ascii="Times New Roman" w:hAnsi="Times New Roman" w:cs="Times New Roman"/>
          <w:lang w:val="en-US" w:eastAsia="zh-CN"/>
        </w:rPr>
        <w:t>湖南生态功能区划</w:t>
      </w:r>
    </w:p>
    <w:p w14:paraId="317AFFF0">
      <w:pPr>
        <w:autoSpaceDE w:val="0"/>
        <w:autoSpaceDN w:val="0"/>
        <w:adjustRightInd w:val="0"/>
        <w:spacing w:line="360" w:lineRule="auto"/>
        <w:ind w:firstLine="480" w:firstLineChars="200"/>
        <w:rPr>
          <w:rFonts w:hint="default" w:ascii="Times New Roman" w:hAnsi="Times New Roman" w:eastAsia="宋体" w:cs="Times New Roman"/>
          <w:caps w:val="0"/>
          <w:smallCaps w:val="0"/>
          <w:sz w:val="24"/>
          <w:szCs w:val="22"/>
          <w:u w:val="none"/>
        </w:rPr>
      </w:pPr>
      <w:r>
        <w:rPr>
          <w:rFonts w:hint="default" w:ascii="Times New Roman" w:hAnsi="Times New Roman" w:eastAsia="宋体" w:cs="Times New Roman"/>
          <w:caps w:val="0"/>
          <w:smallCaps w:val="0"/>
          <w:sz w:val="24"/>
          <w:szCs w:val="22"/>
          <w:u w:val="none"/>
        </w:rPr>
        <w:t>根据《湖南省生态功能区划研究报告》（湖南省环境保护局 等，2005年），项目评价区属于洞庭湖平原农业生态区</w:t>
      </w:r>
      <w:r>
        <w:rPr>
          <w:rFonts w:hint="default" w:ascii="Times New Roman" w:hAnsi="Times New Roman" w:eastAsia="宋体" w:cs="Times New Roman"/>
          <w:caps w:val="0"/>
          <w:smallCaps w:val="0"/>
          <w:sz w:val="24"/>
          <w:szCs w:val="22"/>
          <w:u w:val="none"/>
          <w:lang w:eastAsia="zh-CN"/>
        </w:rPr>
        <w:t>——洞庭湖平原湿地与农业生态亚区——荆江南岸洞庭湖平原洪水调蓄与农业生态功能区</w:t>
      </w:r>
      <w:r>
        <w:rPr>
          <w:rFonts w:hint="default" w:ascii="Times New Roman" w:hAnsi="Times New Roman" w:eastAsia="宋体" w:cs="Times New Roman"/>
          <w:caps w:val="0"/>
          <w:smallCaps w:val="0"/>
          <w:sz w:val="24"/>
          <w:szCs w:val="22"/>
          <w:u w:val="none"/>
        </w:rPr>
        <w:t>。</w:t>
      </w:r>
    </w:p>
    <w:p w14:paraId="75639C90">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区域存在的主要生态问题</w:t>
      </w:r>
    </w:p>
    <w:bookmarkEnd w:id="194"/>
    <w:p w14:paraId="7FF4EB06">
      <w:pPr>
        <w:autoSpaceDE w:val="0"/>
        <w:autoSpaceDN w:val="0"/>
        <w:adjustRightInd w:val="0"/>
        <w:spacing w:line="360" w:lineRule="auto"/>
        <w:ind w:firstLine="480" w:firstLineChars="200"/>
        <w:rPr>
          <w:rFonts w:hint="default" w:ascii="Times New Roman" w:hAnsi="Times New Roman" w:eastAsia="宋体" w:cs="Times New Roman"/>
          <w:caps w:val="0"/>
          <w:smallCaps w:val="0"/>
          <w:sz w:val="24"/>
          <w:szCs w:val="22"/>
          <w:u w:val="none"/>
        </w:rPr>
      </w:pPr>
      <w:r>
        <w:rPr>
          <w:rFonts w:hint="default" w:ascii="Times New Roman" w:hAnsi="Times New Roman" w:eastAsia="宋体" w:cs="Times New Roman"/>
          <w:caps w:val="0"/>
          <w:smallCaps w:val="0"/>
          <w:sz w:val="24"/>
          <w:szCs w:val="22"/>
          <w:u w:val="none"/>
          <w:lang w:val="en-US" w:eastAsia="zh-CN"/>
        </w:rPr>
        <w:t>本区</w:t>
      </w:r>
      <w:r>
        <w:rPr>
          <w:rFonts w:hint="default" w:ascii="Times New Roman" w:hAnsi="Times New Roman" w:eastAsia="宋体" w:cs="Times New Roman"/>
          <w:caps w:val="0"/>
          <w:smallCaps w:val="0"/>
          <w:sz w:val="24"/>
          <w:szCs w:val="22"/>
          <w:u w:val="none"/>
        </w:rPr>
        <w:t>主要</w:t>
      </w:r>
      <w:r>
        <w:rPr>
          <w:rFonts w:hint="default" w:ascii="Times New Roman" w:hAnsi="Times New Roman" w:eastAsia="宋体" w:cs="Times New Roman"/>
          <w:caps w:val="0"/>
          <w:smallCaps w:val="0"/>
          <w:sz w:val="24"/>
          <w:szCs w:val="22"/>
          <w:u w:val="none"/>
          <w:lang w:val="en-US" w:eastAsia="zh-CN"/>
        </w:rPr>
        <w:t>的生态</w:t>
      </w:r>
      <w:r>
        <w:rPr>
          <w:rFonts w:hint="default" w:ascii="Times New Roman" w:hAnsi="Times New Roman" w:eastAsia="宋体" w:cs="Times New Roman"/>
          <w:caps w:val="0"/>
          <w:smallCaps w:val="0"/>
          <w:sz w:val="24"/>
          <w:szCs w:val="22"/>
          <w:u w:val="none"/>
        </w:rPr>
        <w:t>问题为</w:t>
      </w:r>
      <w:r>
        <w:rPr>
          <w:rFonts w:hint="default" w:ascii="Times New Roman" w:hAnsi="Times New Roman" w:eastAsia="宋体" w:cs="Times New Roman"/>
          <w:caps w:val="0"/>
          <w:smallCaps w:val="0"/>
          <w:sz w:val="24"/>
          <w:szCs w:val="22"/>
          <w:u w:val="none"/>
          <w:lang w:eastAsia="zh-CN"/>
        </w:rPr>
        <w:t>：</w:t>
      </w:r>
      <w:r>
        <w:rPr>
          <w:rFonts w:hint="default" w:ascii="Times New Roman" w:hAnsi="Times New Roman" w:eastAsia="宋体" w:cs="Times New Roman"/>
          <w:caps w:val="0"/>
          <w:smallCaps w:val="0"/>
          <w:sz w:val="24"/>
          <w:szCs w:val="22"/>
          <w:u w:val="none"/>
        </w:rPr>
        <w:t>湖泊围垦和泥沙淤积导致湖泊面积和容积缩小，洪水调蓄能力降低；迁徙鸟类等重要物种的栖息地受到损害；随着洞庭湖流域经济发展与城市化，水环境质量面临威胁。此外，长江干流水利工程建设与运行，对洞庭湖湿地生态系统功能与生物多样性保护的影响初步显现。</w:t>
      </w:r>
    </w:p>
    <w:p w14:paraId="2BA3F3C6">
      <w:pPr>
        <w:autoSpaceDE w:val="0"/>
        <w:autoSpaceDN w:val="0"/>
        <w:adjustRightInd w:val="0"/>
        <w:spacing w:line="360" w:lineRule="auto"/>
        <w:ind w:firstLine="480" w:firstLineChars="200"/>
        <w:rPr>
          <w:rFonts w:hint="default" w:ascii="Times New Roman" w:hAnsi="Times New Roman" w:eastAsia="宋体" w:cs="Times New Roman"/>
          <w:caps w:val="0"/>
          <w:smallCaps w:val="0"/>
          <w:sz w:val="24"/>
          <w:szCs w:val="22"/>
          <w:u w:val="none"/>
          <w:lang w:val="en-US" w:eastAsia="zh-CN"/>
        </w:rPr>
      </w:pPr>
      <w:r>
        <w:rPr>
          <w:rFonts w:hint="default" w:ascii="Times New Roman" w:hAnsi="Times New Roman" w:eastAsia="宋体" w:cs="Times New Roman"/>
          <w:caps w:val="0"/>
          <w:smallCaps w:val="0"/>
          <w:sz w:val="24"/>
          <w:szCs w:val="22"/>
          <w:u w:val="none"/>
          <w:lang w:val="en-US" w:eastAsia="zh-CN"/>
        </w:rPr>
        <w:t>生态保护措施：实行平垸行洪、退田还湖、移民建镇，扩大湖泊面积，提高其洪水调蓄的能力；以湿地生物多样性保护为核心，加强区内湿地自然保护区的建设与管理，处理好湿地生态保护与经济发展关系，保护渔业资源与水生生物多样性；控制点源和面源污染，加强江湖关系演变的监测和研究，实施长江干流水利工程的生态调度，保护与恢复洞庭湖生态系统结构与功能。</w:t>
      </w:r>
    </w:p>
    <w:p w14:paraId="76CEFD0A">
      <w:pPr>
        <w:pStyle w:val="4"/>
        <w:bidi w:val="0"/>
        <w:rPr>
          <w:rFonts w:hint="default" w:ascii="Times New Roman" w:hAnsi="Times New Roman" w:cs="Times New Roman"/>
          <w:lang w:val="en-US" w:eastAsia="zh-CN"/>
        </w:rPr>
      </w:pPr>
      <w:bookmarkStart w:id="195" w:name="_Toc22118"/>
      <w:bookmarkStart w:id="196" w:name="_Toc28713"/>
      <w:r>
        <w:rPr>
          <w:rFonts w:hint="default" w:ascii="Times New Roman" w:hAnsi="Times New Roman" w:cs="Times New Roman"/>
          <w:lang w:val="en-US" w:eastAsia="zh-CN"/>
        </w:rPr>
        <w:t>非生物因子现状</w:t>
      </w:r>
      <w:bookmarkEnd w:id="189"/>
      <w:bookmarkEnd w:id="195"/>
      <w:bookmarkEnd w:id="196"/>
    </w:p>
    <w:p w14:paraId="333CAB54">
      <w:pPr>
        <w:spacing w:line="360" w:lineRule="auto"/>
        <w:ind w:firstLine="480" w:firstLineChars="200"/>
        <w:rPr>
          <w:rFonts w:hint="default" w:ascii="Times New Roman" w:hAnsi="Times New Roman" w:eastAsia="宋体" w:cs="Times New Roman"/>
          <w:caps w:val="0"/>
          <w:smallCaps w:val="0"/>
          <w:color w:val="auto"/>
          <w:sz w:val="24"/>
          <w:szCs w:val="21"/>
          <w:u w:val="none"/>
        </w:rPr>
      </w:pPr>
      <w:r>
        <w:rPr>
          <w:rFonts w:hint="default" w:ascii="Times New Roman" w:hAnsi="Times New Roman" w:eastAsia="宋体" w:cs="Times New Roman"/>
          <w:caps w:val="0"/>
          <w:smallCaps w:val="0"/>
          <w:color w:val="auto"/>
          <w:sz w:val="24"/>
          <w:szCs w:val="21"/>
          <w:u w:val="none"/>
        </w:rPr>
        <w:t>东山水库库区属中亚热带季风湿润气候，具有“气候温和，四季分明，热量丰富，雨水充沛”的特点。根据库区原有的洪山头站气象资料统计，多年平均降雨量1262.3mm，多年平均降雨天数183.1天，降雨量年内分布极不均匀，4～6月降雨量523.2mm，占全年的41.37%。而农作物需水高峰期的7～9月多年平均降雨量仅336.6mm，只占年降雨量的26.61%。多年平均气温16.7～17.4℃，极端最低气温为零下12.6℃，极端最高气温40.0℃，无霜期273～283d，冰冻期一般从12月下旬开始至元月底结束，结冰厚度一般为5～10mm，最大积雪厚300mm。年平均日照时数为1800h。年平均蒸发量970.9mm。最大风力8级，瞬间最大风速24.5m/s。</w:t>
      </w:r>
    </w:p>
    <w:p w14:paraId="39E2BD04">
      <w:pPr>
        <w:pStyle w:val="4"/>
        <w:bidi w:val="0"/>
        <w:rPr>
          <w:rFonts w:hint="default" w:ascii="Times New Roman" w:hAnsi="Times New Roman" w:cs="Times New Roman"/>
          <w:lang w:val="en-US" w:eastAsia="zh-CN"/>
        </w:rPr>
      </w:pPr>
      <w:bookmarkStart w:id="197" w:name="_Toc18521"/>
      <w:bookmarkStart w:id="198" w:name="_Toc14282"/>
      <w:r>
        <w:rPr>
          <w:rFonts w:hint="default" w:ascii="Times New Roman" w:hAnsi="Times New Roman" w:cs="Times New Roman"/>
          <w:lang w:val="en-US" w:eastAsia="zh-CN"/>
        </w:rPr>
        <w:t>土地利用现状</w:t>
      </w:r>
      <w:bookmarkEnd w:id="190"/>
      <w:bookmarkEnd w:id="191"/>
      <w:bookmarkEnd w:id="192"/>
      <w:bookmarkEnd w:id="193"/>
      <w:bookmarkEnd w:id="197"/>
      <w:bookmarkEnd w:id="198"/>
    </w:p>
    <w:p w14:paraId="00D571D3">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1"/>
          <w:highlight w:val="none"/>
          <w:u w:val="none"/>
        </w:rPr>
      </w:pPr>
      <w:r>
        <w:rPr>
          <w:rFonts w:hint="default" w:ascii="Times New Roman" w:hAnsi="Times New Roman" w:eastAsia="宋体" w:cs="Times New Roman"/>
          <w:caps w:val="0"/>
          <w:smallCaps w:val="0"/>
          <w:snapToGrid/>
          <w:color w:val="auto"/>
          <w:spacing w:val="0"/>
          <w:kern w:val="0"/>
          <w:sz w:val="24"/>
          <w:szCs w:val="21"/>
          <w:highlight w:val="none"/>
          <w:u w:val="none"/>
          <w:lang w:eastAsia="zh-CN"/>
        </w:rPr>
        <w:t>项目位于岳阳市华容县境内，评价区土地利用现状是在卫片解译的基础上，结合现有资料，运用景观生态法（即以植被作为主导因素），并结合土壤、地貌等因子进行综合分析，根据《土地利用现状分类》（GB/T21010-2017）的分类，将土地利用格局的拼块类型分为林地、草地、耕地等几种类型。</w:t>
      </w:r>
    </w:p>
    <w:p w14:paraId="13C70966">
      <w:pPr>
        <w:pStyle w:val="6"/>
        <w:keepNext w:val="0"/>
        <w:keepLines w:val="0"/>
        <w:pageBreakBefore w:val="0"/>
        <w:widowControl w:val="0"/>
        <w:kinsoku w:val="0"/>
        <w:wordWrap w:val="0"/>
        <w:overflowPunct/>
        <w:topLinePunct/>
        <w:autoSpaceDE/>
        <w:autoSpaceDN/>
        <w:bidi w:val="0"/>
        <w:adjustRightInd/>
        <w:snapToGrid/>
        <w:spacing w:before="0" w:beforeLines="50" w:line="360" w:lineRule="auto"/>
        <w:ind w:left="0" w:leftChars="0" w:firstLine="0" w:firstLineChars="0"/>
        <w:jc w:val="center"/>
        <w:textAlignment w:val="auto"/>
        <w:rPr>
          <w:rFonts w:hint="default" w:ascii="Times New Roman" w:hAnsi="Times New Roman" w:eastAsia="宋体" w:cs="Times New Roman"/>
          <w:b/>
          <w:caps w:val="0"/>
          <w:smallCaps w:val="0"/>
          <w:color w:val="auto"/>
          <w:spacing w:val="0"/>
          <w:w w:val="100"/>
          <w:position w:val="0"/>
          <w:sz w:val="21"/>
          <w:szCs w:val="21"/>
          <w:u w:val="none" w:color="auto"/>
          <w:lang w:val="en-US" w:eastAsia="zh-CN"/>
        </w:rPr>
      </w:pP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表3.3-</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begin"/>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instrText xml:space="preserve"> SEQ 表 \* ARABIC \s 1 </w:instrTex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separate"/>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1</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end"/>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 xml:space="preserve"> 评价区土地利用现状</w:t>
      </w:r>
    </w:p>
    <w:tbl>
      <w:tblPr>
        <w:tblStyle w:val="3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965"/>
        <w:gridCol w:w="2525"/>
        <w:gridCol w:w="1905"/>
        <w:gridCol w:w="1477"/>
        <w:gridCol w:w="1652"/>
      </w:tblGrid>
      <w:tr w14:paraId="7A634E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566" w:type="pct"/>
            <w:tcBorders>
              <w:tl2br w:val="nil"/>
              <w:tr2bl w:val="nil"/>
            </w:tcBorders>
            <w:shd w:val="clear" w:color="auto" w:fill="auto"/>
            <w:noWrap/>
            <w:vAlign w:val="center"/>
          </w:tcPr>
          <w:p w14:paraId="12F515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编号</w:t>
            </w:r>
          </w:p>
        </w:tc>
        <w:tc>
          <w:tcPr>
            <w:tcW w:w="1481" w:type="pct"/>
            <w:tcBorders>
              <w:tl2br w:val="nil"/>
              <w:tr2bl w:val="nil"/>
            </w:tcBorders>
            <w:shd w:val="clear" w:color="auto" w:fill="auto"/>
            <w:noWrap/>
            <w:vAlign w:val="center"/>
          </w:tcPr>
          <w:p w14:paraId="6F0B69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一级分类</w:t>
            </w:r>
          </w:p>
        </w:tc>
        <w:tc>
          <w:tcPr>
            <w:tcW w:w="1117" w:type="pct"/>
            <w:tcBorders>
              <w:tl2br w:val="nil"/>
              <w:tr2bl w:val="nil"/>
            </w:tcBorders>
            <w:shd w:val="clear" w:color="auto" w:fill="auto"/>
            <w:noWrap/>
            <w:vAlign w:val="center"/>
          </w:tcPr>
          <w:p w14:paraId="57AB4C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二级分类</w:t>
            </w:r>
          </w:p>
        </w:tc>
        <w:tc>
          <w:tcPr>
            <w:tcW w:w="866" w:type="pct"/>
            <w:tcBorders>
              <w:tl2br w:val="nil"/>
              <w:tr2bl w:val="nil"/>
            </w:tcBorders>
            <w:shd w:val="clear" w:color="auto" w:fill="auto"/>
            <w:noWrap/>
            <w:vAlign w:val="center"/>
          </w:tcPr>
          <w:p w14:paraId="7F92A3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面积（公顷）</w:t>
            </w:r>
          </w:p>
        </w:tc>
        <w:tc>
          <w:tcPr>
            <w:tcW w:w="969" w:type="pct"/>
            <w:tcBorders>
              <w:tl2br w:val="nil"/>
              <w:tr2bl w:val="nil"/>
            </w:tcBorders>
            <w:shd w:val="clear" w:color="auto" w:fill="auto"/>
            <w:noWrap/>
            <w:vAlign w:val="center"/>
          </w:tcPr>
          <w:p w14:paraId="432F3D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占评价区（%）</w:t>
            </w:r>
          </w:p>
        </w:tc>
      </w:tr>
      <w:tr w14:paraId="709492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pct"/>
            <w:tcBorders>
              <w:tl2br w:val="nil"/>
              <w:tr2bl w:val="nil"/>
            </w:tcBorders>
            <w:shd w:val="clear" w:color="auto" w:fill="auto"/>
            <w:noWrap/>
            <w:vAlign w:val="center"/>
          </w:tcPr>
          <w:p w14:paraId="7C1FA5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w:t>
            </w:r>
          </w:p>
        </w:tc>
        <w:tc>
          <w:tcPr>
            <w:tcW w:w="1481" w:type="pct"/>
            <w:tcBorders>
              <w:tl2br w:val="nil"/>
              <w:tr2bl w:val="nil"/>
            </w:tcBorders>
            <w:shd w:val="clear" w:color="auto" w:fill="auto"/>
            <w:noWrap/>
            <w:vAlign w:val="center"/>
          </w:tcPr>
          <w:p w14:paraId="7E4513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耕地</w:t>
            </w:r>
          </w:p>
        </w:tc>
        <w:tc>
          <w:tcPr>
            <w:tcW w:w="1117" w:type="pct"/>
            <w:tcBorders>
              <w:tl2br w:val="nil"/>
              <w:tr2bl w:val="nil"/>
            </w:tcBorders>
            <w:shd w:val="clear" w:color="auto" w:fill="auto"/>
            <w:noWrap/>
            <w:vAlign w:val="center"/>
          </w:tcPr>
          <w:p w14:paraId="3C8115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水田</w:t>
            </w:r>
          </w:p>
        </w:tc>
        <w:tc>
          <w:tcPr>
            <w:tcW w:w="1477" w:type="dxa"/>
            <w:tcBorders>
              <w:tl2br w:val="nil"/>
              <w:tr2bl w:val="nil"/>
            </w:tcBorders>
            <w:shd w:val="clear" w:color="auto" w:fill="auto"/>
            <w:noWrap/>
            <w:vAlign w:val="center"/>
          </w:tcPr>
          <w:p w14:paraId="28A8B01C">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75.5443 </w:t>
            </w:r>
          </w:p>
        </w:tc>
        <w:tc>
          <w:tcPr>
            <w:tcW w:w="1652" w:type="dxa"/>
            <w:tcBorders>
              <w:tl2br w:val="nil"/>
              <w:tr2bl w:val="nil"/>
            </w:tcBorders>
            <w:shd w:val="clear" w:color="auto" w:fill="auto"/>
            <w:noWrap/>
            <w:vAlign w:val="center"/>
          </w:tcPr>
          <w:p w14:paraId="57DC49DC">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9.80 </w:t>
            </w:r>
          </w:p>
        </w:tc>
      </w:tr>
      <w:tr w14:paraId="3AAD2C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pct"/>
            <w:tcBorders>
              <w:tl2br w:val="nil"/>
              <w:tr2bl w:val="nil"/>
            </w:tcBorders>
            <w:shd w:val="clear" w:color="auto" w:fill="auto"/>
            <w:noWrap/>
            <w:vAlign w:val="center"/>
          </w:tcPr>
          <w:p w14:paraId="199942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w:t>
            </w:r>
          </w:p>
        </w:tc>
        <w:tc>
          <w:tcPr>
            <w:tcW w:w="1481" w:type="pct"/>
            <w:tcBorders>
              <w:tl2br w:val="nil"/>
              <w:tr2bl w:val="nil"/>
            </w:tcBorders>
            <w:shd w:val="clear" w:color="auto" w:fill="auto"/>
            <w:noWrap/>
            <w:vAlign w:val="center"/>
          </w:tcPr>
          <w:p w14:paraId="72F3BF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耕地</w:t>
            </w:r>
          </w:p>
        </w:tc>
        <w:tc>
          <w:tcPr>
            <w:tcW w:w="1117" w:type="pct"/>
            <w:tcBorders>
              <w:tl2br w:val="nil"/>
              <w:tr2bl w:val="nil"/>
            </w:tcBorders>
            <w:shd w:val="clear" w:color="auto" w:fill="auto"/>
            <w:noWrap/>
            <w:vAlign w:val="center"/>
          </w:tcPr>
          <w:p w14:paraId="03D3A3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旱地</w:t>
            </w:r>
          </w:p>
        </w:tc>
        <w:tc>
          <w:tcPr>
            <w:tcW w:w="1477" w:type="dxa"/>
            <w:tcBorders>
              <w:tl2br w:val="nil"/>
              <w:tr2bl w:val="nil"/>
            </w:tcBorders>
            <w:shd w:val="clear" w:color="auto" w:fill="auto"/>
            <w:noWrap/>
            <w:vAlign w:val="center"/>
          </w:tcPr>
          <w:p w14:paraId="0D4ADA16">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30.0207 </w:t>
            </w:r>
          </w:p>
        </w:tc>
        <w:tc>
          <w:tcPr>
            <w:tcW w:w="1652" w:type="dxa"/>
            <w:tcBorders>
              <w:tl2br w:val="nil"/>
              <w:tr2bl w:val="nil"/>
            </w:tcBorders>
            <w:shd w:val="clear" w:color="auto" w:fill="auto"/>
            <w:noWrap/>
            <w:vAlign w:val="center"/>
          </w:tcPr>
          <w:p w14:paraId="396AB03A">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3.89 </w:t>
            </w:r>
          </w:p>
        </w:tc>
      </w:tr>
      <w:tr w14:paraId="67D8C2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pct"/>
            <w:tcBorders>
              <w:tl2br w:val="nil"/>
              <w:tr2bl w:val="nil"/>
            </w:tcBorders>
            <w:shd w:val="clear" w:color="auto" w:fill="auto"/>
            <w:noWrap/>
            <w:vAlign w:val="center"/>
          </w:tcPr>
          <w:p w14:paraId="5B1AC7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3</w:t>
            </w:r>
          </w:p>
        </w:tc>
        <w:tc>
          <w:tcPr>
            <w:tcW w:w="1481" w:type="pct"/>
            <w:tcBorders>
              <w:tl2br w:val="nil"/>
              <w:tr2bl w:val="nil"/>
            </w:tcBorders>
            <w:shd w:val="clear" w:color="auto" w:fill="auto"/>
            <w:noWrap/>
            <w:vAlign w:val="center"/>
          </w:tcPr>
          <w:p w14:paraId="740A23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林地</w:t>
            </w:r>
          </w:p>
        </w:tc>
        <w:tc>
          <w:tcPr>
            <w:tcW w:w="1117" w:type="pct"/>
            <w:tcBorders>
              <w:tl2br w:val="nil"/>
              <w:tr2bl w:val="nil"/>
            </w:tcBorders>
            <w:shd w:val="clear" w:color="auto" w:fill="auto"/>
            <w:noWrap/>
            <w:vAlign w:val="center"/>
          </w:tcPr>
          <w:p w14:paraId="341BFE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乔木林地</w:t>
            </w:r>
          </w:p>
        </w:tc>
        <w:tc>
          <w:tcPr>
            <w:tcW w:w="1477" w:type="dxa"/>
            <w:tcBorders>
              <w:tl2br w:val="nil"/>
              <w:tr2bl w:val="nil"/>
            </w:tcBorders>
            <w:shd w:val="clear" w:color="auto" w:fill="auto"/>
            <w:noWrap/>
            <w:vAlign w:val="center"/>
          </w:tcPr>
          <w:p w14:paraId="2566732D">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360.1697 </w:t>
            </w:r>
          </w:p>
        </w:tc>
        <w:tc>
          <w:tcPr>
            <w:tcW w:w="1652" w:type="dxa"/>
            <w:tcBorders>
              <w:tl2br w:val="nil"/>
              <w:tr2bl w:val="nil"/>
            </w:tcBorders>
            <w:shd w:val="clear" w:color="auto" w:fill="auto"/>
            <w:noWrap/>
            <w:vAlign w:val="center"/>
          </w:tcPr>
          <w:p w14:paraId="79C6C916">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46.71 </w:t>
            </w:r>
          </w:p>
        </w:tc>
      </w:tr>
      <w:tr w14:paraId="6AE247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pct"/>
            <w:tcBorders>
              <w:tl2br w:val="nil"/>
              <w:tr2bl w:val="nil"/>
            </w:tcBorders>
            <w:shd w:val="clear" w:color="auto" w:fill="auto"/>
            <w:noWrap/>
            <w:vAlign w:val="center"/>
          </w:tcPr>
          <w:p w14:paraId="23664A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4</w:t>
            </w:r>
          </w:p>
        </w:tc>
        <w:tc>
          <w:tcPr>
            <w:tcW w:w="1481" w:type="pct"/>
            <w:tcBorders>
              <w:tl2br w:val="nil"/>
              <w:tr2bl w:val="nil"/>
            </w:tcBorders>
            <w:shd w:val="clear" w:color="auto" w:fill="auto"/>
            <w:noWrap/>
            <w:vAlign w:val="center"/>
          </w:tcPr>
          <w:p w14:paraId="7371A3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林地</w:t>
            </w:r>
          </w:p>
        </w:tc>
        <w:tc>
          <w:tcPr>
            <w:tcW w:w="1117" w:type="pct"/>
            <w:tcBorders>
              <w:tl2br w:val="nil"/>
              <w:tr2bl w:val="nil"/>
            </w:tcBorders>
            <w:shd w:val="clear" w:color="auto" w:fill="auto"/>
            <w:noWrap/>
            <w:vAlign w:val="center"/>
          </w:tcPr>
          <w:p w14:paraId="6D37E8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竹林地</w:t>
            </w:r>
          </w:p>
        </w:tc>
        <w:tc>
          <w:tcPr>
            <w:tcW w:w="1477" w:type="dxa"/>
            <w:tcBorders>
              <w:tl2br w:val="nil"/>
              <w:tr2bl w:val="nil"/>
            </w:tcBorders>
            <w:shd w:val="clear" w:color="auto" w:fill="auto"/>
            <w:noWrap/>
            <w:vAlign w:val="center"/>
          </w:tcPr>
          <w:p w14:paraId="2ACA8349">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66.0370 </w:t>
            </w:r>
          </w:p>
        </w:tc>
        <w:tc>
          <w:tcPr>
            <w:tcW w:w="1652" w:type="dxa"/>
            <w:tcBorders>
              <w:tl2br w:val="nil"/>
              <w:tr2bl w:val="nil"/>
            </w:tcBorders>
            <w:shd w:val="clear" w:color="auto" w:fill="auto"/>
            <w:noWrap/>
            <w:vAlign w:val="center"/>
          </w:tcPr>
          <w:p w14:paraId="248CCB69">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8.56 </w:t>
            </w:r>
          </w:p>
        </w:tc>
      </w:tr>
      <w:tr w14:paraId="5CA176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pct"/>
            <w:tcBorders>
              <w:tl2br w:val="nil"/>
              <w:tr2bl w:val="nil"/>
            </w:tcBorders>
            <w:shd w:val="clear" w:color="auto" w:fill="auto"/>
            <w:noWrap/>
            <w:vAlign w:val="center"/>
          </w:tcPr>
          <w:p w14:paraId="53C48C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5</w:t>
            </w:r>
          </w:p>
        </w:tc>
        <w:tc>
          <w:tcPr>
            <w:tcW w:w="1481" w:type="pct"/>
            <w:tcBorders>
              <w:tl2br w:val="nil"/>
              <w:tr2bl w:val="nil"/>
            </w:tcBorders>
            <w:shd w:val="clear" w:color="auto" w:fill="auto"/>
            <w:noWrap/>
            <w:vAlign w:val="center"/>
          </w:tcPr>
          <w:p w14:paraId="16F0AE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林地</w:t>
            </w:r>
          </w:p>
        </w:tc>
        <w:tc>
          <w:tcPr>
            <w:tcW w:w="1117" w:type="pct"/>
            <w:tcBorders>
              <w:tl2br w:val="nil"/>
              <w:tr2bl w:val="nil"/>
            </w:tcBorders>
            <w:shd w:val="clear" w:color="auto" w:fill="auto"/>
            <w:noWrap/>
            <w:vAlign w:val="center"/>
          </w:tcPr>
          <w:p w14:paraId="62D9F9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灌木林地</w:t>
            </w:r>
          </w:p>
        </w:tc>
        <w:tc>
          <w:tcPr>
            <w:tcW w:w="1477" w:type="dxa"/>
            <w:tcBorders>
              <w:tl2br w:val="nil"/>
              <w:tr2bl w:val="nil"/>
            </w:tcBorders>
            <w:shd w:val="clear" w:color="auto" w:fill="auto"/>
            <w:noWrap/>
            <w:vAlign w:val="center"/>
          </w:tcPr>
          <w:p w14:paraId="1E144761">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92.1120 </w:t>
            </w:r>
          </w:p>
        </w:tc>
        <w:tc>
          <w:tcPr>
            <w:tcW w:w="1652" w:type="dxa"/>
            <w:tcBorders>
              <w:tl2br w:val="nil"/>
              <w:tr2bl w:val="nil"/>
            </w:tcBorders>
            <w:shd w:val="clear" w:color="auto" w:fill="auto"/>
            <w:noWrap/>
            <w:vAlign w:val="center"/>
          </w:tcPr>
          <w:p w14:paraId="28418745">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11.95 </w:t>
            </w:r>
          </w:p>
        </w:tc>
      </w:tr>
      <w:tr w14:paraId="59D8DF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pct"/>
            <w:tcBorders>
              <w:tl2br w:val="nil"/>
              <w:tr2bl w:val="nil"/>
            </w:tcBorders>
            <w:shd w:val="clear" w:color="auto" w:fill="auto"/>
            <w:noWrap/>
            <w:vAlign w:val="center"/>
          </w:tcPr>
          <w:p w14:paraId="346F89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6</w:t>
            </w:r>
          </w:p>
        </w:tc>
        <w:tc>
          <w:tcPr>
            <w:tcW w:w="1481" w:type="pct"/>
            <w:tcBorders>
              <w:tl2br w:val="nil"/>
              <w:tr2bl w:val="nil"/>
            </w:tcBorders>
            <w:shd w:val="clear" w:color="auto" w:fill="auto"/>
            <w:noWrap/>
            <w:vAlign w:val="center"/>
          </w:tcPr>
          <w:p w14:paraId="69C77E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草地</w:t>
            </w:r>
          </w:p>
        </w:tc>
        <w:tc>
          <w:tcPr>
            <w:tcW w:w="1117" w:type="pct"/>
            <w:tcBorders>
              <w:tl2br w:val="nil"/>
              <w:tr2bl w:val="nil"/>
            </w:tcBorders>
            <w:shd w:val="clear" w:color="auto" w:fill="auto"/>
            <w:noWrap/>
            <w:vAlign w:val="center"/>
          </w:tcPr>
          <w:p w14:paraId="357D74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其他草地</w:t>
            </w:r>
          </w:p>
        </w:tc>
        <w:tc>
          <w:tcPr>
            <w:tcW w:w="1477" w:type="dxa"/>
            <w:tcBorders>
              <w:tl2br w:val="nil"/>
              <w:tr2bl w:val="nil"/>
            </w:tcBorders>
            <w:shd w:val="clear" w:color="auto" w:fill="auto"/>
            <w:noWrap/>
            <w:vAlign w:val="center"/>
          </w:tcPr>
          <w:p w14:paraId="47A9B7B2">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44.7939 </w:t>
            </w:r>
          </w:p>
        </w:tc>
        <w:tc>
          <w:tcPr>
            <w:tcW w:w="1652" w:type="dxa"/>
            <w:tcBorders>
              <w:tl2br w:val="nil"/>
              <w:tr2bl w:val="nil"/>
            </w:tcBorders>
            <w:shd w:val="clear" w:color="auto" w:fill="auto"/>
            <w:noWrap/>
            <w:vAlign w:val="center"/>
          </w:tcPr>
          <w:p w14:paraId="005F39A2">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5.81 </w:t>
            </w:r>
          </w:p>
        </w:tc>
      </w:tr>
      <w:tr w14:paraId="3F450B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pct"/>
            <w:tcBorders>
              <w:tl2br w:val="nil"/>
              <w:tr2bl w:val="nil"/>
            </w:tcBorders>
            <w:shd w:val="clear" w:color="auto" w:fill="auto"/>
            <w:noWrap/>
            <w:vAlign w:val="center"/>
          </w:tcPr>
          <w:p w14:paraId="25C614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7</w:t>
            </w:r>
          </w:p>
        </w:tc>
        <w:tc>
          <w:tcPr>
            <w:tcW w:w="1481" w:type="pct"/>
            <w:tcBorders>
              <w:tl2br w:val="nil"/>
              <w:tr2bl w:val="nil"/>
            </w:tcBorders>
            <w:shd w:val="clear" w:color="auto" w:fill="auto"/>
            <w:noWrap/>
            <w:vAlign w:val="center"/>
          </w:tcPr>
          <w:p w14:paraId="75FC50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工矿仓储用地</w:t>
            </w:r>
          </w:p>
        </w:tc>
        <w:tc>
          <w:tcPr>
            <w:tcW w:w="1117" w:type="pct"/>
            <w:tcBorders>
              <w:tl2br w:val="nil"/>
              <w:tr2bl w:val="nil"/>
            </w:tcBorders>
            <w:shd w:val="clear" w:color="auto" w:fill="auto"/>
            <w:noWrap/>
            <w:vAlign w:val="center"/>
          </w:tcPr>
          <w:p w14:paraId="51216C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工业用地</w:t>
            </w:r>
          </w:p>
        </w:tc>
        <w:tc>
          <w:tcPr>
            <w:tcW w:w="1477" w:type="dxa"/>
            <w:tcBorders>
              <w:tl2br w:val="nil"/>
              <w:tr2bl w:val="nil"/>
            </w:tcBorders>
            <w:shd w:val="clear" w:color="auto" w:fill="auto"/>
            <w:noWrap/>
            <w:vAlign w:val="center"/>
          </w:tcPr>
          <w:p w14:paraId="4C52EF26">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1.4209 </w:t>
            </w:r>
          </w:p>
        </w:tc>
        <w:tc>
          <w:tcPr>
            <w:tcW w:w="1652" w:type="dxa"/>
            <w:tcBorders>
              <w:tl2br w:val="nil"/>
              <w:tr2bl w:val="nil"/>
            </w:tcBorders>
            <w:shd w:val="clear" w:color="auto" w:fill="auto"/>
            <w:noWrap/>
            <w:vAlign w:val="center"/>
          </w:tcPr>
          <w:p w14:paraId="5B82CDA3">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0.18 </w:t>
            </w:r>
          </w:p>
        </w:tc>
      </w:tr>
      <w:tr w14:paraId="38957D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pct"/>
            <w:tcBorders>
              <w:tl2br w:val="nil"/>
              <w:tr2bl w:val="nil"/>
            </w:tcBorders>
            <w:shd w:val="clear" w:color="auto" w:fill="auto"/>
            <w:noWrap/>
            <w:vAlign w:val="center"/>
          </w:tcPr>
          <w:p w14:paraId="5A0F40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8</w:t>
            </w:r>
          </w:p>
        </w:tc>
        <w:tc>
          <w:tcPr>
            <w:tcW w:w="1481" w:type="pct"/>
            <w:tcBorders>
              <w:tl2br w:val="nil"/>
              <w:tr2bl w:val="nil"/>
            </w:tcBorders>
            <w:shd w:val="clear" w:color="auto" w:fill="auto"/>
            <w:noWrap/>
            <w:vAlign w:val="center"/>
          </w:tcPr>
          <w:p w14:paraId="2C6CE4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住宅用地</w:t>
            </w:r>
          </w:p>
        </w:tc>
        <w:tc>
          <w:tcPr>
            <w:tcW w:w="1117" w:type="pct"/>
            <w:tcBorders>
              <w:tl2br w:val="nil"/>
              <w:tr2bl w:val="nil"/>
            </w:tcBorders>
            <w:shd w:val="clear" w:color="auto" w:fill="auto"/>
            <w:noWrap/>
            <w:vAlign w:val="center"/>
          </w:tcPr>
          <w:p w14:paraId="28C0B0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农村宅基地</w:t>
            </w:r>
          </w:p>
        </w:tc>
        <w:tc>
          <w:tcPr>
            <w:tcW w:w="1477" w:type="dxa"/>
            <w:tcBorders>
              <w:tl2br w:val="nil"/>
              <w:tr2bl w:val="nil"/>
            </w:tcBorders>
            <w:shd w:val="clear" w:color="auto" w:fill="auto"/>
            <w:noWrap/>
            <w:vAlign w:val="center"/>
          </w:tcPr>
          <w:p w14:paraId="314F24DD">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14.4863 </w:t>
            </w:r>
          </w:p>
        </w:tc>
        <w:tc>
          <w:tcPr>
            <w:tcW w:w="1652" w:type="dxa"/>
            <w:tcBorders>
              <w:tl2br w:val="nil"/>
              <w:tr2bl w:val="nil"/>
            </w:tcBorders>
            <w:shd w:val="clear" w:color="auto" w:fill="auto"/>
            <w:noWrap/>
            <w:vAlign w:val="center"/>
          </w:tcPr>
          <w:p w14:paraId="584F2764">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1.88 </w:t>
            </w:r>
          </w:p>
        </w:tc>
      </w:tr>
      <w:tr w14:paraId="00EE9A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pct"/>
            <w:tcBorders>
              <w:tl2br w:val="nil"/>
              <w:tr2bl w:val="nil"/>
            </w:tcBorders>
            <w:shd w:val="clear" w:color="auto" w:fill="auto"/>
            <w:noWrap/>
            <w:vAlign w:val="center"/>
          </w:tcPr>
          <w:p w14:paraId="5A8A1D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9</w:t>
            </w:r>
          </w:p>
        </w:tc>
        <w:tc>
          <w:tcPr>
            <w:tcW w:w="1481" w:type="pct"/>
            <w:tcBorders>
              <w:tl2br w:val="nil"/>
              <w:tr2bl w:val="nil"/>
            </w:tcBorders>
            <w:shd w:val="clear" w:color="auto" w:fill="auto"/>
            <w:noWrap/>
            <w:vAlign w:val="center"/>
          </w:tcPr>
          <w:p w14:paraId="019E4B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交通运输用地</w:t>
            </w:r>
          </w:p>
        </w:tc>
        <w:tc>
          <w:tcPr>
            <w:tcW w:w="1117" w:type="pct"/>
            <w:tcBorders>
              <w:tl2br w:val="nil"/>
              <w:tr2bl w:val="nil"/>
            </w:tcBorders>
            <w:shd w:val="clear" w:color="auto" w:fill="auto"/>
            <w:noWrap/>
            <w:vAlign w:val="center"/>
          </w:tcPr>
          <w:p w14:paraId="1C5DE5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公路用地</w:t>
            </w:r>
          </w:p>
        </w:tc>
        <w:tc>
          <w:tcPr>
            <w:tcW w:w="1477" w:type="dxa"/>
            <w:tcBorders>
              <w:tl2br w:val="nil"/>
              <w:tr2bl w:val="nil"/>
            </w:tcBorders>
            <w:shd w:val="clear" w:color="auto" w:fill="auto"/>
            <w:noWrap/>
            <w:vAlign w:val="center"/>
          </w:tcPr>
          <w:p w14:paraId="4A4A4377">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3.7307 </w:t>
            </w:r>
          </w:p>
        </w:tc>
        <w:tc>
          <w:tcPr>
            <w:tcW w:w="1652" w:type="dxa"/>
            <w:tcBorders>
              <w:tl2br w:val="nil"/>
              <w:tr2bl w:val="nil"/>
            </w:tcBorders>
            <w:shd w:val="clear" w:color="auto" w:fill="auto"/>
            <w:noWrap/>
            <w:vAlign w:val="center"/>
          </w:tcPr>
          <w:p w14:paraId="3C93CC10">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0.48 </w:t>
            </w:r>
          </w:p>
        </w:tc>
      </w:tr>
      <w:tr w14:paraId="18B83A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pct"/>
            <w:tcBorders>
              <w:tl2br w:val="nil"/>
              <w:tr2bl w:val="nil"/>
            </w:tcBorders>
            <w:shd w:val="clear" w:color="auto" w:fill="auto"/>
            <w:noWrap/>
            <w:vAlign w:val="center"/>
          </w:tcPr>
          <w:p w14:paraId="1A50F3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eastAsia="zh-CN"/>
              </w:rPr>
              <w:t>10</w:t>
            </w:r>
          </w:p>
        </w:tc>
        <w:tc>
          <w:tcPr>
            <w:tcW w:w="1481" w:type="pct"/>
            <w:tcBorders>
              <w:tl2br w:val="nil"/>
              <w:tr2bl w:val="nil"/>
            </w:tcBorders>
            <w:shd w:val="clear" w:color="auto" w:fill="auto"/>
            <w:noWrap/>
            <w:vAlign w:val="center"/>
          </w:tcPr>
          <w:p w14:paraId="188FE8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交通运输用地</w:t>
            </w:r>
          </w:p>
        </w:tc>
        <w:tc>
          <w:tcPr>
            <w:tcW w:w="1117" w:type="pct"/>
            <w:tcBorders>
              <w:tl2br w:val="nil"/>
              <w:tr2bl w:val="nil"/>
            </w:tcBorders>
            <w:shd w:val="clear" w:color="auto" w:fill="auto"/>
            <w:noWrap/>
            <w:vAlign w:val="center"/>
          </w:tcPr>
          <w:p w14:paraId="640683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农村道路</w:t>
            </w:r>
          </w:p>
        </w:tc>
        <w:tc>
          <w:tcPr>
            <w:tcW w:w="1477" w:type="dxa"/>
            <w:tcBorders>
              <w:tl2br w:val="nil"/>
              <w:tr2bl w:val="nil"/>
            </w:tcBorders>
            <w:shd w:val="clear" w:color="auto" w:fill="auto"/>
            <w:noWrap/>
            <w:vAlign w:val="center"/>
          </w:tcPr>
          <w:p w14:paraId="29E35E25">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7.8022 </w:t>
            </w:r>
          </w:p>
        </w:tc>
        <w:tc>
          <w:tcPr>
            <w:tcW w:w="1652" w:type="dxa"/>
            <w:tcBorders>
              <w:tl2br w:val="nil"/>
              <w:tr2bl w:val="nil"/>
            </w:tcBorders>
            <w:shd w:val="clear" w:color="auto" w:fill="auto"/>
            <w:noWrap/>
            <w:vAlign w:val="center"/>
          </w:tcPr>
          <w:p w14:paraId="37F790F7">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1.01 </w:t>
            </w:r>
          </w:p>
        </w:tc>
      </w:tr>
      <w:tr w14:paraId="4F5CC4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pct"/>
            <w:tcBorders>
              <w:tl2br w:val="nil"/>
              <w:tr2bl w:val="nil"/>
            </w:tcBorders>
            <w:shd w:val="clear" w:color="auto" w:fill="auto"/>
            <w:noWrap/>
            <w:vAlign w:val="center"/>
          </w:tcPr>
          <w:p w14:paraId="52C57F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11</w:t>
            </w:r>
          </w:p>
        </w:tc>
        <w:tc>
          <w:tcPr>
            <w:tcW w:w="1481" w:type="pct"/>
            <w:tcBorders>
              <w:tl2br w:val="nil"/>
              <w:tr2bl w:val="nil"/>
            </w:tcBorders>
            <w:shd w:val="clear" w:color="auto" w:fill="auto"/>
            <w:noWrap/>
            <w:vAlign w:val="center"/>
          </w:tcPr>
          <w:p w14:paraId="32C587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水域及水利设施用地</w:t>
            </w:r>
          </w:p>
        </w:tc>
        <w:tc>
          <w:tcPr>
            <w:tcW w:w="1117" w:type="pct"/>
            <w:tcBorders>
              <w:tl2br w:val="nil"/>
              <w:tr2bl w:val="nil"/>
            </w:tcBorders>
            <w:shd w:val="clear" w:color="auto" w:fill="auto"/>
            <w:noWrap/>
            <w:vAlign w:val="center"/>
          </w:tcPr>
          <w:p w14:paraId="2D1F39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水库水面</w:t>
            </w:r>
          </w:p>
        </w:tc>
        <w:tc>
          <w:tcPr>
            <w:tcW w:w="1477" w:type="dxa"/>
            <w:tcBorders>
              <w:tl2br w:val="nil"/>
              <w:tr2bl w:val="nil"/>
            </w:tcBorders>
            <w:shd w:val="clear" w:color="auto" w:fill="auto"/>
            <w:noWrap/>
            <w:vAlign w:val="center"/>
          </w:tcPr>
          <w:p w14:paraId="2E0CD6A0">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35.0549 </w:t>
            </w:r>
          </w:p>
        </w:tc>
        <w:tc>
          <w:tcPr>
            <w:tcW w:w="1652" w:type="dxa"/>
            <w:tcBorders>
              <w:tl2br w:val="nil"/>
              <w:tr2bl w:val="nil"/>
            </w:tcBorders>
            <w:shd w:val="clear" w:color="auto" w:fill="auto"/>
            <w:noWrap/>
            <w:vAlign w:val="center"/>
          </w:tcPr>
          <w:p w14:paraId="0E23D799">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4.55 </w:t>
            </w:r>
          </w:p>
        </w:tc>
      </w:tr>
      <w:tr w14:paraId="36AFD1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pct"/>
            <w:tcBorders>
              <w:tl2br w:val="nil"/>
              <w:tr2bl w:val="nil"/>
            </w:tcBorders>
            <w:shd w:val="clear" w:color="auto" w:fill="auto"/>
            <w:noWrap/>
            <w:vAlign w:val="center"/>
          </w:tcPr>
          <w:p w14:paraId="6D509C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12</w:t>
            </w:r>
          </w:p>
        </w:tc>
        <w:tc>
          <w:tcPr>
            <w:tcW w:w="1481" w:type="pct"/>
            <w:tcBorders>
              <w:tl2br w:val="nil"/>
              <w:tr2bl w:val="nil"/>
            </w:tcBorders>
            <w:shd w:val="clear" w:color="auto" w:fill="auto"/>
            <w:noWrap/>
            <w:vAlign w:val="center"/>
          </w:tcPr>
          <w:p w14:paraId="265FE4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水域及水利设施用地</w:t>
            </w:r>
          </w:p>
        </w:tc>
        <w:tc>
          <w:tcPr>
            <w:tcW w:w="1117" w:type="pct"/>
            <w:tcBorders>
              <w:tl2br w:val="nil"/>
              <w:tr2bl w:val="nil"/>
            </w:tcBorders>
            <w:shd w:val="clear" w:color="auto" w:fill="auto"/>
            <w:noWrap/>
            <w:vAlign w:val="center"/>
          </w:tcPr>
          <w:p w14:paraId="4A6E17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坑塘水面</w:t>
            </w:r>
          </w:p>
        </w:tc>
        <w:tc>
          <w:tcPr>
            <w:tcW w:w="1477" w:type="dxa"/>
            <w:tcBorders>
              <w:tl2br w:val="nil"/>
              <w:tr2bl w:val="nil"/>
            </w:tcBorders>
            <w:shd w:val="clear" w:color="auto" w:fill="auto"/>
            <w:noWrap/>
            <w:vAlign w:val="center"/>
          </w:tcPr>
          <w:p w14:paraId="2B61A551">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11.2748 </w:t>
            </w:r>
          </w:p>
        </w:tc>
        <w:tc>
          <w:tcPr>
            <w:tcW w:w="1652" w:type="dxa"/>
            <w:tcBorders>
              <w:tl2br w:val="nil"/>
              <w:tr2bl w:val="nil"/>
            </w:tcBorders>
            <w:shd w:val="clear" w:color="auto" w:fill="auto"/>
            <w:noWrap/>
            <w:vAlign w:val="center"/>
          </w:tcPr>
          <w:p w14:paraId="24738D0B">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1.46 </w:t>
            </w:r>
          </w:p>
        </w:tc>
      </w:tr>
      <w:tr w14:paraId="202E74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pct"/>
            <w:tcBorders>
              <w:tl2br w:val="nil"/>
              <w:tr2bl w:val="nil"/>
            </w:tcBorders>
            <w:shd w:val="clear" w:color="auto" w:fill="auto"/>
            <w:noWrap/>
            <w:vAlign w:val="center"/>
          </w:tcPr>
          <w:p w14:paraId="47FD8A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13</w:t>
            </w:r>
          </w:p>
        </w:tc>
        <w:tc>
          <w:tcPr>
            <w:tcW w:w="1481" w:type="pct"/>
            <w:tcBorders>
              <w:tl2br w:val="nil"/>
              <w:tr2bl w:val="nil"/>
            </w:tcBorders>
            <w:shd w:val="clear" w:color="auto" w:fill="auto"/>
            <w:noWrap/>
            <w:vAlign w:val="center"/>
          </w:tcPr>
          <w:p w14:paraId="249984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水域及水利设施用地</w:t>
            </w:r>
          </w:p>
        </w:tc>
        <w:tc>
          <w:tcPr>
            <w:tcW w:w="1117" w:type="pct"/>
            <w:tcBorders>
              <w:tl2br w:val="nil"/>
              <w:tr2bl w:val="nil"/>
            </w:tcBorders>
            <w:shd w:val="clear" w:color="auto" w:fill="auto"/>
            <w:noWrap/>
            <w:vAlign w:val="center"/>
          </w:tcPr>
          <w:p w14:paraId="5B3E91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内陆滩涂</w:t>
            </w:r>
          </w:p>
        </w:tc>
        <w:tc>
          <w:tcPr>
            <w:tcW w:w="1477" w:type="dxa"/>
            <w:tcBorders>
              <w:tl2br w:val="nil"/>
              <w:tr2bl w:val="nil"/>
            </w:tcBorders>
            <w:shd w:val="clear" w:color="auto" w:fill="auto"/>
            <w:noWrap/>
            <w:vAlign w:val="center"/>
          </w:tcPr>
          <w:p w14:paraId="5336D7B3">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21.8051 </w:t>
            </w:r>
          </w:p>
        </w:tc>
        <w:tc>
          <w:tcPr>
            <w:tcW w:w="1652" w:type="dxa"/>
            <w:tcBorders>
              <w:tl2br w:val="nil"/>
              <w:tr2bl w:val="nil"/>
            </w:tcBorders>
            <w:shd w:val="clear" w:color="auto" w:fill="auto"/>
            <w:noWrap/>
            <w:vAlign w:val="center"/>
          </w:tcPr>
          <w:p w14:paraId="6AB8CE42">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2.83 </w:t>
            </w:r>
          </w:p>
        </w:tc>
      </w:tr>
      <w:tr w14:paraId="2594CB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pct"/>
            <w:tcBorders>
              <w:tl2br w:val="nil"/>
              <w:tr2bl w:val="nil"/>
            </w:tcBorders>
            <w:shd w:val="clear" w:color="auto" w:fill="auto"/>
            <w:noWrap/>
            <w:vAlign w:val="center"/>
          </w:tcPr>
          <w:p w14:paraId="53FE81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14</w:t>
            </w:r>
          </w:p>
        </w:tc>
        <w:tc>
          <w:tcPr>
            <w:tcW w:w="1481" w:type="pct"/>
            <w:tcBorders>
              <w:tl2br w:val="nil"/>
              <w:tr2bl w:val="nil"/>
            </w:tcBorders>
            <w:shd w:val="clear" w:color="auto" w:fill="auto"/>
            <w:noWrap/>
            <w:vAlign w:val="center"/>
          </w:tcPr>
          <w:p w14:paraId="5DC301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水域及水利设施用地</w:t>
            </w:r>
          </w:p>
        </w:tc>
        <w:tc>
          <w:tcPr>
            <w:tcW w:w="1117" w:type="pct"/>
            <w:tcBorders>
              <w:tl2br w:val="nil"/>
              <w:tr2bl w:val="nil"/>
            </w:tcBorders>
            <w:shd w:val="clear" w:color="auto" w:fill="auto"/>
            <w:noWrap/>
            <w:vAlign w:val="center"/>
          </w:tcPr>
          <w:p w14:paraId="2AC199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水工建筑用地</w:t>
            </w:r>
          </w:p>
        </w:tc>
        <w:tc>
          <w:tcPr>
            <w:tcW w:w="1477" w:type="dxa"/>
            <w:tcBorders>
              <w:tl2br w:val="nil"/>
              <w:tr2bl w:val="nil"/>
            </w:tcBorders>
            <w:shd w:val="clear" w:color="auto" w:fill="auto"/>
            <w:noWrap/>
            <w:vAlign w:val="center"/>
          </w:tcPr>
          <w:p w14:paraId="676FE08A">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6.5834 </w:t>
            </w:r>
          </w:p>
        </w:tc>
        <w:tc>
          <w:tcPr>
            <w:tcW w:w="1652" w:type="dxa"/>
            <w:tcBorders>
              <w:tl2br w:val="nil"/>
              <w:tr2bl w:val="nil"/>
            </w:tcBorders>
            <w:shd w:val="clear" w:color="auto" w:fill="auto"/>
            <w:noWrap/>
            <w:vAlign w:val="center"/>
          </w:tcPr>
          <w:p w14:paraId="473B2F21">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0.85 </w:t>
            </w:r>
          </w:p>
        </w:tc>
      </w:tr>
      <w:tr w14:paraId="300FE6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pct"/>
            <w:tcBorders>
              <w:tl2br w:val="nil"/>
              <w:tr2bl w:val="nil"/>
            </w:tcBorders>
            <w:shd w:val="clear" w:color="auto" w:fill="auto"/>
            <w:noWrap/>
            <w:vAlign w:val="center"/>
          </w:tcPr>
          <w:p w14:paraId="69834E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15</w:t>
            </w:r>
          </w:p>
        </w:tc>
        <w:tc>
          <w:tcPr>
            <w:tcW w:w="1481" w:type="pct"/>
            <w:tcBorders>
              <w:tl2br w:val="nil"/>
              <w:tr2bl w:val="nil"/>
            </w:tcBorders>
            <w:shd w:val="clear" w:color="auto" w:fill="auto"/>
            <w:noWrap/>
            <w:vAlign w:val="center"/>
          </w:tcPr>
          <w:p w14:paraId="7608E7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其他土地</w:t>
            </w:r>
          </w:p>
        </w:tc>
        <w:tc>
          <w:tcPr>
            <w:tcW w:w="1117" w:type="pct"/>
            <w:tcBorders>
              <w:tl2br w:val="nil"/>
              <w:tr2bl w:val="nil"/>
            </w:tcBorders>
            <w:shd w:val="clear" w:color="auto" w:fill="auto"/>
            <w:noWrap/>
            <w:vAlign w:val="center"/>
          </w:tcPr>
          <w:p w14:paraId="4821F8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裸土地</w:t>
            </w:r>
          </w:p>
        </w:tc>
        <w:tc>
          <w:tcPr>
            <w:tcW w:w="1477" w:type="dxa"/>
            <w:tcBorders>
              <w:tl2br w:val="nil"/>
              <w:tr2bl w:val="nil"/>
            </w:tcBorders>
            <w:shd w:val="clear" w:color="auto" w:fill="auto"/>
            <w:noWrap/>
            <w:vAlign w:val="center"/>
          </w:tcPr>
          <w:p w14:paraId="33BE5FC8">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0.3095 </w:t>
            </w:r>
          </w:p>
        </w:tc>
        <w:tc>
          <w:tcPr>
            <w:tcW w:w="1652" w:type="dxa"/>
            <w:tcBorders>
              <w:tl2br w:val="nil"/>
              <w:tr2bl w:val="nil"/>
            </w:tcBorders>
            <w:shd w:val="clear" w:color="auto" w:fill="auto"/>
            <w:noWrap/>
            <w:vAlign w:val="center"/>
          </w:tcPr>
          <w:p w14:paraId="1F19D99B">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0.04 </w:t>
            </w:r>
          </w:p>
        </w:tc>
      </w:tr>
      <w:tr w14:paraId="667634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64" w:type="pct"/>
            <w:gridSpan w:val="3"/>
            <w:tcBorders>
              <w:tl2br w:val="nil"/>
              <w:tr2bl w:val="nil"/>
            </w:tcBorders>
            <w:shd w:val="clear" w:color="auto" w:fill="auto"/>
            <w:noWrap/>
            <w:vAlign w:val="center"/>
          </w:tcPr>
          <w:p w14:paraId="5EAE37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合计</w:t>
            </w:r>
          </w:p>
        </w:tc>
        <w:tc>
          <w:tcPr>
            <w:tcW w:w="1477" w:type="dxa"/>
            <w:tcBorders>
              <w:tl2br w:val="nil"/>
              <w:tr2bl w:val="nil"/>
            </w:tcBorders>
            <w:shd w:val="clear" w:color="auto" w:fill="auto"/>
            <w:noWrap/>
            <w:vAlign w:val="center"/>
          </w:tcPr>
          <w:p w14:paraId="7D015548">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771.1454 </w:t>
            </w:r>
          </w:p>
        </w:tc>
        <w:tc>
          <w:tcPr>
            <w:tcW w:w="1652" w:type="dxa"/>
            <w:tcBorders>
              <w:tl2br w:val="nil"/>
              <w:tr2bl w:val="nil"/>
            </w:tcBorders>
            <w:shd w:val="clear" w:color="auto" w:fill="auto"/>
            <w:noWrap/>
            <w:vAlign w:val="center"/>
          </w:tcPr>
          <w:p w14:paraId="096CCD39">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olor w:val="auto"/>
                <w:kern w:val="2"/>
                <w:sz w:val="21"/>
                <w:szCs w:val="21"/>
                <w:u w:val="none"/>
                <w:lang w:val="en-US" w:eastAsia="zh-CN" w:bidi="ar"/>
              </w:rPr>
              <w:t xml:space="preserve">100.00 </w:t>
            </w:r>
          </w:p>
        </w:tc>
      </w:tr>
    </w:tbl>
    <w:p w14:paraId="6DE832C2">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由上表可知，评价区土地利用类型以林地为主，林地面积518.3187hm</w:t>
      </w:r>
      <w:r>
        <w:rPr>
          <w:rFonts w:hint="default" w:ascii="Times New Roman" w:hAnsi="Times New Roman" w:eastAsia="宋体" w:cs="Times New Roman"/>
          <w:caps w:val="0"/>
          <w:smallCaps w:val="0"/>
          <w:sz w:val="24"/>
          <w:szCs w:val="21"/>
          <w:vertAlign w:val="superscript"/>
          <w:lang w:val="en-US" w:eastAsia="zh-CN"/>
        </w:rPr>
        <w:t>2</w:t>
      </w:r>
      <w:r>
        <w:rPr>
          <w:rFonts w:hint="default" w:ascii="Times New Roman" w:hAnsi="Times New Roman" w:eastAsia="宋体" w:cs="Times New Roman"/>
          <w:caps w:val="0"/>
          <w:smallCaps w:val="0"/>
          <w:sz w:val="24"/>
          <w:szCs w:val="21"/>
          <w:lang w:val="en-US" w:eastAsia="zh-CN"/>
        </w:rPr>
        <w:t>，占评价区总面积的67.22%；其他类型如水域、裸地等面积相对较小。根据现场调查，评价区主要为丘陵地形，遍布林地；耕地成片分布，连续性较强；水域主要为水库、零散分布的坑塘等。</w:t>
      </w:r>
    </w:p>
    <w:p w14:paraId="11ED6A1E">
      <w:pPr>
        <w:pStyle w:val="4"/>
        <w:bidi w:val="0"/>
        <w:rPr>
          <w:rFonts w:hint="default" w:ascii="Times New Roman" w:hAnsi="Times New Roman" w:cs="Times New Roman"/>
          <w:lang w:val="en-US" w:eastAsia="zh-CN"/>
        </w:rPr>
      </w:pPr>
      <w:bookmarkStart w:id="199" w:name="_Toc23559"/>
      <w:bookmarkStart w:id="200" w:name="_Toc20601"/>
      <w:bookmarkStart w:id="201" w:name="_Toc25279"/>
      <w:bookmarkStart w:id="202" w:name="_Toc32326"/>
      <w:bookmarkStart w:id="203" w:name="_Toc31600"/>
      <w:bookmarkStart w:id="204" w:name="_Toc7892"/>
      <w:r>
        <w:rPr>
          <w:rFonts w:hint="default" w:ascii="Times New Roman" w:hAnsi="Times New Roman" w:cs="Times New Roman"/>
          <w:lang w:val="en-US" w:eastAsia="zh-CN"/>
        </w:rPr>
        <w:t>生态系统现状</w:t>
      </w:r>
      <w:bookmarkEnd w:id="199"/>
      <w:bookmarkEnd w:id="200"/>
      <w:bookmarkEnd w:id="201"/>
      <w:bookmarkEnd w:id="202"/>
      <w:bookmarkEnd w:id="203"/>
      <w:bookmarkEnd w:id="204"/>
    </w:p>
    <w:p w14:paraId="4FF5152E">
      <w:pPr>
        <w:widowControl w:val="0"/>
        <w:spacing w:line="336" w:lineRule="auto"/>
        <w:ind w:firstLine="480" w:firstLineChars="200"/>
        <w:jc w:val="both"/>
        <w:rPr>
          <w:rFonts w:hint="default" w:ascii="Times New Roman" w:hAnsi="Times New Roman" w:eastAsia="宋体" w:cs="Times New Roman"/>
          <w:caps w:val="0"/>
          <w:smallCaps w:val="0"/>
          <w:kern w:val="2"/>
          <w:sz w:val="24"/>
          <w:szCs w:val="21"/>
          <w:lang w:val="en-US" w:eastAsia="zh-CN" w:bidi="ar-SA"/>
        </w:rPr>
      </w:pPr>
      <w:r>
        <w:rPr>
          <w:rFonts w:hint="default" w:ascii="Times New Roman" w:hAnsi="Times New Roman" w:eastAsia="宋体" w:cs="Times New Roman"/>
          <w:caps w:val="0"/>
          <w:smallCaps w:val="0"/>
          <w:kern w:val="2"/>
          <w:sz w:val="24"/>
          <w:szCs w:val="21"/>
          <w:lang w:val="en-US" w:eastAsia="zh-CN" w:bidi="ar-SA"/>
        </w:rPr>
        <w:t>依据《全国生态状况调查评估技术规范——生态系统遥感解译与野外核查》（HJ 1166）的分类体系，将评价区生态系统分类如下：</w:t>
      </w:r>
    </w:p>
    <w:p w14:paraId="7032D795">
      <w:pPr>
        <w:pStyle w:val="6"/>
        <w:keepNext w:val="0"/>
        <w:keepLines w:val="0"/>
        <w:pageBreakBefore w:val="0"/>
        <w:widowControl w:val="0"/>
        <w:kinsoku w:val="0"/>
        <w:wordWrap w:val="0"/>
        <w:overflowPunct/>
        <w:topLinePunct/>
        <w:autoSpaceDE/>
        <w:autoSpaceDN/>
        <w:bidi w:val="0"/>
        <w:adjustRightInd/>
        <w:snapToGrid/>
        <w:spacing w:before="0" w:beforeLines="50" w:line="360" w:lineRule="auto"/>
        <w:ind w:left="0" w:leftChars="0" w:firstLine="0" w:firstLineChars="0"/>
        <w:jc w:val="center"/>
        <w:textAlignment w:val="auto"/>
        <w:rPr>
          <w:rFonts w:hint="default" w:ascii="Times New Roman" w:hAnsi="Times New Roman" w:eastAsia="宋体" w:cs="Times New Roman"/>
          <w:b/>
          <w:caps w:val="0"/>
          <w:smallCaps w:val="0"/>
          <w:color w:val="auto"/>
          <w:spacing w:val="0"/>
          <w:w w:val="100"/>
          <w:position w:val="0"/>
          <w:sz w:val="21"/>
          <w:szCs w:val="21"/>
          <w:u w:val="none" w:color="auto"/>
          <w:lang w:val="en-US" w:eastAsia="zh-CN"/>
        </w:rPr>
      </w:pP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表3.3-</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begin"/>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instrText xml:space="preserve"> SEQ 表 \* ARABIC \s 1 </w:instrTex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separate"/>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2</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end"/>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 xml:space="preserve"> 生态系统分类体系表</w:t>
      </w:r>
    </w:p>
    <w:tbl>
      <w:tblPr>
        <w:tblStyle w:val="39"/>
        <w:tblW w:w="507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502"/>
        <w:gridCol w:w="783"/>
        <w:gridCol w:w="628"/>
        <w:gridCol w:w="1426"/>
        <w:gridCol w:w="5119"/>
      </w:tblGrid>
      <w:tr w14:paraId="447572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tcBorders>
              <w:tl2br w:val="nil"/>
              <w:tr2bl w:val="nil"/>
            </w:tcBorders>
            <w:noWrap w:val="0"/>
            <w:vAlign w:val="center"/>
          </w:tcPr>
          <w:p w14:paraId="34BC4AE5">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lang w:val="en-US" w:eastAsia="zh-CN"/>
              </w:rPr>
              <w:t>Ⅰ级代码</w:t>
            </w:r>
          </w:p>
        </w:tc>
        <w:tc>
          <w:tcPr>
            <w:tcW w:w="463" w:type="pct"/>
            <w:tcBorders>
              <w:tl2br w:val="nil"/>
              <w:tr2bl w:val="nil"/>
            </w:tcBorders>
            <w:noWrap w:val="0"/>
            <w:vAlign w:val="center"/>
          </w:tcPr>
          <w:p w14:paraId="73786779">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lang w:val="en-US" w:eastAsia="zh-CN"/>
              </w:rPr>
              <w:t>Ⅰ级分类</w:t>
            </w:r>
          </w:p>
        </w:tc>
        <w:tc>
          <w:tcPr>
            <w:tcW w:w="371" w:type="pct"/>
            <w:tcBorders>
              <w:tl2br w:val="nil"/>
              <w:tr2bl w:val="nil"/>
            </w:tcBorders>
            <w:noWrap w:val="0"/>
            <w:vAlign w:val="center"/>
          </w:tcPr>
          <w:p w14:paraId="117AA197">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lang w:val="en-US" w:eastAsia="zh-CN"/>
              </w:rPr>
              <w:t>Ⅱ级代码</w:t>
            </w:r>
          </w:p>
        </w:tc>
        <w:tc>
          <w:tcPr>
            <w:tcW w:w="843" w:type="pct"/>
            <w:tcBorders>
              <w:tl2br w:val="nil"/>
              <w:tr2bl w:val="nil"/>
            </w:tcBorders>
            <w:noWrap w:val="0"/>
            <w:vAlign w:val="center"/>
          </w:tcPr>
          <w:p w14:paraId="6F3BAE54">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lang w:val="en-US" w:eastAsia="zh-CN"/>
              </w:rPr>
              <w:t>Ⅱ级分类</w:t>
            </w:r>
          </w:p>
        </w:tc>
        <w:tc>
          <w:tcPr>
            <w:tcW w:w="3022" w:type="pct"/>
            <w:tcBorders>
              <w:tl2br w:val="nil"/>
              <w:tr2bl w:val="nil"/>
            </w:tcBorders>
            <w:noWrap w:val="0"/>
            <w:vAlign w:val="center"/>
          </w:tcPr>
          <w:p w14:paraId="13A61CF7">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lang w:val="en-US" w:eastAsia="zh-CN"/>
              </w:rPr>
              <w:t>分类依据</w:t>
            </w:r>
          </w:p>
        </w:tc>
      </w:tr>
      <w:tr w14:paraId="6DDFBA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restart"/>
            <w:tcBorders>
              <w:tl2br w:val="nil"/>
              <w:tr2bl w:val="nil"/>
            </w:tcBorders>
            <w:noWrap w:val="0"/>
            <w:vAlign w:val="center"/>
          </w:tcPr>
          <w:p w14:paraId="7F1F10C5">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1</w:t>
            </w:r>
          </w:p>
        </w:tc>
        <w:tc>
          <w:tcPr>
            <w:tcW w:w="463" w:type="pct"/>
            <w:vMerge w:val="restart"/>
            <w:tcBorders>
              <w:tl2br w:val="nil"/>
              <w:tr2bl w:val="nil"/>
            </w:tcBorders>
            <w:noWrap w:val="0"/>
            <w:vAlign w:val="center"/>
          </w:tcPr>
          <w:p w14:paraId="0496F785">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森林生态系统</w:t>
            </w:r>
          </w:p>
        </w:tc>
        <w:tc>
          <w:tcPr>
            <w:tcW w:w="371" w:type="pct"/>
            <w:tcBorders>
              <w:tl2br w:val="nil"/>
              <w:tr2bl w:val="nil"/>
            </w:tcBorders>
            <w:noWrap w:val="0"/>
            <w:vAlign w:val="center"/>
          </w:tcPr>
          <w:p w14:paraId="6A8A0771">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11</w:t>
            </w:r>
          </w:p>
        </w:tc>
        <w:tc>
          <w:tcPr>
            <w:tcW w:w="843" w:type="pct"/>
            <w:tcBorders>
              <w:tl2br w:val="nil"/>
              <w:tr2bl w:val="nil"/>
            </w:tcBorders>
            <w:noWrap w:val="0"/>
            <w:vAlign w:val="center"/>
          </w:tcPr>
          <w:p w14:paraId="502A5A59">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阔叶林</w:t>
            </w:r>
          </w:p>
        </w:tc>
        <w:tc>
          <w:tcPr>
            <w:tcW w:w="3022" w:type="pct"/>
            <w:tcBorders>
              <w:tl2br w:val="nil"/>
              <w:tr2bl w:val="nil"/>
            </w:tcBorders>
            <w:noWrap w:val="0"/>
            <w:vAlign w:val="center"/>
          </w:tcPr>
          <w:p w14:paraId="237290A6">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H=3～30 m，C≥0.2，阔叶</w:t>
            </w:r>
          </w:p>
        </w:tc>
      </w:tr>
      <w:tr w14:paraId="36E1A4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continue"/>
            <w:tcBorders>
              <w:tl2br w:val="nil"/>
              <w:tr2bl w:val="nil"/>
            </w:tcBorders>
            <w:noWrap w:val="0"/>
            <w:vAlign w:val="center"/>
          </w:tcPr>
          <w:p w14:paraId="6BCF9ABC">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463" w:type="pct"/>
            <w:vMerge w:val="continue"/>
            <w:tcBorders>
              <w:tl2br w:val="nil"/>
              <w:tr2bl w:val="nil"/>
            </w:tcBorders>
            <w:noWrap w:val="0"/>
            <w:vAlign w:val="center"/>
          </w:tcPr>
          <w:p w14:paraId="60C9E400">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371" w:type="pct"/>
            <w:tcBorders>
              <w:tl2br w:val="nil"/>
              <w:tr2bl w:val="nil"/>
            </w:tcBorders>
            <w:noWrap w:val="0"/>
            <w:vAlign w:val="center"/>
          </w:tcPr>
          <w:p w14:paraId="086BCA98">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12</w:t>
            </w:r>
          </w:p>
        </w:tc>
        <w:tc>
          <w:tcPr>
            <w:tcW w:w="843" w:type="pct"/>
            <w:tcBorders>
              <w:tl2br w:val="nil"/>
              <w:tr2bl w:val="nil"/>
            </w:tcBorders>
            <w:noWrap w:val="0"/>
            <w:vAlign w:val="center"/>
          </w:tcPr>
          <w:p w14:paraId="3B3CFD4B">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针叶林</w:t>
            </w:r>
          </w:p>
        </w:tc>
        <w:tc>
          <w:tcPr>
            <w:tcW w:w="3022" w:type="pct"/>
            <w:tcBorders>
              <w:tl2br w:val="nil"/>
              <w:tr2bl w:val="nil"/>
            </w:tcBorders>
            <w:noWrap w:val="0"/>
            <w:vAlign w:val="center"/>
          </w:tcPr>
          <w:p w14:paraId="70C711FA">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H=3～30 m，C≥0.2，针叶</w:t>
            </w:r>
          </w:p>
        </w:tc>
      </w:tr>
      <w:tr w14:paraId="657AD8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continue"/>
            <w:tcBorders>
              <w:tl2br w:val="nil"/>
              <w:tr2bl w:val="nil"/>
            </w:tcBorders>
            <w:noWrap w:val="0"/>
            <w:vAlign w:val="center"/>
          </w:tcPr>
          <w:p w14:paraId="5CB1D927">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463" w:type="pct"/>
            <w:vMerge w:val="continue"/>
            <w:tcBorders>
              <w:tl2br w:val="nil"/>
              <w:tr2bl w:val="nil"/>
            </w:tcBorders>
            <w:noWrap w:val="0"/>
            <w:vAlign w:val="center"/>
          </w:tcPr>
          <w:p w14:paraId="26B6EC1B">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371" w:type="pct"/>
            <w:tcBorders>
              <w:tl2br w:val="nil"/>
              <w:tr2bl w:val="nil"/>
            </w:tcBorders>
            <w:noWrap w:val="0"/>
            <w:vAlign w:val="center"/>
          </w:tcPr>
          <w:p w14:paraId="651F7AE2">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13</w:t>
            </w:r>
          </w:p>
        </w:tc>
        <w:tc>
          <w:tcPr>
            <w:tcW w:w="843" w:type="pct"/>
            <w:tcBorders>
              <w:tl2br w:val="nil"/>
              <w:tr2bl w:val="nil"/>
            </w:tcBorders>
            <w:noWrap w:val="0"/>
            <w:vAlign w:val="center"/>
          </w:tcPr>
          <w:p w14:paraId="19BC1F33">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针阔混交林</w:t>
            </w:r>
          </w:p>
        </w:tc>
        <w:tc>
          <w:tcPr>
            <w:tcW w:w="3022" w:type="pct"/>
            <w:tcBorders>
              <w:tl2br w:val="nil"/>
              <w:tr2bl w:val="nil"/>
            </w:tcBorders>
            <w:noWrap w:val="0"/>
            <w:vAlign w:val="center"/>
          </w:tcPr>
          <w:p w14:paraId="6EEA8E97">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H=3～30 m，C≥0.2，25%＜F＜75%</w:t>
            </w:r>
          </w:p>
        </w:tc>
      </w:tr>
      <w:tr w14:paraId="7D914C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continue"/>
            <w:tcBorders>
              <w:tl2br w:val="nil"/>
              <w:tr2bl w:val="nil"/>
            </w:tcBorders>
            <w:noWrap w:val="0"/>
            <w:vAlign w:val="center"/>
          </w:tcPr>
          <w:p w14:paraId="4A4C87C0">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463" w:type="pct"/>
            <w:vMerge w:val="continue"/>
            <w:tcBorders>
              <w:tl2br w:val="nil"/>
              <w:tr2bl w:val="nil"/>
            </w:tcBorders>
            <w:noWrap w:val="0"/>
            <w:vAlign w:val="center"/>
          </w:tcPr>
          <w:p w14:paraId="75411A8A">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371" w:type="pct"/>
            <w:tcBorders>
              <w:tl2br w:val="nil"/>
              <w:tr2bl w:val="nil"/>
            </w:tcBorders>
            <w:noWrap w:val="0"/>
            <w:vAlign w:val="center"/>
          </w:tcPr>
          <w:p w14:paraId="1B00F92C">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14</w:t>
            </w:r>
          </w:p>
        </w:tc>
        <w:tc>
          <w:tcPr>
            <w:tcW w:w="843" w:type="pct"/>
            <w:tcBorders>
              <w:tl2br w:val="nil"/>
              <w:tr2bl w:val="nil"/>
            </w:tcBorders>
            <w:noWrap w:val="0"/>
            <w:vAlign w:val="center"/>
          </w:tcPr>
          <w:p w14:paraId="392F2320">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稀疏林</w:t>
            </w:r>
          </w:p>
        </w:tc>
        <w:tc>
          <w:tcPr>
            <w:tcW w:w="3022" w:type="pct"/>
            <w:tcBorders>
              <w:tl2br w:val="nil"/>
              <w:tr2bl w:val="nil"/>
            </w:tcBorders>
            <w:noWrap w:val="0"/>
            <w:vAlign w:val="center"/>
          </w:tcPr>
          <w:p w14:paraId="067B217C">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H=3～30 m，C=0.04～0.2</w:t>
            </w:r>
          </w:p>
        </w:tc>
      </w:tr>
      <w:tr w14:paraId="3A84F3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restart"/>
            <w:tcBorders>
              <w:tl2br w:val="nil"/>
              <w:tr2bl w:val="nil"/>
            </w:tcBorders>
            <w:noWrap w:val="0"/>
            <w:vAlign w:val="center"/>
          </w:tcPr>
          <w:p w14:paraId="4008364C">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2</w:t>
            </w:r>
          </w:p>
        </w:tc>
        <w:tc>
          <w:tcPr>
            <w:tcW w:w="463" w:type="pct"/>
            <w:vMerge w:val="restart"/>
            <w:tcBorders>
              <w:tl2br w:val="nil"/>
              <w:tr2bl w:val="nil"/>
            </w:tcBorders>
            <w:noWrap w:val="0"/>
            <w:vAlign w:val="center"/>
          </w:tcPr>
          <w:p w14:paraId="5672B788">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灌丛生态系统</w:t>
            </w:r>
          </w:p>
        </w:tc>
        <w:tc>
          <w:tcPr>
            <w:tcW w:w="371" w:type="pct"/>
            <w:tcBorders>
              <w:tl2br w:val="nil"/>
              <w:tr2bl w:val="nil"/>
            </w:tcBorders>
            <w:noWrap w:val="0"/>
            <w:vAlign w:val="center"/>
          </w:tcPr>
          <w:p w14:paraId="1FCBE581">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21</w:t>
            </w:r>
          </w:p>
        </w:tc>
        <w:tc>
          <w:tcPr>
            <w:tcW w:w="843" w:type="pct"/>
            <w:tcBorders>
              <w:tl2br w:val="nil"/>
              <w:tr2bl w:val="nil"/>
            </w:tcBorders>
            <w:noWrap w:val="0"/>
            <w:vAlign w:val="center"/>
          </w:tcPr>
          <w:p w14:paraId="4437167E">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阔叶灌丛</w:t>
            </w:r>
          </w:p>
        </w:tc>
        <w:tc>
          <w:tcPr>
            <w:tcW w:w="3022" w:type="pct"/>
            <w:tcBorders>
              <w:tl2br w:val="nil"/>
              <w:tr2bl w:val="nil"/>
            </w:tcBorders>
            <w:noWrap w:val="0"/>
            <w:vAlign w:val="center"/>
          </w:tcPr>
          <w:p w14:paraId="2932A3D0">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H=0.3～5 m，C≥0.2，阔叶</w:t>
            </w:r>
          </w:p>
        </w:tc>
      </w:tr>
      <w:tr w14:paraId="74149A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continue"/>
            <w:tcBorders>
              <w:tl2br w:val="nil"/>
              <w:tr2bl w:val="nil"/>
            </w:tcBorders>
            <w:noWrap w:val="0"/>
            <w:vAlign w:val="center"/>
          </w:tcPr>
          <w:p w14:paraId="36898967">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463" w:type="pct"/>
            <w:vMerge w:val="continue"/>
            <w:tcBorders>
              <w:tl2br w:val="nil"/>
              <w:tr2bl w:val="nil"/>
            </w:tcBorders>
            <w:noWrap w:val="0"/>
            <w:vAlign w:val="center"/>
          </w:tcPr>
          <w:p w14:paraId="1D69946D">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371" w:type="pct"/>
            <w:tcBorders>
              <w:tl2br w:val="nil"/>
              <w:tr2bl w:val="nil"/>
            </w:tcBorders>
            <w:noWrap w:val="0"/>
            <w:vAlign w:val="center"/>
          </w:tcPr>
          <w:p w14:paraId="2A1BFB5F">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22</w:t>
            </w:r>
          </w:p>
        </w:tc>
        <w:tc>
          <w:tcPr>
            <w:tcW w:w="843" w:type="pct"/>
            <w:tcBorders>
              <w:tl2br w:val="nil"/>
              <w:tr2bl w:val="nil"/>
            </w:tcBorders>
            <w:noWrap w:val="0"/>
            <w:vAlign w:val="center"/>
          </w:tcPr>
          <w:p w14:paraId="1787F6A0">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针叶灌丛</w:t>
            </w:r>
          </w:p>
        </w:tc>
        <w:tc>
          <w:tcPr>
            <w:tcW w:w="3022" w:type="pct"/>
            <w:tcBorders>
              <w:tl2br w:val="nil"/>
              <w:tr2bl w:val="nil"/>
            </w:tcBorders>
            <w:noWrap w:val="0"/>
            <w:vAlign w:val="center"/>
          </w:tcPr>
          <w:p w14:paraId="76019894">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H=0.3～5 m，C≥0.2，针叶</w:t>
            </w:r>
          </w:p>
        </w:tc>
      </w:tr>
      <w:tr w14:paraId="208459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continue"/>
            <w:tcBorders>
              <w:tl2br w:val="nil"/>
              <w:tr2bl w:val="nil"/>
            </w:tcBorders>
            <w:noWrap w:val="0"/>
            <w:vAlign w:val="center"/>
          </w:tcPr>
          <w:p w14:paraId="46014596">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463" w:type="pct"/>
            <w:vMerge w:val="continue"/>
            <w:tcBorders>
              <w:tl2br w:val="nil"/>
              <w:tr2bl w:val="nil"/>
            </w:tcBorders>
            <w:noWrap w:val="0"/>
            <w:vAlign w:val="center"/>
          </w:tcPr>
          <w:p w14:paraId="65603453">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371" w:type="pct"/>
            <w:tcBorders>
              <w:tl2br w:val="nil"/>
              <w:tr2bl w:val="nil"/>
            </w:tcBorders>
            <w:noWrap w:val="0"/>
            <w:vAlign w:val="center"/>
          </w:tcPr>
          <w:p w14:paraId="79C84A48">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23</w:t>
            </w:r>
          </w:p>
        </w:tc>
        <w:tc>
          <w:tcPr>
            <w:tcW w:w="843" w:type="pct"/>
            <w:tcBorders>
              <w:tl2br w:val="nil"/>
              <w:tr2bl w:val="nil"/>
            </w:tcBorders>
            <w:noWrap w:val="0"/>
            <w:vAlign w:val="center"/>
          </w:tcPr>
          <w:p w14:paraId="3308A0EB">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稀疏灌丛</w:t>
            </w:r>
          </w:p>
        </w:tc>
        <w:tc>
          <w:tcPr>
            <w:tcW w:w="3022" w:type="pct"/>
            <w:tcBorders>
              <w:tl2br w:val="nil"/>
              <w:tr2bl w:val="nil"/>
            </w:tcBorders>
            <w:noWrap w:val="0"/>
            <w:vAlign w:val="center"/>
          </w:tcPr>
          <w:p w14:paraId="36BE182F">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H=0.3～5 m，C=0.04～0.2</w:t>
            </w:r>
          </w:p>
        </w:tc>
      </w:tr>
      <w:tr w14:paraId="037501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restart"/>
            <w:tcBorders>
              <w:tl2br w:val="nil"/>
              <w:tr2bl w:val="nil"/>
            </w:tcBorders>
            <w:noWrap w:val="0"/>
            <w:vAlign w:val="center"/>
          </w:tcPr>
          <w:p w14:paraId="710492BE">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3</w:t>
            </w:r>
          </w:p>
        </w:tc>
        <w:tc>
          <w:tcPr>
            <w:tcW w:w="463" w:type="pct"/>
            <w:vMerge w:val="restart"/>
            <w:tcBorders>
              <w:tl2br w:val="nil"/>
              <w:tr2bl w:val="nil"/>
            </w:tcBorders>
            <w:noWrap w:val="0"/>
            <w:vAlign w:val="center"/>
          </w:tcPr>
          <w:p w14:paraId="4C0FF607">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草地生态系统</w:t>
            </w:r>
          </w:p>
        </w:tc>
        <w:tc>
          <w:tcPr>
            <w:tcW w:w="371" w:type="pct"/>
            <w:tcBorders>
              <w:tl2br w:val="nil"/>
              <w:tr2bl w:val="nil"/>
            </w:tcBorders>
            <w:noWrap w:val="0"/>
            <w:vAlign w:val="center"/>
          </w:tcPr>
          <w:p w14:paraId="596A27E4">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31</w:t>
            </w:r>
          </w:p>
        </w:tc>
        <w:tc>
          <w:tcPr>
            <w:tcW w:w="843" w:type="pct"/>
            <w:tcBorders>
              <w:tl2br w:val="nil"/>
              <w:tr2bl w:val="nil"/>
            </w:tcBorders>
            <w:noWrap w:val="0"/>
            <w:vAlign w:val="center"/>
          </w:tcPr>
          <w:p w14:paraId="687D4316">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草甸</w:t>
            </w:r>
          </w:p>
        </w:tc>
        <w:tc>
          <w:tcPr>
            <w:tcW w:w="3022" w:type="pct"/>
            <w:tcBorders>
              <w:tl2br w:val="nil"/>
              <w:tr2bl w:val="nil"/>
            </w:tcBorders>
            <w:noWrap w:val="0"/>
            <w:vAlign w:val="center"/>
          </w:tcPr>
          <w:p w14:paraId="4D6B57A4">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K≥1，土壤湿润，H=0.03～3 m，C≥0.2</w:t>
            </w:r>
          </w:p>
        </w:tc>
      </w:tr>
      <w:tr w14:paraId="3B9A498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continue"/>
            <w:tcBorders>
              <w:tl2br w:val="nil"/>
              <w:tr2bl w:val="nil"/>
            </w:tcBorders>
            <w:noWrap w:val="0"/>
            <w:vAlign w:val="center"/>
          </w:tcPr>
          <w:p w14:paraId="42040ACB">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463" w:type="pct"/>
            <w:vMerge w:val="continue"/>
            <w:tcBorders>
              <w:tl2br w:val="nil"/>
              <w:tr2bl w:val="nil"/>
            </w:tcBorders>
            <w:noWrap w:val="0"/>
            <w:vAlign w:val="center"/>
          </w:tcPr>
          <w:p w14:paraId="126F4A8A">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371" w:type="pct"/>
            <w:tcBorders>
              <w:tl2br w:val="nil"/>
              <w:tr2bl w:val="nil"/>
            </w:tcBorders>
            <w:noWrap w:val="0"/>
            <w:vAlign w:val="center"/>
          </w:tcPr>
          <w:p w14:paraId="7C5EF38E">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32</w:t>
            </w:r>
          </w:p>
        </w:tc>
        <w:tc>
          <w:tcPr>
            <w:tcW w:w="843" w:type="pct"/>
            <w:tcBorders>
              <w:tl2br w:val="nil"/>
              <w:tr2bl w:val="nil"/>
            </w:tcBorders>
            <w:noWrap w:val="0"/>
            <w:vAlign w:val="center"/>
          </w:tcPr>
          <w:p w14:paraId="7E6EFFD7">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草原</w:t>
            </w:r>
          </w:p>
        </w:tc>
        <w:tc>
          <w:tcPr>
            <w:tcW w:w="3022" w:type="pct"/>
            <w:tcBorders>
              <w:tl2br w:val="nil"/>
              <w:tr2bl w:val="nil"/>
            </w:tcBorders>
            <w:noWrap w:val="0"/>
            <w:vAlign w:val="center"/>
          </w:tcPr>
          <w:p w14:paraId="74B0DFE8">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K＜1，H=0.03～3 m，C≥0.2</w:t>
            </w:r>
          </w:p>
        </w:tc>
      </w:tr>
      <w:tr w14:paraId="3C8C89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continue"/>
            <w:tcBorders>
              <w:tl2br w:val="nil"/>
              <w:tr2bl w:val="nil"/>
            </w:tcBorders>
            <w:noWrap w:val="0"/>
            <w:vAlign w:val="center"/>
          </w:tcPr>
          <w:p w14:paraId="3E53FD6A">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463" w:type="pct"/>
            <w:vMerge w:val="continue"/>
            <w:tcBorders>
              <w:tl2br w:val="nil"/>
              <w:tr2bl w:val="nil"/>
            </w:tcBorders>
            <w:noWrap w:val="0"/>
            <w:vAlign w:val="center"/>
          </w:tcPr>
          <w:p w14:paraId="2B255A43">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371" w:type="pct"/>
            <w:tcBorders>
              <w:tl2br w:val="nil"/>
              <w:tr2bl w:val="nil"/>
            </w:tcBorders>
            <w:noWrap w:val="0"/>
            <w:vAlign w:val="center"/>
          </w:tcPr>
          <w:p w14:paraId="22F199CF">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33</w:t>
            </w:r>
          </w:p>
        </w:tc>
        <w:tc>
          <w:tcPr>
            <w:tcW w:w="843" w:type="pct"/>
            <w:tcBorders>
              <w:tl2br w:val="nil"/>
              <w:tr2bl w:val="nil"/>
            </w:tcBorders>
            <w:noWrap w:val="0"/>
            <w:vAlign w:val="center"/>
          </w:tcPr>
          <w:p w14:paraId="0E7C1AD3">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草丛</w:t>
            </w:r>
          </w:p>
        </w:tc>
        <w:tc>
          <w:tcPr>
            <w:tcW w:w="3022" w:type="pct"/>
            <w:tcBorders>
              <w:tl2br w:val="nil"/>
              <w:tr2bl w:val="nil"/>
            </w:tcBorders>
            <w:noWrap w:val="0"/>
            <w:vAlign w:val="center"/>
          </w:tcPr>
          <w:p w14:paraId="3E972F4A">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K≥1，H=0.03～3 m，C≥0.2</w:t>
            </w:r>
          </w:p>
        </w:tc>
      </w:tr>
      <w:tr w14:paraId="1195A08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continue"/>
            <w:tcBorders>
              <w:tl2br w:val="nil"/>
              <w:tr2bl w:val="nil"/>
            </w:tcBorders>
            <w:noWrap w:val="0"/>
            <w:vAlign w:val="center"/>
          </w:tcPr>
          <w:p w14:paraId="6B241069">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463" w:type="pct"/>
            <w:vMerge w:val="continue"/>
            <w:tcBorders>
              <w:tl2br w:val="nil"/>
              <w:tr2bl w:val="nil"/>
            </w:tcBorders>
            <w:noWrap w:val="0"/>
            <w:vAlign w:val="center"/>
          </w:tcPr>
          <w:p w14:paraId="221E4CAB">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371" w:type="pct"/>
            <w:tcBorders>
              <w:tl2br w:val="nil"/>
              <w:tr2bl w:val="nil"/>
            </w:tcBorders>
            <w:noWrap w:val="0"/>
            <w:vAlign w:val="center"/>
          </w:tcPr>
          <w:p w14:paraId="698545DA">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34</w:t>
            </w:r>
          </w:p>
        </w:tc>
        <w:tc>
          <w:tcPr>
            <w:tcW w:w="843" w:type="pct"/>
            <w:tcBorders>
              <w:tl2br w:val="nil"/>
              <w:tr2bl w:val="nil"/>
            </w:tcBorders>
            <w:noWrap w:val="0"/>
            <w:vAlign w:val="center"/>
          </w:tcPr>
          <w:p w14:paraId="14A0429F">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稀疏草地</w:t>
            </w:r>
          </w:p>
        </w:tc>
        <w:tc>
          <w:tcPr>
            <w:tcW w:w="3022" w:type="pct"/>
            <w:tcBorders>
              <w:tl2br w:val="nil"/>
              <w:tr2bl w:val="nil"/>
            </w:tcBorders>
            <w:noWrap w:val="0"/>
            <w:vAlign w:val="center"/>
          </w:tcPr>
          <w:p w14:paraId="042714D2">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H=0.03～3 m，C=0.04～0.2</w:t>
            </w:r>
          </w:p>
        </w:tc>
      </w:tr>
      <w:tr w14:paraId="19D72C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restart"/>
            <w:tcBorders>
              <w:tl2br w:val="nil"/>
              <w:tr2bl w:val="nil"/>
            </w:tcBorders>
            <w:noWrap w:val="0"/>
            <w:vAlign w:val="center"/>
          </w:tcPr>
          <w:p w14:paraId="1CA96A84">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4</w:t>
            </w:r>
          </w:p>
        </w:tc>
        <w:tc>
          <w:tcPr>
            <w:tcW w:w="463" w:type="pct"/>
            <w:vMerge w:val="restart"/>
            <w:tcBorders>
              <w:tl2br w:val="nil"/>
              <w:tr2bl w:val="nil"/>
            </w:tcBorders>
            <w:noWrap w:val="0"/>
            <w:vAlign w:val="center"/>
          </w:tcPr>
          <w:p w14:paraId="63D11034">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湿地生态系统</w:t>
            </w:r>
          </w:p>
        </w:tc>
        <w:tc>
          <w:tcPr>
            <w:tcW w:w="371" w:type="pct"/>
            <w:tcBorders>
              <w:tl2br w:val="nil"/>
              <w:tr2bl w:val="nil"/>
            </w:tcBorders>
            <w:noWrap w:val="0"/>
            <w:vAlign w:val="center"/>
          </w:tcPr>
          <w:p w14:paraId="3722CEF0">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41</w:t>
            </w:r>
          </w:p>
        </w:tc>
        <w:tc>
          <w:tcPr>
            <w:tcW w:w="843" w:type="pct"/>
            <w:tcBorders>
              <w:tl2br w:val="nil"/>
              <w:tr2bl w:val="nil"/>
            </w:tcBorders>
            <w:noWrap w:val="0"/>
            <w:vAlign w:val="center"/>
          </w:tcPr>
          <w:p w14:paraId="392BFF92">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沼泽</w:t>
            </w:r>
          </w:p>
        </w:tc>
        <w:tc>
          <w:tcPr>
            <w:tcW w:w="3022" w:type="pct"/>
            <w:tcBorders>
              <w:tl2br w:val="nil"/>
              <w:tr2bl w:val="nil"/>
            </w:tcBorders>
            <w:noWrap w:val="0"/>
            <w:vAlign w:val="center"/>
          </w:tcPr>
          <w:p w14:paraId="0D7249D1">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地表经常过湿或有薄层积水，生长沼泽生和部分湿生、水生或盐生植物，有泥炭积累或明显的浅育层，包括森林沼泽、灌丛沼泽、草本沼泽等</w:t>
            </w:r>
          </w:p>
        </w:tc>
      </w:tr>
      <w:tr w14:paraId="2CA0A2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continue"/>
            <w:tcBorders>
              <w:tl2br w:val="nil"/>
              <w:tr2bl w:val="nil"/>
            </w:tcBorders>
            <w:noWrap w:val="0"/>
            <w:vAlign w:val="center"/>
          </w:tcPr>
          <w:p w14:paraId="5152C698">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463" w:type="pct"/>
            <w:vMerge w:val="continue"/>
            <w:tcBorders>
              <w:tl2br w:val="nil"/>
              <w:tr2bl w:val="nil"/>
            </w:tcBorders>
            <w:noWrap w:val="0"/>
            <w:vAlign w:val="center"/>
          </w:tcPr>
          <w:p w14:paraId="7E0CDFB7">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371" w:type="pct"/>
            <w:tcBorders>
              <w:tl2br w:val="nil"/>
              <w:tr2bl w:val="nil"/>
            </w:tcBorders>
            <w:noWrap w:val="0"/>
            <w:vAlign w:val="center"/>
          </w:tcPr>
          <w:p w14:paraId="04DF92D7">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42</w:t>
            </w:r>
          </w:p>
        </w:tc>
        <w:tc>
          <w:tcPr>
            <w:tcW w:w="843" w:type="pct"/>
            <w:tcBorders>
              <w:tl2br w:val="nil"/>
              <w:tr2bl w:val="nil"/>
            </w:tcBorders>
            <w:noWrap w:val="0"/>
            <w:vAlign w:val="center"/>
          </w:tcPr>
          <w:p w14:paraId="07BB2835">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湖泊</w:t>
            </w:r>
          </w:p>
        </w:tc>
        <w:tc>
          <w:tcPr>
            <w:tcW w:w="3022" w:type="pct"/>
            <w:tcBorders>
              <w:tl2br w:val="nil"/>
              <w:tr2bl w:val="nil"/>
            </w:tcBorders>
            <w:noWrap w:val="0"/>
            <w:vAlign w:val="center"/>
          </w:tcPr>
          <w:p w14:paraId="69C972AF">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自然水面，静止</w:t>
            </w:r>
          </w:p>
        </w:tc>
      </w:tr>
      <w:tr w14:paraId="3F7582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continue"/>
            <w:tcBorders>
              <w:tl2br w:val="nil"/>
              <w:tr2bl w:val="nil"/>
            </w:tcBorders>
            <w:noWrap w:val="0"/>
            <w:vAlign w:val="center"/>
          </w:tcPr>
          <w:p w14:paraId="1F4A516C">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463" w:type="pct"/>
            <w:vMerge w:val="continue"/>
            <w:tcBorders>
              <w:tl2br w:val="nil"/>
              <w:tr2bl w:val="nil"/>
            </w:tcBorders>
            <w:noWrap w:val="0"/>
            <w:vAlign w:val="center"/>
          </w:tcPr>
          <w:p w14:paraId="63FCE203">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371" w:type="pct"/>
            <w:tcBorders>
              <w:tl2br w:val="nil"/>
              <w:tr2bl w:val="nil"/>
            </w:tcBorders>
            <w:noWrap w:val="0"/>
            <w:vAlign w:val="center"/>
          </w:tcPr>
          <w:p w14:paraId="2E9D5903">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43</w:t>
            </w:r>
          </w:p>
        </w:tc>
        <w:tc>
          <w:tcPr>
            <w:tcW w:w="843" w:type="pct"/>
            <w:tcBorders>
              <w:tl2br w:val="nil"/>
              <w:tr2bl w:val="nil"/>
            </w:tcBorders>
            <w:noWrap w:val="0"/>
            <w:vAlign w:val="center"/>
          </w:tcPr>
          <w:p w14:paraId="1243AE95">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河流</w:t>
            </w:r>
          </w:p>
        </w:tc>
        <w:tc>
          <w:tcPr>
            <w:tcW w:w="3022" w:type="pct"/>
            <w:tcBorders>
              <w:tl2br w:val="nil"/>
              <w:tr2bl w:val="nil"/>
            </w:tcBorders>
            <w:noWrap w:val="0"/>
            <w:vAlign w:val="center"/>
          </w:tcPr>
          <w:p w14:paraId="64F1A1CC">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自然水面，流动</w:t>
            </w:r>
          </w:p>
        </w:tc>
      </w:tr>
      <w:tr w14:paraId="7D63959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restart"/>
            <w:tcBorders>
              <w:tl2br w:val="nil"/>
              <w:tr2bl w:val="nil"/>
            </w:tcBorders>
            <w:noWrap w:val="0"/>
            <w:vAlign w:val="center"/>
          </w:tcPr>
          <w:p w14:paraId="160A63D0">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5</w:t>
            </w:r>
          </w:p>
        </w:tc>
        <w:tc>
          <w:tcPr>
            <w:tcW w:w="463" w:type="pct"/>
            <w:vMerge w:val="restart"/>
            <w:tcBorders>
              <w:tl2br w:val="nil"/>
              <w:tr2bl w:val="nil"/>
            </w:tcBorders>
            <w:noWrap w:val="0"/>
            <w:vAlign w:val="center"/>
          </w:tcPr>
          <w:p w14:paraId="5EDF0C2E">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农田生态系统</w:t>
            </w:r>
          </w:p>
        </w:tc>
        <w:tc>
          <w:tcPr>
            <w:tcW w:w="371" w:type="pct"/>
            <w:tcBorders>
              <w:tl2br w:val="nil"/>
              <w:tr2bl w:val="nil"/>
            </w:tcBorders>
            <w:noWrap w:val="0"/>
            <w:vAlign w:val="center"/>
          </w:tcPr>
          <w:p w14:paraId="574A78E1">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51</w:t>
            </w:r>
          </w:p>
        </w:tc>
        <w:tc>
          <w:tcPr>
            <w:tcW w:w="843" w:type="pct"/>
            <w:tcBorders>
              <w:tl2br w:val="nil"/>
              <w:tr2bl w:val="nil"/>
            </w:tcBorders>
            <w:noWrap w:val="0"/>
            <w:vAlign w:val="center"/>
          </w:tcPr>
          <w:p w14:paraId="3B9E4025">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耕地</w:t>
            </w:r>
          </w:p>
        </w:tc>
        <w:tc>
          <w:tcPr>
            <w:tcW w:w="3022" w:type="pct"/>
            <w:tcBorders>
              <w:tl2br w:val="nil"/>
              <w:tr2bl w:val="nil"/>
            </w:tcBorders>
            <w:noWrap w:val="0"/>
            <w:vAlign w:val="center"/>
          </w:tcPr>
          <w:p w14:paraId="359611B5">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人工植被，土地扰动，水生或旱生作物，收割过程</w:t>
            </w:r>
          </w:p>
        </w:tc>
      </w:tr>
      <w:tr w14:paraId="2996C4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continue"/>
            <w:tcBorders>
              <w:tl2br w:val="nil"/>
              <w:tr2bl w:val="nil"/>
            </w:tcBorders>
            <w:noWrap w:val="0"/>
            <w:vAlign w:val="center"/>
          </w:tcPr>
          <w:p w14:paraId="4180196E">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463" w:type="pct"/>
            <w:vMerge w:val="continue"/>
            <w:tcBorders>
              <w:tl2br w:val="nil"/>
              <w:tr2bl w:val="nil"/>
            </w:tcBorders>
            <w:noWrap w:val="0"/>
            <w:vAlign w:val="center"/>
          </w:tcPr>
          <w:p w14:paraId="4D3282FE">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371" w:type="pct"/>
            <w:tcBorders>
              <w:tl2br w:val="nil"/>
              <w:tr2bl w:val="nil"/>
            </w:tcBorders>
            <w:noWrap w:val="0"/>
            <w:vAlign w:val="center"/>
          </w:tcPr>
          <w:p w14:paraId="4E23E47A">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52</w:t>
            </w:r>
          </w:p>
        </w:tc>
        <w:tc>
          <w:tcPr>
            <w:tcW w:w="843" w:type="pct"/>
            <w:tcBorders>
              <w:tl2br w:val="nil"/>
              <w:tr2bl w:val="nil"/>
            </w:tcBorders>
            <w:noWrap w:val="0"/>
            <w:vAlign w:val="center"/>
          </w:tcPr>
          <w:p w14:paraId="61F22C1F">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园地</w:t>
            </w:r>
          </w:p>
        </w:tc>
        <w:tc>
          <w:tcPr>
            <w:tcW w:w="3022" w:type="pct"/>
            <w:tcBorders>
              <w:tl2br w:val="nil"/>
              <w:tr2bl w:val="nil"/>
            </w:tcBorders>
            <w:noWrap w:val="0"/>
            <w:vAlign w:val="center"/>
          </w:tcPr>
          <w:p w14:paraId="3494FC08">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人工植被，C≥0.2，包括经济林等</w:t>
            </w:r>
          </w:p>
        </w:tc>
      </w:tr>
      <w:tr w14:paraId="05F45C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restart"/>
            <w:tcBorders>
              <w:tl2br w:val="nil"/>
              <w:tr2bl w:val="nil"/>
            </w:tcBorders>
            <w:noWrap w:val="0"/>
            <w:vAlign w:val="center"/>
          </w:tcPr>
          <w:p w14:paraId="27437E17">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6</w:t>
            </w:r>
          </w:p>
        </w:tc>
        <w:tc>
          <w:tcPr>
            <w:tcW w:w="463" w:type="pct"/>
            <w:vMerge w:val="restart"/>
            <w:tcBorders>
              <w:tl2br w:val="nil"/>
              <w:tr2bl w:val="nil"/>
            </w:tcBorders>
            <w:noWrap w:val="0"/>
            <w:vAlign w:val="center"/>
          </w:tcPr>
          <w:p w14:paraId="36070062">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城镇生态系统</w:t>
            </w:r>
          </w:p>
        </w:tc>
        <w:tc>
          <w:tcPr>
            <w:tcW w:w="371" w:type="pct"/>
            <w:tcBorders>
              <w:tl2br w:val="nil"/>
              <w:tr2bl w:val="nil"/>
            </w:tcBorders>
            <w:noWrap w:val="0"/>
            <w:vAlign w:val="center"/>
          </w:tcPr>
          <w:p w14:paraId="7E0C5D94">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61</w:t>
            </w:r>
          </w:p>
        </w:tc>
        <w:tc>
          <w:tcPr>
            <w:tcW w:w="843" w:type="pct"/>
            <w:tcBorders>
              <w:tl2br w:val="nil"/>
              <w:tr2bl w:val="nil"/>
            </w:tcBorders>
            <w:noWrap w:val="0"/>
            <w:vAlign w:val="center"/>
          </w:tcPr>
          <w:p w14:paraId="6E0E7944">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居住地</w:t>
            </w:r>
          </w:p>
        </w:tc>
        <w:tc>
          <w:tcPr>
            <w:tcW w:w="3022" w:type="pct"/>
            <w:tcBorders>
              <w:tl2br w:val="nil"/>
              <w:tr2bl w:val="nil"/>
            </w:tcBorders>
            <w:noWrap w:val="0"/>
            <w:vAlign w:val="center"/>
          </w:tcPr>
          <w:p w14:paraId="08A4DB48">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城市、镇、村等聚居区</w:t>
            </w:r>
          </w:p>
        </w:tc>
      </w:tr>
      <w:tr w14:paraId="53B399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continue"/>
            <w:tcBorders>
              <w:tl2br w:val="nil"/>
              <w:tr2bl w:val="nil"/>
            </w:tcBorders>
            <w:noWrap w:val="0"/>
            <w:vAlign w:val="center"/>
          </w:tcPr>
          <w:p w14:paraId="27FB5B1B">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463" w:type="pct"/>
            <w:vMerge w:val="continue"/>
            <w:tcBorders>
              <w:tl2br w:val="nil"/>
              <w:tr2bl w:val="nil"/>
            </w:tcBorders>
            <w:noWrap w:val="0"/>
            <w:vAlign w:val="center"/>
          </w:tcPr>
          <w:p w14:paraId="6620BE4E">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371" w:type="pct"/>
            <w:tcBorders>
              <w:tl2br w:val="nil"/>
              <w:tr2bl w:val="nil"/>
            </w:tcBorders>
            <w:noWrap w:val="0"/>
            <w:vAlign w:val="center"/>
          </w:tcPr>
          <w:p w14:paraId="6F8F6EAD">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62</w:t>
            </w:r>
          </w:p>
        </w:tc>
        <w:tc>
          <w:tcPr>
            <w:tcW w:w="843" w:type="pct"/>
            <w:tcBorders>
              <w:tl2br w:val="nil"/>
              <w:tr2bl w:val="nil"/>
            </w:tcBorders>
            <w:noWrap w:val="0"/>
            <w:vAlign w:val="center"/>
          </w:tcPr>
          <w:p w14:paraId="160D1CBB">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城市绿地</w:t>
            </w:r>
          </w:p>
        </w:tc>
        <w:tc>
          <w:tcPr>
            <w:tcW w:w="3022" w:type="pct"/>
            <w:tcBorders>
              <w:tl2br w:val="nil"/>
              <w:tr2bl w:val="nil"/>
            </w:tcBorders>
            <w:noWrap w:val="0"/>
            <w:vAlign w:val="center"/>
          </w:tcPr>
          <w:p w14:paraId="73246146">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城市的公共绿地、居住区绿地、单位附属绿地、防护绿地、生产绿地以及风景林地等</w:t>
            </w:r>
          </w:p>
        </w:tc>
      </w:tr>
      <w:tr w14:paraId="52C233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continue"/>
            <w:tcBorders>
              <w:tl2br w:val="nil"/>
              <w:tr2bl w:val="nil"/>
            </w:tcBorders>
            <w:noWrap w:val="0"/>
            <w:vAlign w:val="center"/>
          </w:tcPr>
          <w:p w14:paraId="38D674D3">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463" w:type="pct"/>
            <w:vMerge w:val="continue"/>
            <w:tcBorders>
              <w:tl2br w:val="nil"/>
              <w:tr2bl w:val="nil"/>
            </w:tcBorders>
            <w:noWrap w:val="0"/>
            <w:vAlign w:val="center"/>
          </w:tcPr>
          <w:p w14:paraId="27FD9C53">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371" w:type="pct"/>
            <w:tcBorders>
              <w:tl2br w:val="nil"/>
              <w:tr2bl w:val="nil"/>
            </w:tcBorders>
            <w:noWrap w:val="0"/>
            <w:vAlign w:val="center"/>
          </w:tcPr>
          <w:p w14:paraId="773F26EA">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63</w:t>
            </w:r>
          </w:p>
        </w:tc>
        <w:tc>
          <w:tcPr>
            <w:tcW w:w="843" w:type="pct"/>
            <w:tcBorders>
              <w:tl2br w:val="nil"/>
              <w:tr2bl w:val="nil"/>
            </w:tcBorders>
            <w:noWrap w:val="0"/>
            <w:vAlign w:val="center"/>
          </w:tcPr>
          <w:p w14:paraId="33ADFB5A">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工矿交通</w:t>
            </w:r>
          </w:p>
        </w:tc>
        <w:tc>
          <w:tcPr>
            <w:tcW w:w="3022" w:type="pct"/>
            <w:tcBorders>
              <w:tl2br w:val="nil"/>
              <w:tr2bl w:val="nil"/>
            </w:tcBorders>
            <w:noWrap w:val="0"/>
            <w:vAlign w:val="center"/>
          </w:tcPr>
          <w:p w14:paraId="43AEE3B6">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人工挖掘表面和人工硬表面，工矿用地、交通用地</w:t>
            </w:r>
          </w:p>
        </w:tc>
      </w:tr>
      <w:tr w14:paraId="6CF1296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restart"/>
            <w:tcBorders>
              <w:tl2br w:val="nil"/>
              <w:tr2bl w:val="nil"/>
            </w:tcBorders>
            <w:noWrap w:val="0"/>
            <w:vAlign w:val="center"/>
          </w:tcPr>
          <w:p w14:paraId="63EDD0AD">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7</w:t>
            </w:r>
          </w:p>
        </w:tc>
        <w:tc>
          <w:tcPr>
            <w:tcW w:w="463" w:type="pct"/>
            <w:vMerge w:val="restart"/>
            <w:tcBorders>
              <w:tl2br w:val="nil"/>
              <w:tr2bl w:val="nil"/>
            </w:tcBorders>
            <w:noWrap w:val="0"/>
            <w:vAlign w:val="center"/>
          </w:tcPr>
          <w:p w14:paraId="25AB25C9">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荒漠生态系统</w:t>
            </w:r>
          </w:p>
        </w:tc>
        <w:tc>
          <w:tcPr>
            <w:tcW w:w="371" w:type="pct"/>
            <w:tcBorders>
              <w:tl2br w:val="nil"/>
              <w:tr2bl w:val="nil"/>
            </w:tcBorders>
            <w:noWrap w:val="0"/>
            <w:vAlign w:val="center"/>
          </w:tcPr>
          <w:p w14:paraId="07C6E856">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71</w:t>
            </w:r>
          </w:p>
        </w:tc>
        <w:tc>
          <w:tcPr>
            <w:tcW w:w="843" w:type="pct"/>
            <w:tcBorders>
              <w:tl2br w:val="nil"/>
              <w:tr2bl w:val="nil"/>
            </w:tcBorders>
            <w:noWrap w:val="0"/>
            <w:vAlign w:val="center"/>
          </w:tcPr>
          <w:p w14:paraId="46AE4164">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沙漠</w:t>
            </w:r>
          </w:p>
        </w:tc>
        <w:tc>
          <w:tcPr>
            <w:tcW w:w="3022" w:type="pct"/>
            <w:tcBorders>
              <w:tl2br w:val="nil"/>
              <w:tr2bl w:val="nil"/>
            </w:tcBorders>
            <w:noWrap w:val="0"/>
            <w:vAlign w:val="center"/>
          </w:tcPr>
          <w:p w14:paraId="6E69E9C8">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自然，松散表面，沙质，C＜0.04</w:t>
            </w:r>
          </w:p>
        </w:tc>
      </w:tr>
      <w:tr w14:paraId="127B090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continue"/>
            <w:tcBorders>
              <w:tl2br w:val="nil"/>
              <w:tr2bl w:val="nil"/>
            </w:tcBorders>
            <w:noWrap w:val="0"/>
            <w:vAlign w:val="center"/>
          </w:tcPr>
          <w:p w14:paraId="6146B96E">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463" w:type="pct"/>
            <w:vMerge w:val="continue"/>
            <w:tcBorders>
              <w:tl2br w:val="nil"/>
              <w:tr2bl w:val="nil"/>
            </w:tcBorders>
            <w:noWrap w:val="0"/>
            <w:vAlign w:val="center"/>
          </w:tcPr>
          <w:p w14:paraId="65DECD62">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371" w:type="pct"/>
            <w:tcBorders>
              <w:tl2br w:val="nil"/>
              <w:tr2bl w:val="nil"/>
            </w:tcBorders>
            <w:noWrap w:val="0"/>
            <w:vAlign w:val="center"/>
          </w:tcPr>
          <w:p w14:paraId="39FFE6A9">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72</w:t>
            </w:r>
          </w:p>
        </w:tc>
        <w:tc>
          <w:tcPr>
            <w:tcW w:w="843" w:type="pct"/>
            <w:tcBorders>
              <w:tl2br w:val="nil"/>
              <w:tr2bl w:val="nil"/>
            </w:tcBorders>
            <w:noWrap w:val="0"/>
            <w:vAlign w:val="center"/>
          </w:tcPr>
          <w:p w14:paraId="64E714DA">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沙地</w:t>
            </w:r>
          </w:p>
        </w:tc>
        <w:tc>
          <w:tcPr>
            <w:tcW w:w="3022" w:type="pct"/>
            <w:tcBorders>
              <w:tl2br w:val="nil"/>
              <w:tr2bl w:val="nil"/>
            </w:tcBorders>
            <w:noWrap w:val="0"/>
            <w:vAlign w:val="center"/>
          </w:tcPr>
          <w:p w14:paraId="48DAB3F6">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分布在半干旱区及部分半湿润区的沙质土地，C＜0.04</w:t>
            </w:r>
          </w:p>
        </w:tc>
      </w:tr>
      <w:tr w14:paraId="6EAB5F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continue"/>
            <w:tcBorders>
              <w:tl2br w:val="nil"/>
              <w:tr2bl w:val="nil"/>
            </w:tcBorders>
            <w:noWrap w:val="0"/>
            <w:vAlign w:val="center"/>
          </w:tcPr>
          <w:p w14:paraId="17FCF337">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463" w:type="pct"/>
            <w:vMerge w:val="continue"/>
            <w:tcBorders>
              <w:tl2br w:val="nil"/>
              <w:tr2bl w:val="nil"/>
            </w:tcBorders>
            <w:noWrap w:val="0"/>
            <w:vAlign w:val="center"/>
          </w:tcPr>
          <w:p w14:paraId="79BA7FFB">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371" w:type="pct"/>
            <w:tcBorders>
              <w:tl2br w:val="nil"/>
              <w:tr2bl w:val="nil"/>
            </w:tcBorders>
            <w:noWrap w:val="0"/>
            <w:vAlign w:val="center"/>
          </w:tcPr>
          <w:p w14:paraId="7947446E">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73</w:t>
            </w:r>
          </w:p>
        </w:tc>
        <w:tc>
          <w:tcPr>
            <w:tcW w:w="843" w:type="pct"/>
            <w:tcBorders>
              <w:tl2br w:val="nil"/>
              <w:tr2bl w:val="nil"/>
            </w:tcBorders>
            <w:noWrap w:val="0"/>
            <w:vAlign w:val="center"/>
          </w:tcPr>
          <w:p w14:paraId="48956676">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盐碱地</w:t>
            </w:r>
          </w:p>
        </w:tc>
        <w:tc>
          <w:tcPr>
            <w:tcW w:w="3022" w:type="pct"/>
            <w:tcBorders>
              <w:tl2br w:val="nil"/>
              <w:tr2bl w:val="nil"/>
            </w:tcBorders>
            <w:noWrap w:val="0"/>
            <w:vAlign w:val="center"/>
          </w:tcPr>
          <w:p w14:paraId="241408AB">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自然，松散表面，高盐分</w:t>
            </w:r>
          </w:p>
        </w:tc>
      </w:tr>
      <w:tr w14:paraId="550D97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restart"/>
            <w:tcBorders>
              <w:tl2br w:val="nil"/>
              <w:tr2bl w:val="nil"/>
            </w:tcBorders>
            <w:noWrap w:val="0"/>
            <w:vAlign w:val="center"/>
          </w:tcPr>
          <w:p w14:paraId="09C1C42E">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8</w:t>
            </w:r>
          </w:p>
        </w:tc>
        <w:tc>
          <w:tcPr>
            <w:tcW w:w="463" w:type="pct"/>
            <w:vMerge w:val="restart"/>
            <w:tcBorders>
              <w:tl2br w:val="nil"/>
              <w:tr2bl w:val="nil"/>
            </w:tcBorders>
            <w:noWrap w:val="0"/>
            <w:vAlign w:val="center"/>
          </w:tcPr>
          <w:p w14:paraId="460DF975">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其他</w:t>
            </w:r>
          </w:p>
        </w:tc>
        <w:tc>
          <w:tcPr>
            <w:tcW w:w="371" w:type="pct"/>
            <w:tcBorders>
              <w:tl2br w:val="nil"/>
              <w:tr2bl w:val="nil"/>
            </w:tcBorders>
            <w:noWrap w:val="0"/>
            <w:vAlign w:val="center"/>
          </w:tcPr>
          <w:p w14:paraId="5F567DA2">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81</w:t>
            </w:r>
          </w:p>
        </w:tc>
        <w:tc>
          <w:tcPr>
            <w:tcW w:w="843" w:type="pct"/>
            <w:tcBorders>
              <w:tl2br w:val="nil"/>
              <w:tr2bl w:val="nil"/>
            </w:tcBorders>
            <w:noWrap w:val="0"/>
            <w:vAlign w:val="center"/>
          </w:tcPr>
          <w:p w14:paraId="0B6A17F8">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冰川/永久积雪</w:t>
            </w:r>
          </w:p>
        </w:tc>
        <w:tc>
          <w:tcPr>
            <w:tcW w:w="3022" w:type="pct"/>
            <w:tcBorders>
              <w:tl2br w:val="nil"/>
              <w:tr2bl w:val="nil"/>
            </w:tcBorders>
            <w:noWrap w:val="0"/>
            <w:vAlign w:val="center"/>
          </w:tcPr>
          <w:p w14:paraId="7BB255AC">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自然，水的固态</w:t>
            </w:r>
          </w:p>
        </w:tc>
      </w:tr>
      <w:tr w14:paraId="2B41BC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7" w:type="pct"/>
            <w:vMerge w:val="continue"/>
            <w:tcBorders>
              <w:tl2br w:val="nil"/>
              <w:tr2bl w:val="nil"/>
            </w:tcBorders>
            <w:noWrap w:val="0"/>
            <w:vAlign w:val="center"/>
          </w:tcPr>
          <w:p w14:paraId="2E20C9EE">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463" w:type="pct"/>
            <w:vMerge w:val="continue"/>
            <w:tcBorders>
              <w:tl2br w:val="nil"/>
              <w:tr2bl w:val="nil"/>
            </w:tcBorders>
            <w:noWrap w:val="0"/>
            <w:vAlign w:val="center"/>
          </w:tcPr>
          <w:p w14:paraId="61974A2A">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p>
        </w:tc>
        <w:tc>
          <w:tcPr>
            <w:tcW w:w="371" w:type="pct"/>
            <w:tcBorders>
              <w:tl2br w:val="nil"/>
              <w:tr2bl w:val="nil"/>
            </w:tcBorders>
            <w:noWrap w:val="0"/>
            <w:vAlign w:val="center"/>
          </w:tcPr>
          <w:p w14:paraId="139F7228">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82</w:t>
            </w:r>
          </w:p>
        </w:tc>
        <w:tc>
          <w:tcPr>
            <w:tcW w:w="843" w:type="pct"/>
            <w:tcBorders>
              <w:tl2br w:val="nil"/>
              <w:tr2bl w:val="nil"/>
            </w:tcBorders>
            <w:noWrap w:val="0"/>
            <w:vAlign w:val="center"/>
          </w:tcPr>
          <w:p w14:paraId="0359FD9A">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裸地</w:t>
            </w:r>
          </w:p>
        </w:tc>
        <w:tc>
          <w:tcPr>
            <w:tcW w:w="3022" w:type="pct"/>
            <w:tcBorders>
              <w:tl2br w:val="nil"/>
              <w:tr2bl w:val="nil"/>
            </w:tcBorders>
            <w:noWrap w:val="0"/>
            <w:vAlign w:val="center"/>
          </w:tcPr>
          <w:p w14:paraId="6E0280A4">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自然，松散表面或坚硬表面，壤质或石质，C＜0.04</w:t>
            </w:r>
          </w:p>
        </w:tc>
      </w:tr>
      <w:tr w14:paraId="5165BA1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00" w:type="pct"/>
            <w:gridSpan w:val="5"/>
            <w:tcBorders>
              <w:tl2br w:val="nil"/>
              <w:tr2bl w:val="nil"/>
            </w:tcBorders>
            <w:noWrap w:val="0"/>
            <w:vAlign w:val="center"/>
          </w:tcPr>
          <w:p w14:paraId="73AD9054">
            <w:pPr>
              <w:keepNext w:val="0"/>
              <w:keepLines w:val="0"/>
              <w:pageBreakBefore w:val="0"/>
              <w:widowControl w:val="0"/>
              <w:suppressLineNumbers w:val="0"/>
              <w:tabs>
                <w:tab w:val="left" w:pos="1021"/>
              </w:tabs>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注：C：覆盖度/郁闭度；H：植被高度（m）；F：针叶树与阔叶树的比例；K：湿润指数。</w:t>
            </w:r>
          </w:p>
        </w:tc>
      </w:tr>
    </w:tbl>
    <w:p w14:paraId="254AE164">
      <w:pPr>
        <w:adjustRightInd w:val="0"/>
        <w:snapToGrid w:val="0"/>
        <w:spacing w:line="460" w:lineRule="exact"/>
        <w:ind w:firstLine="480" w:firstLineChars="200"/>
        <w:rPr>
          <w:rFonts w:hint="default" w:ascii="Times New Roman" w:hAnsi="Times New Roman" w:eastAsia="宋体" w:cs="Times New Roman"/>
          <w:bCs/>
          <w:caps w:val="0"/>
          <w:smallCaps w:val="0"/>
          <w:snapToGrid/>
          <w:color w:val="auto"/>
          <w:spacing w:val="0"/>
          <w:kern w:val="0"/>
          <w:sz w:val="24"/>
          <w:szCs w:val="24"/>
          <w:highlight w:val="none"/>
          <w:u w:val="none"/>
        </w:rPr>
      </w:pPr>
      <w:r>
        <w:rPr>
          <w:rFonts w:hint="default" w:ascii="Times New Roman" w:hAnsi="Times New Roman" w:eastAsia="宋体" w:cs="Times New Roman"/>
          <w:bCs/>
          <w:caps w:val="0"/>
          <w:smallCaps w:val="0"/>
          <w:snapToGrid/>
          <w:color w:val="auto"/>
          <w:spacing w:val="0"/>
          <w:kern w:val="0"/>
          <w:sz w:val="24"/>
          <w:szCs w:val="24"/>
          <w:highlight w:val="none"/>
          <w:u w:val="none"/>
        </w:rPr>
        <w:t>根据遥感解译数据，评价区内各生态系统面积及比例</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统计</w:t>
      </w:r>
      <w:r>
        <w:rPr>
          <w:rFonts w:hint="default" w:ascii="Times New Roman" w:hAnsi="Times New Roman" w:eastAsia="宋体" w:cs="Times New Roman"/>
          <w:bCs/>
          <w:caps w:val="0"/>
          <w:smallCaps w:val="0"/>
          <w:snapToGrid/>
          <w:color w:val="auto"/>
          <w:spacing w:val="0"/>
          <w:kern w:val="0"/>
          <w:sz w:val="24"/>
          <w:szCs w:val="24"/>
          <w:highlight w:val="none"/>
          <w:u w:val="none"/>
        </w:rPr>
        <w:t>见</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下表</w:t>
      </w:r>
      <w:r>
        <w:rPr>
          <w:rFonts w:hint="default" w:ascii="Times New Roman" w:hAnsi="Times New Roman" w:eastAsia="宋体" w:cs="Times New Roman"/>
          <w:bCs/>
          <w:caps w:val="0"/>
          <w:smallCaps w:val="0"/>
          <w:snapToGrid/>
          <w:color w:val="auto"/>
          <w:spacing w:val="0"/>
          <w:kern w:val="0"/>
          <w:sz w:val="24"/>
          <w:szCs w:val="24"/>
          <w:highlight w:val="none"/>
          <w:u w:val="none"/>
        </w:rPr>
        <w:t>。</w:t>
      </w:r>
    </w:p>
    <w:p w14:paraId="35D40793">
      <w:pPr>
        <w:pStyle w:val="6"/>
        <w:keepNext w:val="0"/>
        <w:keepLines w:val="0"/>
        <w:pageBreakBefore w:val="0"/>
        <w:widowControl w:val="0"/>
        <w:kinsoku w:val="0"/>
        <w:wordWrap w:val="0"/>
        <w:overflowPunct/>
        <w:topLinePunct/>
        <w:autoSpaceDE/>
        <w:autoSpaceDN/>
        <w:bidi w:val="0"/>
        <w:adjustRightInd/>
        <w:snapToGrid/>
        <w:spacing w:before="0" w:beforeLines="50" w:line="360" w:lineRule="auto"/>
        <w:ind w:left="0" w:leftChars="0" w:firstLine="0" w:firstLineChars="0"/>
        <w:jc w:val="center"/>
        <w:textAlignment w:val="auto"/>
        <w:rPr>
          <w:rFonts w:hint="default" w:ascii="Times New Roman" w:hAnsi="Times New Roman" w:eastAsia="宋体" w:cs="Times New Roman"/>
          <w:b/>
          <w:caps w:val="0"/>
          <w:smallCaps w:val="0"/>
          <w:color w:val="auto"/>
          <w:spacing w:val="0"/>
          <w:w w:val="100"/>
          <w:position w:val="0"/>
          <w:sz w:val="21"/>
          <w:szCs w:val="21"/>
          <w:u w:val="none" w:color="auto"/>
          <w:lang w:val="en-US" w:eastAsia="zh-CN"/>
        </w:rPr>
      </w:pP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表3.3-</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begin"/>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instrText xml:space="preserve"> SEQ 表 \* ARABIC \s 1 </w:instrTex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separate"/>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3</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end"/>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 xml:space="preserve"> 评价区生态系统面积及比例</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16"/>
        <w:gridCol w:w="2149"/>
        <w:gridCol w:w="1545"/>
        <w:gridCol w:w="2067"/>
        <w:gridCol w:w="1850"/>
      </w:tblGrid>
      <w:tr w14:paraId="376F64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tcBorders>
              <w:tl2br w:val="nil"/>
              <w:tr2bl w:val="nil"/>
            </w:tcBorders>
            <w:noWrap w:val="0"/>
            <w:vAlign w:val="center"/>
          </w:tcPr>
          <w:p w14:paraId="61ADCA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aps w:val="0"/>
                <w:smallCaps w:val="0"/>
                <w:color w:val="000000"/>
                <w:kern w:val="2"/>
                <w:sz w:val="21"/>
                <w:szCs w:val="21"/>
                <w:lang w:val="en-US" w:eastAsia="zh-CN" w:bidi="ar-SA"/>
              </w:rPr>
            </w:pPr>
            <w:r>
              <w:rPr>
                <w:rFonts w:hint="default" w:ascii="Times New Roman" w:hAnsi="Times New Roman" w:eastAsia="宋体" w:cs="Times New Roman"/>
                <w:b/>
                <w:bCs/>
                <w:caps w:val="0"/>
                <w:smallCaps w:val="0"/>
                <w:color w:val="000000"/>
                <w:kern w:val="2"/>
                <w:sz w:val="21"/>
                <w:szCs w:val="21"/>
                <w:lang w:val="en-US" w:eastAsia="zh-CN" w:bidi="ar-SA"/>
              </w:rPr>
              <w:t>序号</w:t>
            </w:r>
          </w:p>
        </w:tc>
        <w:tc>
          <w:tcPr>
            <w:tcW w:w="1260" w:type="pct"/>
            <w:tcBorders>
              <w:tl2br w:val="nil"/>
              <w:tr2bl w:val="nil"/>
            </w:tcBorders>
            <w:noWrap w:val="0"/>
            <w:vAlign w:val="center"/>
          </w:tcPr>
          <w:p w14:paraId="504F54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aps w:val="0"/>
                <w:smallCaps w:val="0"/>
                <w:color w:val="000000"/>
                <w:kern w:val="2"/>
                <w:sz w:val="21"/>
                <w:szCs w:val="21"/>
                <w:lang w:val="en-US" w:eastAsia="zh-CN" w:bidi="ar-SA"/>
              </w:rPr>
            </w:pPr>
            <w:r>
              <w:rPr>
                <w:rFonts w:hint="default" w:ascii="Times New Roman" w:hAnsi="Times New Roman" w:eastAsia="宋体" w:cs="Times New Roman"/>
                <w:b/>
                <w:bCs/>
                <w:caps w:val="0"/>
                <w:smallCaps w:val="0"/>
                <w:color w:val="auto"/>
                <w:kern w:val="2"/>
                <w:sz w:val="21"/>
                <w:szCs w:val="21"/>
                <w:lang w:val="en-US" w:eastAsia="zh-CN" w:bidi="ar-SA"/>
              </w:rPr>
              <w:t>Ⅰ级分类</w:t>
            </w:r>
          </w:p>
        </w:tc>
        <w:tc>
          <w:tcPr>
            <w:tcW w:w="905" w:type="pct"/>
            <w:tcBorders>
              <w:tl2br w:val="nil"/>
              <w:tr2bl w:val="nil"/>
            </w:tcBorders>
            <w:noWrap w:val="0"/>
            <w:vAlign w:val="center"/>
          </w:tcPr>
          <w:p w14:paraId="3B41AC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aps w:val="0"/>
                <w:smallCaps w:val="0"/>
                <w:color w:val="000000"/>
                <w:kern w:val="2"/>
                <w:sz w:val="21"/>
                <w:szCs w:val="21"/>
                <w:lang w:val="en-US" w:eastAsia="zh-CN" w:bidi="ar-SA"/>
              </w:rPr>
            </w:pPr>
            <w:r>
              <w:rPr>
                <w:rFonts w:hint="default" w:ascii="Times New Roman" w:hAnsi="Times New Roman" w:eastAsia="宋体" w:cs="Times New Roman"/>
                <w:b/>
                <w:bCs/>
                <w:caps w:val="0"/>
                <w:smallCaps w:val="0"/>
                <w:color w:val="auto"/>
                <w:kern w:val="2"/>
                <w:sz w:val="21"/>
                <w:szCs w:val="21"/>
                <w:lang w:val="en-US" w:eastAsia="zh-CN" w:bidi="ar-SA"/>
              </w:rPr>
              <w:t>Ⅱ级分类</w:t>
            </w:r>
          </w:p>
        </w:tc>
        <w:tc>
          <w:tcPr>
            <w:tcW w:w="1212" w:type="pct"/>
            <w:tcBorders>
              <w:tl2br w:val="nil"/>
              <w:tr2bl w:val="nil"/>
            </w:tcBorders>
            <w:noWrap w:val="0"/>
            <w:vAlign w:val="center"/>
          </w:tcPr>
          <w:p w14:paraId="11596C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aps w:val="0"/>
                <w:smallCaps w:val="0"/>
                <w:color w:val="000000"/>
                <w:kern w:val="2"/>
                <w:sz w:val="21"/>
                <w:szCs w:val="21"/>
                <w:highlight w:val="none"/>
                <w:lang w:val="en-US" w:eastAsia="zh-CN" w:bidi="ar-SA"/>
              </w:rPr>
            </w:pPr>
            <w:r>
              <w:rPr>
                <w:rFonts w:hint="default" w:ascii="Times New Roman" w:hAnsi="Times New Roman" w:eastAsia="宋体" w:cs="Times New Roman"/>
                <w:b/>
                <w:bCs/>
                <w:caps w:val="0"/>
                <w:smallCaps w:val="0"/>
                <w:color w:val="000000"/>
                <w:kern w:val="2"/>
                <w:sz w:val="21"/>
                <w:szCs w:val="21"/>
                <w:highlight w:val="none"/>
                <w:lang w:val="en-US" w:eastAsia="zh-CN" w:bidi="ar-SA"/>
              </w:rPr>
              <w:t>面积（hm</w:t>
            </w:r>
            <w:r>
              <w:rPr>
                <w:rFonts w:hint="default" w:ascii="Times New Roman" w:hAnsi="Times New Roman" w:eastAsia="宋体" w:cs="Times New Roman"/>
                <w:b/>
                <w:bCs/>
                <w:caps w:val="0"/>
                <w:smallCaps w:val="0"/>
                <w:color w:val="000000"/>
                <w:kern w:val="2"/>
                <w:sz w:val="21"/>
                <w:szCs w:val="21"/>
                <w:highlight w:val="none"/>
                <w:vertAlign w:val="superscript"/>
                <w:lang w:val="en-US" w:eastAsia="zh-CN" w:bidi="ar-SA"/>
              </w:rPr>
              <w:t>2</w:t>
            </w:r>
            <w:r>
              <w:rPr>
                <w:rFonts w:hint="default" w:ascii="Times New Roman" w:hAnsi="Times New Roman" w:eastAsia="宋体" w:cs="Times New Roman"/>
                <w:b/>
                <w:bCs/>
                <w:caps w:val="0"/>
                <w:smallCaps w:val="0"/>
                <w:color w:val="000000"/>
                <w:kern w:val="2"/>
                <w:sz w:val="21"/>
                <w:szCs w:val="21"/>
                <w:highlight w:val="none"/>
                <w:lang w:val="en-US" w:eastAsia="zh-CN" w:bidi="ar-SA"/>
              </w:rPr>
              <w:t>）</w:t>
            </w:r>
          </w:p>
        </w:tc>
        <w:tc>
          <w:tcPr>
            <w:tcW w:w="1084" w:type="pct"/>
            <w:tcBorders>
              <w:tl2br w:val="nil"/>
              <w:tr2bl w:val="nil"/>
            </w:tcBorders>
            <w:noWrap w:val="0"/>
            <w:vAlign w:val="center"/>
          </w:tcPr>
          <w:p w14:paraId="1C3BDC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aps w:val="0"/>
                <w:smallCaps w:val="0"/>
                <w:color w:val="000000"/>
                <w:kern w:val="2"/>
                <w:sz w:val="21"/>
                <w:szCs w:val="21"/>
                <w:highlight w:val="none"/>
                <w:lang w:val="en-US" w:eastAsia="zh-CN" w:bidi="ar-SA"/>
              </w:rPr>
            </w:pPr>
            <w:r>
              <w:rPr>
                <w:rFonts w:hint="default" w:ascii="Times New Roman" w:hAnsi="Times New Roman" w:eastAsia="宋体" w:cs="Times New Roman"/>
                <w:b/>
                <w:bCs/>
                <w:caps w:val="0"/>
                <w:smallCaps w:val="0"/>
                <w:color w:val="000000"/>
                <w:kern w:val="2"/>
                <w:sz w:val="21"/>
                <w:szCs w:val="21"/>
                <w:highlight w:val="none"/>
                <w:lang w:val="en-US" w:eastAsia="zh-CN" w:bidi="ar-SA"/>
              </w:rPr>
              <w:t>占比（%）</w:t>
            </w:r>
          </w:p>
        </w:tc>
      </w:tr>
      <w:tr w14:paraId="692428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tcBorders>
              <w:tl2br w:val="nil"/>
              <w:tr2bl w:val="nil"/>
            </w:tcBorders>
            <w:noWrap w:val="0"/>
            <w:vAlign w:val="center"/>
          </w:tcPr>
          <w:p w14:paraId="72D6D046">
            <w:pPr>
              <w:keepNext w:val="0"/>
              <w:keepLines w:val="0"/>
              <w:pageBreakBefore w:val="0"/>
              <w:widowControl w:val="0"/>
              <w:numPr>
                <w:ilvl w:val="0"/>
                <w:numId w:val="14"/>
              </w:numPr>
              <w:suppressLineNumbers w:val="0"/>
              <w:kinsoku/>
              <w:wordWrap/>
              <w:overflowPunct/>
              <w:topLinePunct w:val="0"/>
              <w:autoSpaceDE/>
              <w:autoSpaceDN/>
              <w:bidi w:val="0"/>
              <w:adjustRightInd/>
              <w:snapToGrid/>
              <w:spacing w:before="0" w:beforeAutospacing="0" w:after="0" w:afterAutospacing="0" w:line="240" w:lineRule="auto"/>
              <w:ind w:left="425" w:leftChars="0" w:right="0" w:hanging="425" w:firstLineChars="0"/>
              <w:jc w:val="center"/>
              <w:textAlignment w:val="auto"/>
              <w:rPr>
                <w:rFonts w:hint="default" w:ascii="Times New Roman" w:hAnsi="Times New Roman" w:eastAsia="宋体" w:cs="Times New Roman"/>
                <w:caps w:val="0"/>
                <w:smallCaps w:val="0"/>
                <w:color w:val="000000"/>
                <w:kern w:val="2"/>
                <w:sz w:val="21"/>
                <w:szCs w:val="21"/>
                <w:lang w:val="en-US" w:eastAsia="zh-CN" w:bidi="ar-SA"/>
              </w:rPr>
            </w:pPr>
          </w:p>
        </w:tc>
        <w:tc>
          <w:tcPr>
            <w:tcW w:w="1260" w:type="pct"/>
            <w:tcBorders>
              <w:tl2br w:val="nil"/>
              <w:tr2bl w:val="nil"/>
            </w:tcBorders>
            <w:noWrap w:val="0"/>
            <w:vAlign w:val="center"/>
          </w:tcPr>
          <w:p w14:paraId="57D1A5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森林生态系统</w:t>
            </w:r>
          </w:p>
        </w:tc>
        <w:tc>
          <w:tcPr>
            <w:tcW w:w="905" w:type="pct"/>
            <w:tcBorders>
              <w:tl2br w:val="nil"/>
              <w:tr2bl w:val="nil"/>
            </w:tcBorders>
            <w:noWrap w:val="0"/>
            <w:vAlign w:val="center"/>
          </w:tcPr>
          <w:p w14:paraId="3BDDBB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阔叶林</w:t>
            </w:r>
          </w:p>
        </w:tc>
        <w:tc>
          <w:tcPr>
            <w:tcW w:w="2067" w:type="dxa"/>
            <w:tcBorders>
              <w:tl2br w:val="nil"/>
              <w:tr2bl w:val="nil"/>
            </w:tcBorders>
            <w:noWrap w:val="0"/>
            <w:vAlign w:val="center"/>
          </w:tcPr>
          <w:p w14:paraId="578DDD8C">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426.2067 </w:t>
            </w:r>
          </w:p>
        </w:tc>
        <w:tc>
          <w:tcPr>
            <w:tcW w:w="1850" w:type="dxa"/>
            <w:tcBorders>
              <w:tl2br w:val="nil"/>
              <w:tr2bl w:val="nil"/>
            </w:tcBorders>
            <w:noWrap w:val="0"/>
            <w:vAlign w:val="center"/>
          </w:tcPr>
          <w:p w14:paraId="2435D54F">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55.27 </w:t>
            </w:r>
          </w:p>
        </w:tc>
      </w:tr>
      <w:tr w14:paraId="176614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tcBorders>
              <w:tl2br w:val="nil"/>
              <w:tr2bl w:val="nil"/>
            </w:tcBorders>
            <w:noWrap w:val="0"/>
            <w:vAlign w:val="center"/>
          </w:tcPr>
          <w:p w14:paraId="6F6D42B7">
            <w:pPr>
              <w:keepNext w:val="0"/>
              <w:keepLines w:val="0"/>
              <w:pageBreakBefore w:val="0"/>
              <w:widowControl w:val="0"/>
              <w:numPr>
                <w:ilvl w:val="0"/>
                <w:numId w:val="14"/>
              </w:numPr>
              <w:suppressLineNumbers w:val="0"/>
              <w:kinsoku/>
              <w:wordWrap/>
              <w:overflowPunct/>
              <w:topLinePunct w:val="0"/>
              <w:autoSpaceDE/>
              <w:autoSpaceDN/>
              <w:bidi w:val="0"/>
              <w:adjustRightInd/>
              <w:snapToGrid/>
              <w:spacing w:before="0" w:beforeAutospacing="0" w:after="0" w:afterAutospacing="0" w:line="240" w:lineRule="auto"/>
              <w:ind w:left="425" w:leftChars="0" w:right="0" w:hanging="425" w:firstLineChars="0"/>
              <w:jc w:val="center"/>
              <w:textAlignment w:val="auto"/>
              <w:rPr>
                <w:rFonts w:hint="default" w:ascii="Times New Roman" w:hAnsi="Times New Roman" w:eastAsia="宋体" w:cs="Times New Roman"/>
                <w:caps w:val="0"/>
                <w:smallCaps w:val="0"/>
                <w:color w:val="000000"/>
                <w:kern w:val="2"/>
                <w:sz w:val="21"/>
                <w:szCs w:val="21"/>
                <w:lang w:val="en-US" w:eastAsia="zh-CN" w:bidi="ar-SA"/>
              </w:rPr>
            </w:pPr>
          </w:p>
        </w:tc>
        <w:tc>
          <w:tcPr>
            <w:tcW w:w="1260" w:type="pct"/>
            <w:tcBorders>
              <w:tl2br w:val="nil"/>
              <w:tr2bl w:val="nil"/>
            </w:tcBorders>
            <w:noWrap w:val="0"/>
            <w:vAlign w:val="center"/>
          </w:tcPr>
          <w:p w14:paraId="6CD2CC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灌丛生态系统</w:t>
            </w:r>
          </w:p>
        </w:tc>
        <w:tc>
          <w:tcPr>
            <w:tcW w:w="905" w:type="pct"/>
            <w:tcBorders>
              <w:tl2br w:val="nil"/>
              <w:tr2bl w:val="nil"/>
            </w:tcBorders>
            <w:noWrap w:val="0"/>
            <w:vAlign w:val="center"/>
          </w:tcPr>
          <w:p w14:paraId="45FFA6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阔叶灌丛</w:t>
            </w:r>
          </w:p>
        </w:tc>
        <w:tc>
          <w:tcPr>
            <w:tcW w:w="2067" w:type="dxa"/>
            <w:tcBorders>
              <w:tl2br w:val="nil"/>
              <w:tr2bl w:val="nil"/>
            </w:tcBorders>
            <w:noWrap w:val="0"/>
            <w:vAlign w:val="center"/>
          </w:tcPr>
          <w:p w14:paraId="698D8DFD">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92.1120 </w:t>
            </w:r>
          </w:p>
        </w:tc>
        <w:tc>
          <w:tcPr>
            <w:tcW w:w="1850" w:type="dxa"/>
            <w:tcBorders>
              <w:tl2br w:val="nil"/>
              <w:tr2bl w:val="nil"/>
            </w:tcBorders>
            <w:noWrap w:val="0"/>
            <w:vAlign w:val="center"/>
          </w:tcPr>
          <w:p w14:paraId="4772FC6E">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11.95 </w:t>
            </w:r>
          </w:p>
        </w:tc>
      </w:tr>
      <w:tr w14:paraId="742D1F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tcBorders>
              <w:tl2br w:val="nil"/>
              <w:tr2bl w:val="nil"/>
            </w:tcBorders>
            <w:noWrap w:val="0"/>
            <w:vAlign w:val="center"/>
          </w:tcPr>
          <w:p w14:paraId="0C94A4BF">
            <w:pPr>
              <w:keepNext w:val="0"/>
              <w:keepLines w:val="0"/>
              <w:pageBreakBefore w:val="0"/>
              <w:widowControl w:val="0"/>
              <w:numPr>
                <w:ilvl w:val="0"/>
                <w:numId w:val="14"/>
              </w:numPr>
              <w:suppressLineNumbers w:val="0"/>
              <w:kinsoku/>
              <w:wordWrap/>
              <w:overflowPunct/>
              <w:topLinePunct w:val="0"/>
              <w:autoSpaceDE/>
              <w:autoSpaceDN/>
              <w:bidi w:val="0"/>
              <w:adjustRightInd/>
              <w:snapToGrid/>
              <w:spacing w:before="0" w:beforeAutospacing="0" w:after="0" w:afterAutospacing="0" w:line="240" w:lineRule="auto"/>
              <w:ind w:left="425" w:leftChars="0" w:right="0" w:hanging="425" w:firstLineChars="0"/>
              <w:jc w:val="center"/>
              <w:textAlignment w:val="auto"/>
              <w:rPr>
                <w:rFonts w:hint="default" w:ascii="Times New Roman" w:hAnsi="Times New Roman" w:eastAsia="宋体" w:cs="Times New Roman"/>
                <w:caps w:val="0"/>
                <w:smallCaps w:val="0"/>
                <w:color w:val="000000"/>
                <w:kern w:val="2"/>
                <w:sz w:val="21"/>
                <w:szCs w:val="21"/>
                <w:lang w:val="en-US" w:eastAsia="zh-CN" w:bidi="ar-SA"/>
              </w:rPr>
            </w:pPr>
          </w:p>
        </w:tc>
        <w:tc>
          <w:tcPr>
            <w:tcW w:w="1260" w:type="pct"/>
            <w:tcBorders>
              <w:tl2br w:val="nil"/>
              <w:tr2bl w:val="nil"/>
            </w:tcBorders>
            <w:noWrap w:val="0"/>
            <w:vAlign w:val="center"/>
          </w:tcPr>
          <w:p w14:paraId="16CB74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草地生态系统</w:t>
            </w:r>
          </w:p>
        </w:tc>
        <w:tc>
          <w:tcPr>
            <w:tcW w:w="905" w:type="pct"/>
            <w:tcBorders>
              <w:tl2br w:val="nil"/>
              <w:tr2bl w:val="nil"/>
            </w:tcBorders>
            <w:noWrap w:val="0"/>
            <w:vAlign w:val="center"/>
          </w:tcPr>
          <w:p w14:paraId="2351BF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草丛</w:t>
            </w:r>
          </w:p>
        </w:tc>
        <w:tc>
          <w:tcPr>
            <w:tcW w:w="2067" w:type="dxa"/>
            <w:tcBorders>
              <w:tl2br w:val="nil"/>
              <w:tr2bl w:val="nil"/>
            </w:tcBorders>
            <w:noWrap w:val="0"/>
            <w:vAlign w:val="center"/>
          </w:tcPr>
          <w:p w14:paraId="18B4A506">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44.7939 </w:t>
            </w:r>
          </w:p>
        </w:tc>
        <w:tc>
          <w:tcPr>
            <w:tcW w:w="1850" w:type="dxa"/>
            <w:tcBorders>
              <w:tl2br w:val="nil"/>
              <w:tr2bl w:val="nil"/>
            </w:tcBorders>
            <w:noWrap w:val="0"/>
            <w:vAlign w:val="center"/>
          </w:tcPr>
          <w:p w14:paraId="3958E295">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5.81 </w:t>
            </w:r>
          </w:p>
        </w:tc>
      </w:tr>
      <w:tr w14:paraId="3AE1DD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tcBorders>
              <w:tl2br w:val="nil"/>
              <w:tr2bl w:val="nil"/>
            </w:tcBorders>
            <w:noWrap w:val="0"/>
            <w:vAlign w:val="center"/>
          </w:tcPr>
          <w:p w14:paraId="42F9B355">
            <w:pPr>
              <w:keepNext w:val="0"/>
              <w:keepLines w:val="0"/>
              <w:pageBreakBefore w:val="0"/>
              <w:widowControl w:val="0"/>
              <w:numPr>
                <w:ilvl w:val="0"/>
                <w:numId w:val="14"/>
              </w:numPr>
              <w:suppressLineNumbers w:val="0"/>
              <w:kinsoku/>
              <w:wordWrap/>
              <w:overflowPunct/>
              <w:topLinePunct w:val="0"/>
              <w:autoSpaceDE/>
              <w:autoSpaceDN/>
              <w:bidi w:val="0"/>
              <w:adjustRightInd/>
              <w:snapToGrid/>
              <w:spacing w:before="0" w:beforeAutospacing="0" w:after="0" w:afterAutospacing="0" w:line="240" w:lineRule="auto"/>
              <w:ind w:left="425" w:leftChars="0" w:right="0" w:hanging="425" w:firstLineChars="0"/>
              <w:jc w:val="center"/>
              <w:textAlignment w:val="auto"/>
              <w:rPr>
                <w:rFonts w:hint="default" w:ascii="Times New Roman" w:hAnsi="Times New Roman" w:eastAsia="宋体" w:cs="Times New Roman"/>
                <w:caps w:val="0"/>
                <w:smallCaps w:val="0"/>
                <w:color w:val="000000"/>
                <w:kern w:val="2"/>
                <w:sz w:val="21"/>
                <w:szCs w:val="21"/>
                <w:lang w:val="en-US" w:eastAsia="zh-CN" w:bidi="ar-SA"/>
              </w:rPr>
            </w:pPr>
          </w:p>
        </w:tc>
        <w:tc>
          <w:tcPr>
            <w:tcW w:w="1260" w:type="pct"/>
            <w:tcBorders>
              <w:tl2br w:val="nil"/>
              <w:tr2bl w:val="nil"/>
            </w:tcBorders>
            <w:noWrap w:val="0"/>
            <w:vAlign w:val="center"/>
          </w:tcPr>
          <w:p w14:paraId="2BF7FA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湿地生态系统</w:t>
            </w:r>
          </w:p>
        </w:tc>
        <w:tc>
          <w:tcPr>
            <w:tcW w:w="905" w:type="pct"/>
            <w:tcBorders>
              <w:tl2br w:val="nil"/>
              <w:tr2bl w:val="nil"/>
            </w:tcBorders>
            <w:noWrap w:val="0"/>
            <w:vAlign w:val="center"/>
          </w:tcPr>
          <w:p w14:paraId="161A61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湖泊</w:t>
            </w:r>
          </w:p>
        </w:tc>
        <w:tc>
          <w:tcPr>
            <w:tcW w:w="2067" w:type="dxa"/>
            <w:tcBorders>
              <w:tl2br w:val="nil"/>
              <w:tr2bl w:val="nil"/>
            </w:tcBorders>
            <w:noWrap w:val="0"/>
            <w:vAlign w:val="center"/>
          </w:tcPr>
          <w:p w14:paraId="107A13B0">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68.1348 </w:t>
            </w:r>
          </w:p>
        </w:tc>
        <w:tc>
          <w:tcPr>
            <w:tcW w:w="1850" w:type="dxa"/>
            <w:tcBorders>
              <w:tl2br w:val="nil"/>
              <w:tr2bl w:val="nil"/>
            </w:tcBorders>
            <w:noWrap w:val="0"/>
            <w:vAlign w:val="center"/>
          </w:tcPr>
          <w:p w14:paraId="604A4FD7">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8.84 </w:t>
            </w:r>
          </w:p>
        </w:tc>
      </w:tr>
      <w:tr w14:paraId="26328F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tcBorders>
              <w:tl2br w:val="nil"/>
              <w:tr2bl w:val="nil"/>
            </w:tcBorders>
            <w:noWrap w:val="0"/>
            <w:vAlign w:val="center"/>
          </w:tcPr>
          <w:p w14:paraId="78331C0F">
            <w:pPr>
              <w:keepNext w:val="0"/>
              <w:keepLines w:val="0"/>
              <w:pageBreakBefore w:val="0"/>
              <w:widowControl w:val="0"/>
              <w:numPr>
                <w:ilvl w:val="0"/>
                <w:numId w:val="14"/>
              </w:numPr>
              <w:suppressLineNumbers w:val="0"/>
              <w:kinsoku/>
              <w:wordWrap/>
              <w:overflowPunct/>
              <w:topLinePunct w:val="0"/>
              <w:autoSpaceDE/>
              <w:autoSpaceDN/>
              <w:bidi w:val="0"/>
              <w:adjustRightInd/>
              <w:snapToGrid/>
              <w:spacing w:before="0" w:beforeAutospacing="0" w:after="0" w:afterAutospacing="0" w:line="240" w:lineRule="auto"/>
              <w:ind w:left="425" w:leftChars="0" w:right="0" w:hanging="425" w:firstLineChars="0"/>
              <w:jc w:val="center"/>
              <w:textAlignment w:val="auto"/>
              <w:rPr>
                <w:rFonts w:hint="default" w:ascii="Times New Roman" w:hAnsi="Times New Roman" w:eastAsia="宋体" w:cs="Times New Roman"/>
                <w:caps w:val="0"/>
                <w:smallCaps w:val="0"/>
                <w:color w:val="000000"/>
                <w:kern w:val="2"/>
                <w:sz w:val="21"/>
                <w:szCs w:val="21"/>
                <w:lang w:val="en-US" w:eastAsia="zh-CN" w:bidi="ar-SA"/>
              </w:rPr>
            </w:pPr>
          </w:p>
        </w:tc>
        <w:tc>
          <w:tcPr>
            <w:tcW w:w="1260" w:type="pct"/>
            <w:tcBorders>
              <w:tl2br w:val="nil"/>
              <w:tr2bl w:val="nil"/>
            </w:tcBorders>
            <w:noWrap w:val="0"/>
            <w:vAlign w:val="center"/>
          </w:tcPr>
          <w:p w14:paraId="7A2858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农田生态系统</w:t>
            </w:r>
          </w:p>
        </w:tc>
        <w:tc>
          <w:tcPr>
            <w:tcW w:w="905" w:type="pct"/>
            <w:tcBorders>
              <w:tl2br w:val="nil"/>
              <w:tr2bl w:val="nil"/>
            </w:tcBorders>
            <w:noWrap w:val="0"/>
            <w:vAlign w:val="center"/>
          </w:tcPr>
          <w:p w14:paraId="4E99DF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耕地</w:t>
            </w:r>
          </w:p>
        </w:tc>
        <w:tc>
          <w:tcPr>
            <w:tcW w:w="2067" w:type="dxa"/>
            <w:tcBorders>
              <w:tl2br w:val="nil"/>
              <w:tr2bl w:val="nil"/>
            </w:tcBorders>
            <w:noWrap w:val="0"/>
            <w:vAlign w:val="center"/>
          </w:tcPr>
          <w:p w14:paraId="420766D3">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105.5650 </w:t>
            </w:r>
          </w:p>
        </w:tc>
        <w:tc>
          <w:tcPr>
            <w:tcW w:w="1850" w:type="dxa"/>
            <w:tcBorders>
              <w:tl2br w:val="nil"/>
              <w:tr2bl w:val="nil"/>
            </w:tcBorders>
            <w:noWrap w:val="0"/>
            <w:vAlign w:val="center"/>
          </w:tcPr>
          <w:p w14:paraId="286FA84C">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13.69 </w:t>
            </w:r>
          </w:p>
        </w:tc>
      </w:tr>
      <w:tr w14:paraId="4BEBF0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tcBorders>
              <w:tl2br w:val="nil"/>
              <w:tr2bl w:val="nil"/>
            </w:tcBorders>
            <w:noWrap w:val="0"/>
            <w:vAlign w:val="center"/>
          </w:tcPr>
          <w:p w14:paraId="60D0E4DB">
            <w:pPr>
              <w:keepNext w:val="0"/>
              <w:keepLines w:val="0"/>
              <w:pageBreakBefore w:val="0"/>
              <w:widowControl w:val="0"/>
              <w:numPr>
                <w:ilvl w:val="0"/>
                <w:numId w:val="14"/>
              </w:numPr>
              <w:suppressLineNumbers w:val="0"/>
              <w:kinsoku/>
              <w:wordWrap/>
              <w:overflowPunct/>
              <w:topLinePunct w:val="0"/>
              <w:autoSpaceDE/>
              <w:autoSpaceDN/>
              <w:bidi w:val="0"/>
              <w:adjustRightInd/>
              <w:snapToGrid/>
              <w:spacing w:before="0" w:beforeAutospacing="0" w:after="0" w:afterAutospacing="0" w:line="240" w:lineRule="auto"/>
              <w:ind w:left="425" w:leftChars="0" w:right="0" w:hanging="425" w:firstLineChars="0"/>
              <w:jc w:val="center"/>
              <w:textAlignment w:val="auto"/>
              <w:rPr>
                <w:rFonts w:hint="default" w:ascii="Times New Roman" w:hAnsi="Times New Roman" w:eastAsia="宋体" w:cs="Times New Roman"/>
                <w:caps w:val="0"/>
                <w:smallCaps w:val="0"/>
                <w:color w:val="000000"/>
                <w:kern w:val="2"/>
                <w:sz w:val="21"/>
                <w:szCs w:val="21"/>
                <w:lang w:val="en-US" w:eastAsia="zh-CN" w:bidi="ar-SA"/>
              </w:rPr>
            </w:pPr>
          </w:p>
        </w:tc>
        <w:tc>
          <w:tcPr>
            <w:tcW w:w="1260" w:type="pct"/>
            <w:tcBorders>
              <w:tl2br w:val="nil"/>
              <w:tr2bl w:val="nil"/>
            </w:tcBorders>
            <w:noWrap w:val="0"/>
            <w:vAlign w:val="center"/>
          </w:tcPr>
          <w:p w14:paraId="0473C9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城镇生态系统</w:t>
            </w:r>
          </w:p>
        </w:tc>
        <w:tc>
          <w:tcPr>
            <w:tcW w:w="905" w:type="pct"/>
            <w:tcBorders>
              <w:tl2br w:val="nil"/>
              <w:tr2bl w:val="nil"/>
            </w:tcBorders>
            <w:noWrap w:val="0"/>
            <w:vAlign w:val="center"/>
          </w:tcPr>
          <w:p w14:paraId="04DC5A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居住地</w:t>
            </w:r>
          </w:p>
        </w:tc>
        <w:tc>
          <w:tcPr>
            <w:tcW w:w="2067" w:type="dxa"/>
            <w:tcBorders>
              <w:tl2br w:val="nil"/>
              <w:tr2bl w:val="nil"/>
            </w:tcBorders>
            <w:noWrap w:val="0"/>
            <w:vAlign w:val="center"/>
          </w:tcPr>
          <w:p w14:paraId="0493053E">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14.4863 </w:t>
            </w:r>
          </w:p>
        </w:tc>
        <w:tc>
          <w:tcPr>
            <w:tcW w:w="1850" w:type="dxa"/>
            <w:tcBorders>
              <w:tl2br w:val="nil"/>
              <w:tr2bl w:val="nil"/>
            </w:tcBorders>
            <w:noWrap w:val="0"/>
            <w:vAlign w:val="center"/>
          </w:tcPr>
          <w:p w14:paraId="0846459D">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1.88 </w:t>
            </w:r>
          </w:p>
        </w:tc>
      </w:tr>
      <w:tr w14:paraId="2186DD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tcBorders>
              <w:tl2br w:val="nil"/>
              <w:tr2bl w:val="nil"/>
            </w:tcBorders>
            <w:noWrap w:val="0"/>
            <w:vAlign w:val="center"/>
          </w:tcPr>
          <w:p w14:paraId="3637D154">
            <w:pPr>
              <w:keepNext w:val="0"/>
              <w:keepLines w:val="0"/>
              <w:pageBreakBefore w:val="0"/>
              <w:widowControl w:val="0"/>
              <w:numPr>
                <w:ilvl w:val="0"/>
                <w:numId w:val="14"/>
              </w:numPr>
              <w:suppressLineNumbers w:val="0"/>
              <w:kinsoku/>
              <w:wordWrap/>
              <w:overflowPunct/>
              <w:topLinePunct w:val="0"/>
              <w:autoSpaceDE/>
              <w:autoSpaceDN/>
              <w:bidi w:val="0"/>
              <w:adjustRightInd/>
              <w:snapToGrid/>
              <w:spacing w:before="0" w:beforeAutospacing="0" w:after="0" w:afterAutospacing="0" w:line="240" w:lineRule="auto"/>
              <w:ind w:left="425" w:leftChars="0" w:right="0" w:hanging="425" w:firstLineChars="0"/>
              <w:jc w:val="center"/>
              <w:textAlignment w:val="auto"/>
              <w:rPr>
                <w:rFonts w:hint="default" w:ascii="Times New Roman" w:hAnsi="Times New Roman" w:eastAsia="宋体" w:cs="Times New Roman"/>
                <w:caps w:val="0"/>
                <w:smallCaps w:val="0"/>
                <w:color w:val="000000"/>
                <w:kern w:val="2"/>
                <w:sz w:val="21"/>
                <w:szCs w:val="21"/>
                <w:lang w:val="en-US" w:eastAsia="zh-CN" w:bidi="ar-SA"/>
              </w:rPr>
            </w:pPr>
          </w:p>
        </w:tc>
        <w:tc>
          <w:tcPr>
            <w:tcW w:w="1260" w:type="pct"/>
            <w:tcBorders>
              <w:tl2br w:val="nil"/>
              <w:tr2bl w:val="nil"/>
            </w:tcBorders>
            <w:noWrap w:val="0"/>
            <w:vAlign w:val="center"/>
          </w:tcPr>
          <w:p w14:paraId="4BB353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城镇生态系统</w:t>
            </w:r>
          </w:p>
        </w:tc>
        <w:tc>
          <w:tcPr>
            <w:tcW w:w="905" w:type="pct"/>
            <w:tcBorders>
              <w:tl2br w:val="nil"/>
              <w:tr2bl w:val="nil"/>
            </w:tcBorders>
            <w:noWrap w:val="0"/>
            <w:vAlign w:val="center"/>
          </w:tcPr>
          <w:p w14:paraId="6B9DE7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工矿交通</w:t>
            </w:r>
          </w:p>
        </w:tc>
        <w:tc>
          <w:tcPr>
            <w:tcW w:w="2067" w:type="dxa"/>
            <w:tcBorders>
              <w:tl2br w:val="nil"/>
              <w:tr2bl w:val="nil"/>
            </w:tcBorders>
            <w:noWrap w:val="0"/>
            <w:vAlign w:val="center"/>
          </w:tcPr>
          <w:p w14:paraId="1F543498">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19.5372 </w:t>
            </w:r>
          </w:p>
        </w:tc>
        <w:tc>
          <w:tcPr>
            <w:tcW w:w="1850" w:type="dxa"/>
            <w:tcBorders>
              <w:tl2br w:val="nil"/>
              <w:tr2bl w:val="nil"/>
            </w:tcBorders>
            <w:noWrap w:val="0"/>
            <w:vAlign w:val="center"/>
          </w:tcPr>
          <w:p w14:paraId="5954D91C">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2.52 </w:t>
            </w:r>
          </w:p>
        </w:tc>
      </w:tr>
      <w:tr w14:paraId="58FC65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tcBorders>
              <w:tl2br w:val="nil"/>
              <w:tr2bl w:val="nil"/>
            </w:tcBorders>
            <w:noWrap w:val="0"/>
            <w:vAlign w:val="center"/>
          </w:tcPr>
          <w:p w14:paraId="14A0B3EF">
            <w:pPr>
              <w:keepNext w:val="0"/>
              <w:keepLines w:val="0"/>
              <w:pageBreakBefore w:val="0"/>
              <w:widowControl w:val="0"/>
              <w:numPr>
                <w:ilvl w:val="0"/>
                <w:numId w:val="14"/>
              </w:numPr>
              <w:suppressLineNumbers w:val="0"/>
              <w:kinsoku/>
              <w:wordWrap/>
              <w:overflowPunct/>
              <w:topLinePunct w:val="0"/>
              <w:autoSpaceDE/>
              <w:autoSpaceDN/>
              <w:bidi w:val="0"/>
              <w:adjustRightInd/>
              <w:snapToGrid/>
              <w:spacing w:before="0" w:beforeAutospacing="0" w:after="0" w:afterAutospacing="0" w:line="240" w:lineRule="auto"/>
              <w:ind w:left="425" w:leftChars="0" w:right="0" w:hanging="425" w:firstLineChars="0"/>
              <w:jc w:val="center"/>
              <w:textAlignment w:val="auto"/>
              <w:rPr>
                <w:rFonts w:hint="default" w:ascii="Times New Roman" w:hAnsi="Times New Roman" w:eastAsia="宋体" w:cs="Times New Roman"/>
                <w:caps w:val="0"/>
                <w:smallCaps w:val="0"/>
                <w:color w:val="000000"/>
                <w:kern w:val="2"/>
                <w:sz w:val="21"/>
                <w:szCs w:val="21"/>
                <w:lang w:val="en-US" w:eastAsia="zh-CN" w:bidi="ar-SA"/>
              </w:rPr>
            </w:pPr>
          </w:p>
        </w:tc>
        <w:tc>
          <w:tcPr>
            <w:tcW w:w="1260" w:type="pct"/>
            <w:tcBorders>
              <w:tl2br w:val="nil"/>
              <w:tr2bl w:val="nil"/>
            </w:tcBorders>
            <w:noWrap w:val="0"/>
            <w:vAlign w:val="center"/>
          </w:tcPr>
          <w:p w14:paraId="7BD171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其他</w:t>
            </w:r>
          </w:p>
        </w:tc>
        <w:tc>
          <w:tcPr>
            <w:tcW w:w="905" w:type="pct"/>
            <w:tcBorders>
              <w:tl2br w:val="nil"/>
              <w:tr2bl w:val="nil"/>
            </w:tcBorders>
            <w:noWrap w:val="0"/>
            <w:vAlign w:val="center"/>
          </w:tcPr>
          <w:p w14:paraId="45FF6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裸地</w:t>
            </w:r>
          </w:p>
        </w:tc>
        <w:tc>
          <w:tcPr>
            <w:tcW w:w="2067" w:type="dxa"/>
            <w:tcBorders>
              <w:tl2br w:val="nil"/>
              <w:tr2bl w:val="nil"/>
            </w:tcBorders>
            <w:noWrap w:val="0"/>
            <w:vAlign w:val="center"/>
          </w:tcPr>
          <w:p w14:paraId="280B5A9D">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0.3095 </w:t>
            </w:r>
          </w:p>
        </w:tc>
        <w:tc>
          <w:tcPr>
            <w:tcW w:w="1850" w:type="dxa"/>
            <w:tcBorders>
              <w:tl2br w:val="nil"/>
              <w:tr2bl w:val="nil"/>
            </w:tcBorders>
            <w:noWrap w:val="0"/>
            <w:vAlign w:val="center"/>
          </w:tcPr>
          <w:p w14:paraId="708EF0BC">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0.04 </w:t>
            </w:r>
          </w:p>
        </w:tc>
      </w:tr>
      <w:tr w14:paraId="163F77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03" w:type="pct"/>
            <w:gridSpan w:val="3"/>
            <w:tcBorders>
              <w:tl2br w:val="nil"/>
              <w:tr2bl w:val="nil"/>
            </w:tcBorders>
            <w:noWrap w:val="0"/>
            <w:vAlign w:val="center"/>
          </w:tcPr>
          <w:p w14:paraId="3B9FB3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caps w:val="0"/>
                <w:smallCaps w:val="0"/>
                <w:color w:val="000000"/>
                <w:kern w:val="2"/>
                <w:sz w:val="21"/>
                <w:szCs w:val="21"/>
                <w:lang w:val="en-US" w:eastAsia="zh-CN" w:bidi="ar-SA"/>
              </w:rPr>
              <w:t>合计</w:t>
            </w:r>
          </w:p>
        </w:tc>
        <w:tc>
          <w:tcPr>
            <w:tcW w:w="2067" w:type="dxa"/>
            <w:tcBorders>
              <w:tl2br w:val="nil"/>
              <w:tr2bl w:val="nil"/>
            </w:tcBorders>
            <w:noWrap w:val="0"/>
            <w:vAlign w:val="center"/>
          </w:tcPr>
          <w:p w14:paraId="54ABDB47">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771.1454</w:t>
            </w:r>
          </w:p>
        </w:tc>
        <w:tc>
          <w:tcPr>
            <w:tcW w:w="1850" w:type="dxa"/>
            <w:tcBorders>
              <w:tl2br w:val="nil"/>
              <w:tr2bl w:val="nil"/>
            </w:tcBorders>
            <w:noWrap w:val="0"/>
            <w:vAlign w:val="center"/>
          </w:tcPr>
          <w:p w14:paraId="6758BDE6">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color w:val="000000"/>
                <w:kern w:val="2"/>
                <w:sz w:val="21"/>
                <w:szCs w:val="21"/>
                <w:lang w:val="en-US" w:eastAsia="zh-CN" w:bidi="ar-SA"/>
              </w:rPr>
            </w:pPr>
            <w:r>
              <w:rPr>
                <w:rFonts w:hint="default" w:ascii="Times New Roman" w:hAnsi="Times New Roman" w:eastAsia="宋体" w:cs="Times New Roman"/>
                <w:i w:val="0"/>
                <w:iCs w:val="0"/>
                <w:color w:val="000000"/>
                <w:kern w:val="2"/>
                <w:sz w:val="21"/>
                <w:szCs w:val="21"/>
                <w:u w:val="none"/>
                <w:lang w:val="en-US" w:eastAsia="zh-CN" w:bidi="ar-SA"/>
              </w:rPr>
              <w:t xml:space="preserve">100.00 </w:t>
            </w:r>
          </w:p>
        </w:tc>
      </w:tr>
    </w:tbl>
    <w:p w14:paraId="382D45CB">
      <w:pPr>
        <w:adjustRightInd w:val="0"/>
        <w:snapToGrid w:val="0"/>
        <w:spacing w:line="460" w:lineRule="exact"/>
        <w:ind w:firstLine="480" w:firstLineChars="200"/>
        <w:rPr>
          <w:rFonts w:hint="default" w:ascii="Times New Roman" w:hAnsi="Times New Roman" w:eastAsia="宋体" w:cs="Times New Roman"/>
          <w:bCs/>
          <w:caps w:val="0"/>
          <w:smallCaps w:val="0"/>
          <w:snapToGrid/>
          <w:color w:val="auto"/>
          <w:spacing w:val="0"/>
          <w:kern w:val="0"/>
          <w:sz w:val="24"/>
          <w:szCs w:val="24"/>
          <w:highlight w:val="none"/>
          <w:u w:val="none"/>
        </w:rPr>
      </w:pPr>
      <w:r>
        <w:rPr>
          <w:rFonts w:hint="default" w:ascii="Times New Roman" w:hAnsi="Times New Roman" w:eastAsia="宋体" w:cs="Times New Roman"/>
          <w:bCs/>
          <w:caps w:val="0"/>
          <w:smallCaps w:val="0"/>
          <w:snapToGrid/>
          <w:color w:val="auto"/>
          <w:spacing w:val="0"/>
          <w:kern w:val="0"/>
          <w:sz w:val="24"/>
          <w:szCs w:val="24"/>
          <w:highlight w:val="none"/>
          <w:u w:val="none"/>
        </w:rPr>
        <w:t>由上表可知，评价区生态系统以</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森林生态系统</w:t>
      </w:r>
      <w:r>
        <w:rPr>
          <w:rFonts w:hint="default" w:ascii="Times New Roman" w:hAnsi="Times New Roman" w:eastAsia="宋体" w:cs="Times New Roman"/>
          <w:bCs/>
          <w:caps w:val="0"/>
          <w:smallCaps w:val="0"/>
          <w:snapToGrid/>
          <w:color w:val="auto"/>
          <w:spacing w:val="0"/>
          <w:kern w:val="0"/>
          <w:sz w:val="24"/>
          <w:szCs w:val="24"/>
          <w:highlight w:val="none"/>
          <w:u w:val="none"/>
        </w:rPr>
        <w:t>为主，</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分别占评价区总面积的55.27%，其他</w:t>
      </w:r>
      <w:r>
        <w:rPr>
          <w:rFonts w:hint="default" w:ascii="Times New Roman" w:hAnsi="Times New Roman" w:eastAsia="宋体" w:cs="Times New Roman"/>
          <w:bCs/>
          <w:caps w:val="0"/>
          <w:smallCaps w:val="0"/>
          <w:snapToGrid/>
          <w:color w:val="auto"/>
          <w:spacing w:val="0"/>
          <w:kern w:val="0"/>
          <w:sz w:val="24"/>
          <w:szCs w:val="24"/>
          <w:highlight w:val="none"/>
          <w:u w:val="none"/>
        </w:rPr>
        <w:t>生态系统所占面积</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均</w:t>
      </w:r>
      <w:r>
        <w:rPr>
          <w:rFonts w:hint="default" w:ascii="Times New Roman" w:hAnsi="Times New Roman" w:eastAsia="宋体" w:cs="Times New Roman"/>
          <w:bCs/>
          <w:caps w:val="0"/>
          <w:smallCaps w:val="0"/>
          <w:snapToGrid/>
          <w:color w:val="auto"/>
          <w:spacing w:val="0"/>
          <w:kern w:val="0"/>
          <w:sz w:val="24"/>
          <w:szCs w:val="24"/>
          <w:highlight w:val="none"/>
          <w:u w:val="none"/>
        </w:rPr>
        <w:t>相对较小。</w:t>
      </w:r>
    </w:p>
    <w:p w14:paraId="76B08137">
      <w:pPr>
        <w:pStyle w:val="5"/>
        <w:bidi w:val="0"/>
        <w:rPr>
          <w:rFonts w:hint="default" w:ascii="Times New Roman" w:hAnsi="Times New Roman" w:cs="Times New Roman"/>
          <w:lang w:val="en-US" w:eastAsia="zh-CN"/>
        </w:rPr>
      </w:pPr>
      <w:bookmarkStart w:id="205" w:name="_Toc14988"/>
      <w:r>
        <w:rPr>
          <w:rFonts w:hint="default" w:ascii="Times New Roman" w:hAnsi="Times New Roman" w:cs="Times New Roman"/>
          <w:lang w:val="en-US" w:eastAsia="zh-CN"/>
        </w:rPr>
        <w:t>森林生态系统</w:t>
      </w:r>
      <w:bookmarkEnd w:id="205"/>
    </w:p>
    <w:p w14:paraId="5DCC027D">
      <w:pPr>
        <w:tabs>
          <w:tab w:val="left" w:pos="480"/>
        </w:tabs>
        <w:adjustRightInd w:val="0"/>
        <w:snapToGrid w:val="0"/>
        <w:spacing w:line="360" w:lineRule="auto"/>
        <w:ind w:firstLine="482" w:firstLineChars="200"/>
        <w:rPr>
          <w:rFonts w:hint="default" w:ascii="Times New Roman" w:hAnsi="Times New Roman" w:eastAsia="宋体" w:cs="Times New Roman"/>
          <w:b/>
          <w:caps w:val="0"/>
          <w:smallCaps w:val="0"/>
          <w:color w:val="auto"/>
          <w:kern w:val="0"/>
          <w:sz w:val="24"/>
          <w:szCs w:val="24"/>
        </w:rPr>
      </w:pPr>
      <w:r>
        <w:rPr>
          <w:rFonts w:hint="default" w:ascii="Times New Roman" w:hAnsi="Times New Roman" w:eastAsia="宋体" w:cs="Times New Roman"/>
          <w:b/>
          <w:caps w:val="0"/>
          <w:smallCaps w:val="0"/>
          <w:color w:val="auto"/>
          <w:kern w:val="0"/>
          <w:sz w:val="24"/>
          <w:szCs w:val="24"/>
          <w:lang w:val="en-US" w:eastAsia="zh-CN"/>
        </w:rPr>
        <w:t>1</w:t>
      </w:r>
      <w:r>
        <w:rPr>
          <w:rFonts w:hint="default" w:ascii="Times New Roman" w:hAnsi="Times New Roman" w:eastAsia="宋体" w:cs="Times New Roman"/>
          <w:b/>
          <w:caps w:val="0"/>
          <w:smallCaps w:val="0"/>
          <w:color w:val="auto"/>
          <w:kern w:val="0"/>
          <w:sz w:val="24"/>
          <w:szCs w:val="24"/>
        </w:rPr>
        <w:t>、结构与功能状况</w:t>
      </w:r>
    </w:p>
    <w:p w14:paraId="193A0A10">
      <w:pPr>
        <w:adjustRightInd w:val="0"/>
        <w:snapToGrid w:val="0"/>
        <w:spacing w:line="360" w:lineRule="auto"/>
        <w:ind w:firstLine="480" w:firstLineChars="200"/>
        <w:rPr>
          <w:rFonts w:hint="default" w:ascii="Times New Roman" w:hAnsi="Times New Roman" w:eastAsia="宋体" w:cs="Times New Roman"/>
          <w:bCs/>
          <w:caps w:val="0"/>
          <w:smallCaps w:val="0"/>
          <w:snapToGrid/>
          <w:color w:val="auto"/>
          <w:spacing w:val="0"/>
          <w:kern w:val="0"/>
          <w:sz w:val="24"/>
          <w:szCs w:val="24"/>
          <w:highlight w:val="none"/>
          <w:u w:val="none"/>
          <w:lang w:eastAsia="zh-CN"/>
        </w:rPr>
      </w:pP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是</w:t>
      </w:r>
      <w:r>
        <w:rPr>
          <w:rFonts w:hint="default" w:ascii="Times New Roman" w:hAnsi="Times New Roman" w:eastAsia="宋体" w:cs="Times New Roman"/>
          <w:bCs/>
          <w:caps w:val="0"/>
          <w:smallCaps w:val="0"/>
          <w:snapToGrid/>
          <w:color w:val="auto"/>
          <w:spacing w:val="0"/>
          <w:kern w:val="0"/>
          <w:sz w:val="24"/>
          <w:szCs w:val="24"/>
          <w:highlight w:val="none"/>
          <w:u w:val="none"/>
        </w:rPr>
        <w:t>指以乔木、竹类和灌木等为主要生产者的陆地生态系统</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系统内动植物种类繁多，木本植物和树栖动物种类丰富；层次结构、层片结构和营养结构复杂，形成复杂的食物网，环境空间以及营养物质利用充分；种群的密度和群落的结构能够长期处于较稳定的状态；生产力高，生物量大；生态系统服务功能高，如在调节气候、涵养水源，净化空气，保持水土，防风固沙、吸烟滞尘、改变区域水热状况等方面有着突出的作用。</w:t>
      </w:r>
    </w:p>
    <w:p w14:paraId="745FD0AD">
      <w:pPr>
        <w:adjustRightInd w:val="0"/>
        <w:snapToGrid w:val="0"/>
        <w:spacing w:line="360" w:lineRule="auto"/>
        <w:ind w:firstLine="480" w:firstLineChars="200"/>
        <w:rPr>
          <w:rFonts w:hint="default" w:ascii="Times New Roman" w:hAnsi="Times New Roman" w:eastAsia="宋体" w:cs="Times New Roman"/>
          <w:bCs/>
          <w:caps w:val="0"/>
          <w:smallCaps w:val="0"/>
          <w:snapToGrid/>
          <w:color w:val="auto"/>
          <w:spacing w:val="0"/>
          <w:kern w:val="0"/>
          <w:sz w:val="24"/>
          <w:szCs w:val="24"/>
          <w:highlight w:val="none"/>
          <w:u w:val="none"/>
          <w:lang w:eastAsia="zh-CN"/>
        </w:rPr>
      </w:pPr>
      <w:r>
        <w:rPr>
          <w:rFonts w:hint="default" w:ascii="Times New Roman" w:hAnsi="Times New Roman" w:eastAsia="宋体" w:cs="Times New Roman"/>
          <w:caps w:val="0"/>
          <w:smallCaps w:val="0"/>
          <w:snapToGrid/>
          <w:color w:val="auto"/>
          <w:spacing w:val="0"/>
          <w:kern w:val="0"/>
          <w:sz w:val="24"/>
          <w:szCs w:val="24"/>
          <w:highlight w:val="none"/>
          <w:u w:val="none"/>
        </w:rPr>
        <w:t>评价区森林</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生态系统构成主要是针叶林，包括</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樟树</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林、构树林、</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毛竹林</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等。</w:t>
      </w:r>
      <w:r>
        <w:rPr>
          <w:rFonts w:hint="default" w:ascii="Times New Roman" w:hAnsi="Times New Roman" w:eastAsia="宋体" w:cs="Times New Roman"/>
          <w:caps w:val="0"/>
          <w:smallCaps w:val="0"/>
          <w:snapToGrid/>
          <w:color w:val="auto"/>
          <w:spacing w:val="0"/>
          <w:kern w:val="0"/>
          <w:sz w:val="24"/>
          <w:szCs w:val="24"/>
          <w:highlight w:val="none"/>
          <w:u w:val="none"/>
        </w:rPr>
        <w:t>森林生态系统中的野生动物种类相对丰富，主要有鸟类，如麻雀</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山斑鸠、渡鸦、啄木鸟</w:t>
      </w:r>
      <w:r>
        <w:rPr>
          <w:rFonts w:hint="default" w:ascii="Times New Roman" w:hAnsi="Times New Roman" w:eastAsia="宋体" w:cs="Times New Roman"/>
          <w:caps w:val="0"/>
          <w:smallCaps w:val="0"/>
          <w:snapToGrid/>
          <w:color w:val="auto"/>
          <w:spacing w:val="0"/>
          <w:kern w:val="0"/>
          <w:sz w:val="24"/>
          <w:szCs w:val="24"/>
          <w:highlight w:val="none"/>
          <w:u w:val="none"/>
        </w:rPr>
        <w:t>等；兽类如黄鼬</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、褐家鼠</w:t>
      </w:r>
      <w:r>
        <w:rPr>
          <w:rFonts w:hint="default" w:ascii="Times New Roman" w:hAnsi="Times New Roman" w:eastAsia="宋体" w:cs="Times New Roman"/>
          <w:caps w:val="0"/>
          <w:smallCaps w:val="0"/>
          <w:snapToGrid/>
          <w:color w:val="auto"/>
          <w:spacing w:val="0"/>
          <w:kern w:val="0"/>
          <w:sz w:val="24"/>
          <w:szCs w:val="24"/>
          <w:highlight w:val="none"/>
          <w:u w:val="none"/>
        </w:rPr>
        <w:t>等；两栖类中的蟾蜍、雨蛙等；爬行类的蛇、蜥蜴等。</w:t>
      </w:r>
    </w:p>
    <w:p w14:paraId="075647F5">
      <w:pPr>
        <w:tabs>
          <w:tab w:val="left" w:pos="480"/>
        </w:tabs>
        <w:adjustRightInd w:val="0"/>
        <w:snapToGrid w:val="0"/>
        <w:spacing w:line="360" w:lineRule="auto"/>
        <w:ind w:firstLine="482" w:firstLineChars="200"/>
        <w:rPr>
          <w:rFonts w:hint="default" w:ascii="Times New Roman" w:hAnsi="Times New Roman" w:eastAsia="宋体" w:cs="Times New Roman"/>
          <w:b/>
          <w:caps w:val="0"/>
          <w:smallCaps w:val="0"/>
          <w:color w:val="auto"/>
          <w:kern w:val="0"/>
          <w:sz w:val="24"/>
          <w:szCs w:val="21"/>
        </w:rPr>
      </w:pPr>
      <w:r>
        <w:rPr>
          <w:rFonts w:hint="default" w:ascii="Times New Roman" w:hAnsi="Times New Roman" w:eastAsia="宋体" w:cs="Times New Roman"/>
          <w:b/>
          <w:caps w:val="0"/>
          <w:smallCaps w:val="0"/>
          <w:color w:val="auto"/>
          <w:kern w:val="0"/>
          <w:sz w:val="24"/>
          <w:szCs w:val="21"/>
          <w:lang w:val="en-US" w:eastAsia="zh-CN"/>
        </w:rPr>
        <w:t>2</w:t>
      </w:r>
      <w:r>
        <w:rPr>
          <w:rFonts w:hint="default" w:ascii="Times New Roman" w:hAnsi="Times New Roman" w:eastAsia="宋体" w:cs="Times New Roman"/>
          <w:b/>
          <w:caps w:val="0"/>
          <w:smallCaps w:val="0"/>
          <w:color w:val="auto"/>
          <w:kern w:val="0"/>
          <w:sz w:val="24"/>
          <w:szCs w:val="21"/>
        </w:rPr>
        <w:t>、分布情况</w:t>
      </w:r>
    </w:p>
    <w:p w14:paraId="0509408B">
      <w:pPr>
        <w:adjustRightInd w:val="0"/>
        <w:snapToGrid w:val="0"/>
        <w:spacing w:line="360" w:lineRule="auto"/>
        <w:ind w:firstLine="480" w:firstLineChars="200"/>
        <w:rPr>
          <w:rFonts w:hint="default" w:ascii="Times New Roman" w:hAnsi="Times New Roman" w:eastAsia="宋体" w:cs="Times New Roman"/>
          <w:bCs/>
          <w:caps w:val="0"/>
          <w:smallCaps w:val="0"/>
          <w:snapToGrid/>
          <w:color w:val="auto"/>
          <w:spacing w:val="0"/>
          <w:kern w:val="0"/>
          <w:sz w:val="24"/>
          <w:szCs w:val="24"/>
          <w:highlight w:val="none"/>
          <w:u w:val="none"/>
        </w:rPr>
      </w:pPr>
      <w:r>
        <w:rPr>
          <w:rFonts w:hint="default" w:ascii="Times New Roman" w:hAnsi="Times New Roman" w:eastAsia="宋体" w:cs="Times New Roman"/>
          <w:bCs/>
          <w:caps w:val="0"/>
          <w:smallCaps w:val="0"/>
          <w:snapToGrid/>
          <w:color w:val="auto"/>
          <w:spacing w:val="0"/>
          <w:kern w:val="0"/>
          <w:sz w:val="24"/>
          <w:szCs w:val="24"/>
          <w:highlight w:val="none"/>
          <w:u w:val="none"/>
        </w:rPr>
        <w:t>评价区森林生态系统面积为</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426.2067</w:t>
      </w:r>
      <w:r>
        <w:rPr>
          <w:rFonts w:hint="default" w:ascii="Times New Roman" w:hAnsi="Times New Roman" w:eastAsia="宋体" w:cs="Times New Roman"/>
          <w:bCs/>
          <w:caps w:val="0"/>
          <w:smallCaps w:val="0"/>
          <w:snapToGrid/>
          <w:color w:val="auto"/>
          <w:spacing w:val="0"/>
          <w:kern w:val="0"/>
          <w:sz w:val="24"/>
          <w:szCs w:val="24"/>
          <w:highlight w:val="none"/>
          <w:u w:val="none"/>
        </w:rPr>
        <w:t>hm</w:t>
      </w:r>
      <w:r>
        <w:rPr>
          <w:rFonts w:hint="default" w:ascii="Times New Roman" w:hAnsi="Times New Roman" w:eastAsia="宋体" w:cs="Times New Roman"/>
          <w:bCs/>
          <w:caps w:val="0"/>
          <w:smallCaps w:val="0"/>
          <w:snapToGrid/>
          <w:color w:val="auto"/>
          <w:spacing w:val="0"/>
          <w:kern w:val="0"/>
          <w:sz w:val="24"/>
          <w:szCs w:val="24"/>
          <w:highlight w:val="none"/>
          <w:u w:val="none"/>
          <w:vertAlign w:val="superscript"/>
        </w:rPr>
        <w:t>2</w:t>
      </w:r>
      <w:r>
        <w:rPr>
          <w:rFonts w:hint="default" w:ascii="Times New Roman" w:hAnsi="Times New Roman" w:eastAsia="宋体" w:cs="Times New Roman"/>
          <w:bCs/>
          <w:caps w:val="0"/>
          <w:smallCaps w:val="0"/>
          <w:snapToGrid/>
          <w:color w:val="auto"/>
          <w:spacing w:val="0"/>
          <w:kern w:val="0"/>
          <w:sz w:val="24"/>
          <w:szCs w:val="24"/>
          <w:highlight w:val="none"/>
          <w:u w:val="none"/>
        </w:rPr>
        <w:t>，占评价区总面积的</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55.27%</w:t>
      </w:r>
      <w:r>
        <w:rPr>
          <w:rFonts w:hint="default" w:ascii="Times New Roman" w:hAnsi="Times New Roman" w:eastAsia="宋体" w:cs="Times New Roman"/>
          <w:bCs/>
          <w:caps w:val="0"/>
          <w:smallCaps w:val="0"/>
          <w:snapToGrid/>
          <w:color w:val="auto"/>
          <w:spacing w:val="0"/>
          <w:kern w:val="0"/>
          <w:sz w:val="24"/>
          <w:szCs w:val="24"/>
          <w:highlight w:val="none"/>
          <w:u w:val="none"/>
        </w:rPr>
        <w:t>。通过现场调查，</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该</w:t>
      </w:r>
      <w:r>
        <w:rPr>
          <w:rFonts w:hint="default" w:ascii="Times New Roman" w:hAnsi="Times New Roman" w:eastAsia="宋体" w:cs="Times New Roman"/>
          <w:bCs/>
          <w:caps w:val="0"/>
          <w:smallCaps w:val="0"/>
          <w:snapToGrid/>
          <w:color w:val="auto"/>
          <w:spacing w:val="0"/>
          <w:kern w:val="0"/>
          <w:sz w:val="24"/>
          <w:szCs w:val="24"/>
          <w:highlight w:val="none"/>
          <w:u w:val="none"/>
        </w:rPr>
        <w:t>生态系统</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主要</w:t>
      </w:r>
      <w:r>
        <w:rPr>
          <w:rFonts w:hint="default" w:ascii="Times New Roman" w:hAnsi="Times New Roman" w:eastAsia="宋体" w:cs="Times New Roman"/>
          <w:bCs/>
          <w:caps w:val="0"/>
          <w:smallCaps w:val="0"/>
          <w:snapToGrid/>
          <w:color w:val="auto"/>
          <w:spacing w:val="0"/>
          <w:kern w:val="0"/>
          <w:sz w:val="24"/>
          <w:szCs w:val="24"/>
          <w:highlight w:val="none"/>
          <w:u w:val="none"/>
        </w:rPr>
        <w:t>分布在</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山地丘陵地带，居民点附近也有分布。</w:t>
      </w:r>
    </w:p>
    <w:p w14:paraId="66BCC7FB">
      <w:pPr>
        <w:pStyle w:val="5"/>
        <w:bidi w:val="0"/>
        <w:rPr>
          <w:rFonts w:hint="default" w:ascii="Times New Roman" w:hAnsi="Times New Roman" w:cs="Times New Roman"/>
          <w:lang w:val="en-US" w:eastAsia="zh-CN"/>
        </w:rPr>
      </w:pPr>
      <w:bookmarkStart w:id="206" w:name="_Toc14636"/>
      <w:r>
        <w:rPr>
          <w:rFonts w:hint="default" w:ascii="Times New Roman" w:hAnsi="Times New Roman" w:cs="Times New Roman"/>
          <w:lang w:val="en-US" w:eastAsia="zh-CN"/>
        </w:rPr>
        <w:t>灌丛生态系统</w:t>
      </w:r>
      <w:bookmarkEnd w:id="206"/>
    </w:p>
    <w:p w14:paraId="18E0DC36">
      <w:pPr>
        <w:tabs>
          <w:tab w:val="left" w:pos="480"/>
        </w:tabs>
        <w:adjustRightInd w:val="0"/>
        <w:snapToGrid w:val="0"/>
        <w:spacing w:line="360" w:lineRule="auto"/>
        <w:ind w:firstLine="482" w:firstLineChars="200"/>
        <w:rPr>
          <w:rFonts w:hint="default" w:ascii="Times New Roman" w:hAnsi="Times New Roman" w:eastAsia="宋体" w:cs="Times New Roman"/>
          <w:b/>
          <w:caps w:val="0"/>
          <w:smallCaps w:val="0"/>
          <w:color w:val="auto"/>
          <w:kern w:val="0"/>
          <w:sz w:val="24"/>
          <w:szCs w:val="24"/>
        </w:rPr>
      </w:pPr>
      <w:r>
        <w:rPr>
          <w:rFonts w:hint="default" w:ascii="Times New Roman" w:hAnsi="Times New Roman" w:eastAsia="宋体" w:cs="Times New Roman"/>
          <w:b/>
          <w:caps w:val="0"/>
          <w:smallCaps w:val="0"/>
          <w:color w:val="auto"/>
          <w:kern w:val="0"/>
          <w:sz w:val="24"/>
          <w:szCs w:val="24"/>
          <w:lang w:val="en-US" w:eastAsia="zh-CN"/>
        </w:rPr>
        <w:t>1</w:t>
      </w:r>
      <w:r>
        <w:rPr>
          <w:rFonts w:hint="default" w:ascii="Times New Roman" w:hAnsi="Times New Roman" w:eastAsia="宋体" w:cs="Times New Roman"/>
          <w:b/>
          <w:caps w:val="0"/>
          <w:smallCaps w:val="0"/>
          <w:color w:val="auto"/>
          <w:kern w:val="0"/>
          <w:sz w:val="24"/>
          <w:szCs w:val="24"/>
        </w:rPr>
        <w:t>、结构与功能状况</w:t>
      </w:r>
    </w:p>
    <w:p w14:paraId="4965FDE1">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lang w:eastAsia="zh-CN"/>
        </w:rPr>
      </w:pPr>
      <w:r>
        <w:rPr>
          <w:rFonts w:hint="default" w:ascii="Times New Roman" w:hAnsi="Times New Roman" w:eastAsia="宋体" w:cs="Times New Roman"/>
          <w:caps w:val="0"/>
          <w:smallCaps w:val="0"/>
          <w:snapToGrid/>
          <w:color w:val="auto"/>
          <w:spacing w:val="0"/>
          <w:kern w:val="0"/>
          <w:sz w:val="24"/>
          <w:szCs w:val="24"/>
          <w:highlight w:val="none"/>
          <w:u w:val="none"/>
          <w:lang w:eastAsia="zh-CN"/>
        </w:rPr>
        <w:t>是指以灌木和</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藤本</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植物为主要生产者的陆地生态系统。分布广泛，种类复杂，生态适应性广，既有在自然环境条件下发育的原生类型，也有在人为干扰形成的持久性的次生类型。系统主要由丛生无主干的灌木组成，高度5m以下，盖度大于30%；物种组成、层次结构和营养结构相对简单；种群密度、群落结构和生产力的时空变化较小，不同地区的限制因子不同；生态系统系统服务功能主要体现在涵养水源、保持水土和防风固沙等方面。</w:t>
      </w:r>
    </w:p>
    <w:p w14:paraId="7A22D733">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评价区</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灌丛生态系统构成主要是</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盐麸木灌丛、篌竹灌丛等</w:t>
      </w:r>
      <w:r>
        <w:rPr>
          <w:rFonts w:hint="default" w:ascii="Times New Roman" w:hAnsi="Times New Roman" w:eastAsia="宋体" w:cs="Times New Roman"/>
          <w:caps w:val="0"/>
          <w:smallCaps w:val="0"/>
          <w:color w:val="auto"/>
          <w:sz w:val="24"/>
          <w:szCs w:val="24"/>
          <w:highlight w:val="none"/>
          <w:u w:val="none"/>
          <w:lang w:eastAsia="zh-CN" w:bidi="ar"/>
        </w:rPr>
        <w:t>，</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主要分布在</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林下、林缘</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等。灌丛</w:t>
      </w:r>
      <w:r>
        <w:rPr>
          <w:rFonts w:hint="default" w:ascii="Times New Roman" w:hAnsi="Times New Roman" w:eastAsia="宋体" w:cs="Times New Roman"/>
          <w:caps w:val="0"/>
          <w:smallCaps w:val="0"/>
          <w:snapToGrid/>
          <w:color w:val="auto"/>
          <w:spacing w:val="0"/>
          <w:kern w:val="0"/>
          <w:sz w:val="24"/>
          <w:szCs w:val="24"/>
          <w:highlight w:val="none"/>
          <w:u w:val="none"/>
        </w:rPr>
        <w:t>生态系统中的野生动物种类相对</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贫乏</w:t>
      </w:r>
      <w:r>
        <w:rPr>
          <w:rFonts w:hint="default" w:ascii="Times New Roman" w:hAnsi="Times New Roman" w:eastAsia="宋体" w:cs="Times New Roman"/>
          <w:caps w:val="0"/>
          <w:smallCaps w:val="0"/>
          <w:snapToGrid/>
          <w:color w:val="auto"/>
          <w:spacing w:val="0"/>
          <w:kern w:val="0"/>
          <w:sz w:val="24"/>
          <w:szCs w:val="24"/>
          <w:highlight w:val="none"/>
          <w:u w:val="none"/>
        </w:rPr>
        <w:t>，主要有鸟类，如</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环颈雉</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山斑鸠</w:t>
      </w:r>
      <w:r>
        <w:rPr>
          <w:rFonts w:hint="default" w:ascii="Times New Roman" w:hAnsi="Times New Roman" w:eastAsia="宋体" w:cs="Times New Roman"/>
          <w:caps w:val="0"/>
          <w:smallCaps w:val="0"/>
          <w:snapToGrid/>
          <w:color w:val="auto"/>
          <w:spacing w:val="0"/>
          <w:kern w:val="0"/>
          <w:sz w:val="24"/>
          <w:szCs w:val="24"/>
          <w:highlight w:val="none"/>
          <w:u w:val="none"/>
        </w:rPr>
        <w:t>等；陆栖型两栖类如中华蟾蜍、泽陆蛙等</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；石隙型爬行类如中国石龙子等；</w:t>
      </w:r>
      <w:r>
        <w:rPr>
          <w:rFonts w:hint="default" w:ascii="Times New Roman" w:hAnsi="Times New Roman" w:eastAsia="宋体" w:cs="Times New Roman"/>
          <w:caps w:val="0"/>
          <w:smallCaps w:val="0"/>
          <w:snapToGrid/>
          <w:color w:val="auto"/>
          <w:spacing w:val="0"/>
          <w:kern w:val="0"/>
          <w:sz w:val="24"/>
          <w:szCs w:val="24"/>
          <w:highlight w:val="none"/>
          <w:u w:val="none"/>
        </w:rPr>
        <w:t>兽类如</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黄鼬</w:t>
      </w:r>
      <w:r>
        <w:rPr>
          <w:rFonts w:hint="default" w:ascii="Times New Roman" w:hAnsi="Times New Roman" w:eastAsia="宋体" w:cs="Times New Roman"/>
          <w:caps w:val="0"/>
          <w:smallCaps w:val="0"/>
          <w:snapToGrid/>
          <w:color w:val="auto"/>
          <w:spacing w:val="0"/>
          <w:kern w:val="0"/>
          <w:sz w:val="24"/>
          <w:szCs w:val="24"/>
          <w:highlight w:val="none"/>
          <w:u w:val="none"/>
        </w:rPr>
        <w:t>等；爬行类的蛇、蜥蜴等。</w:t>
      </w:r>
    </w:p>
    <w:p w14:paraId="394FEC4A">
      <w:pPr>
        <w:tabs>
          <w:tab w:val="left" w:pos="480"/>
        </w:tabs>
        <w:adjustRightInd w:val="0"/>
        <w:snapToGrid w:val="0"/>
        <w:spacing w:line="360" w:lineRule="auto"/>
        <w:ind w:firstLine="482" w:firstLineChars="200"/>
        <w:rPr>
          <w:rFonts w:hint="default" w:ascii="Times New Roman" w:hAnsi="Times New Roman" w:eastAsia="宋体" w:cs="Times New Roman"/>
          <w:b/>
          <w:caps w:val="0"/>
          <w:smallCaps w:val="0"/>
          <w:color w:val="auto"/>
          <w:kern w:val="0"/>
          <w:sz w:val="24"/>
          <w:szCs w:val="21"/>
        </w:rPr>
      </w:pPr>
      <w:r>
        <w:rPr>
          <w:rFonts w:hint="default" w:ascii="Times New Roman" w:hAnsi="Times New Roman" w:eastAsia="宋体" w:cs="Times New Roman"/>
          <w:b/>
          <w:caps w:val="0"/>
          <w:smallCaps w:val="0"/>
          <w:color w:val="auto"/>
          <w:kern w:val="0"/>
          <w:sz w:val="24"/>
          <w:szCs w:val="21"/>
          <w:lang w:val="en-US" w:eastAsia="zh-CN"/>
        </w:rPr>
        <w:t>2</w:t>
      </w:r>
      <w:r>
        <w:rPr>
          <w:rFonts w:hint="default" w:ascii="Times New Roman" w:hAnsi="Times New Roman" w:eastAsia="宋体" w:cs="Times New Roman"/>
          <w:b/>
          <w:caps w:val="0"/>
          <w:smallCaps w:val="0"/>
          <w:color w:val="auto"/>
          <w:kern w:val="0"/>
          <w:sz w:val="24"/>
          <w:szCs w:val="21"/>
        </w:rPr>
        <w:t>、分布情况</w:t>
      </w:r>
    </w:p>
    <w:p w14:paraId="48EAEE3B">
      <w:pPr>
        <w:spacing w:line="360" w:lineRule="auto"/>
        <w:ind w:firstLine="480" w:firstLineChars="200"/>
        <w:rPr>
          <w:rFonts w:hint="default" w:ascii="Times New Roman" w:hAnsi="Times New Roman" w:eastAsia="宋体" w:cs="Times New Roman"/>
          <w:bCs/>
          <w:caps w:val="0"/>
          <w:smallCaps w:val="0"/>
          <w:snapToGrid/>
          <w:color w:val="auto"/>
          <w:spacing w:val="0"/>
          <w:kern w:val="0"/>
          <w:sz w:val="24"/>
          <w:szCs w:val="24"/>
          <w:highlight w:val="none"/>
          <w:u w:val="none"/>
          <w:lang w:eastAsia="zh-CN"/>
        </w:rPr>
      </w:pPr>
      <w:r>
        <w:rPr>
          <w:rFonts w:hint="default" w:ascii="Times New Roman" w:hAnsi="Times New Roman" w:eastAsia="宋体" w:cs="Times New Roman"/>
          <w:bCs/>
          <w:caps w:val="0"/>
          <w:smallCaps w:val="0"/>
          <w:snapToGrid/>
          <w:color w:val="auto"/>
          <w:spacing w:val="0"/>
          <w:kern w:val="0"/>
          <w:sz w:val="24"/>
          <w:szCs w:val="24"/>
          <w:highlight w:val="none"/>
          <w:u w:val="none"/>
        </w:rPr>
        <w:t>评价区</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灌丛生态系统</w:t>
      </w:r>
      <w:r>
        <w:rPr>
          <w:rFonts w:hint="default" w:ascii="Times New Roman" w:hAnsi="Times New Roman" w:eastAsia="宋体" w:cs="Times New Roman"/>
          <w:bCs/>
          <w:caps w:val="0"/>
          <w:smallCaps w:val="0"/>
          <w:snapToGrid/>
          <w:color w:val="auto"/>
          <w:spacing w:val="0"/>
          <w:kern w:val="0"/>
          <w:sz w:val="24"/>
          <w:szCs w:val="24"/>
          <w:highlight w:val="none"/>
          <w:u w:val="none"/>
        </w:rPr>
        <w:t>面积为</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92.1120</w:t>
      </w:r>
      <w:r>
        <w:rPr>
          <w:rFonts w:hint="default" w:ascii="Times New Roman" w:hAnsi="Times New Roman" w:eastAsia="宋体" w:cs="Times New Roman"/>
          <w:bCs/>
          <w:caps w:val="0"/>
          <w:smallCaps w:val="0"/>
          <w:snapToGrid/>
          <w:color w:val="auto"/>
          <w:spacing w:val="0"/>
          <w:kern w:val="0"/>
          <w:sz w:val="24"/>
          <w:szCs w:val="24"/>
          <w:highlight w:val="none"/>
          <w:u w:val="none"/>
        </w:rPr>
        <w:t>hm</w:t>
      </w:r>
      <w:r>
        <w:rPr>
          <w:rFonts w:hint="default" w:ascii="Times New Roman" w:hAnsi="Times New Roman" w:eastAsia="宋体" w:cs="Times New Roman"/>
          <w:bCs/>
          <w:caps w:val="0"/>
          <w:smallCaps w:val="0"/>
          <w:snapToGrid/>
          <w:color w:val="auto"/>
          <w:spacing w:val="0"/>
          <w:kern w:val="0"/>
          <w:sz w:val="24"/>
          <w:szCs w:val="24"/>
          <w:highlight w:val="none"/>
          <w:u w:val="none"/>
          <w:vertAlign w:val="superscript"/>
        </w:rPr>
        <w:t>2</w:t>
      </w:r>
      <w:r>
        <w:rPr>
          <w:rFonts w:hint="default" w:ascii="Times New Roman" w:hAnsi="Times New Roman" w:eastAsia="宋体" w:cs="Times New Roman"/>
          <w:bCs/>
          <w:caps w:val="0"/>
          <w:smallCaps w:val="0"/>
          <w:snapToGrid/>
          <w:color w:val="auto"/>
          <w:spacing w:val="0"/>
          <w:kern w:val="0"/>
          <w:sz w:val="24"/>
          <w:szCs w:val="24"/>
          <w:highlight w:val="none"/>
          <w:u w:val="none"/>
        </w:rPr>
        <w:t>，占评价区总面积的</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11.95%</w:t>
      </w:r>
      <w:r>
        <w:rPr>
          <w:rFonts w:hint="default" w:ascii="Times New Roman" w:hAnsi="Times New Roman" w:eastAsia="宋体" w:cs="Times New Roman"/>
          <w:bCs/>
          <w:caps w:val="0"/>
          <w:smallCaps w:val="0"/>
          <w:snapToGrid/>
          <w:color w:val="auto"/>
          <w:spacing w:val="0"/>
          <w:kern w:val="0"/>
          <w:sz w:val="24"/>
          <w:szCs w:val="24"/>
          <w:highlight w:val="none"/>
          <w:u w:val="none"/>
        </w:rPr>
        <w:t>。通过现场调查，</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该</w:t>
      </w:r>
      <w:r>
        <w:rPr>
          <w:rFonts w:hint="default" w:ascii="Times New Roman" w:hAnsi="Times New Roman" w:eastAsia="宋体" w:cs="Times New Roman"/>
          <w:bCs/>
          <w:caps w:val="0"/>
          <w:smallCaps w:val="0"/>
          <w:snapToGrid/>
          <w:color w:val="auto"/>
          <w:spacing w:val="0"/>
          <w:kern w:val="0"/>
          <w:sz w:val="24"/>
          <w:szCs w:val="24"/>
          <w:highlight w:val="none"/>
          <w:u w:val="none"/>
        </w:rPr>
        <w:t>生态系统广泛分布在</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丘陵地带的林下、林缘等。</w:t>
      </w:r>
    </w:p>
    <w:p w14:paraId="22BB006C">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草地生态系统</w:t>
      </w:r>
    </w:p>
    <w:p w14:paraId="27FCB20C">
      <w:pPr>
        <w:tabs>
          <w:tab w:val="left" w:pos="480"/>
        </w:tabs>
        <w:adjustRightInd w:val="0"/>
        <w:snapToGrid w:val="0"/>
        <w:spacing w:line="360" w:lineRule="auto"/>
        <w:ind w:firstLine="482" w:firstLineChars="200"/>
        <w:rPr>
          <w:rFonts w:hint="default" w:ascii="Times New Roman" w:hAnsi="Times New Roman" w:eastAsia="宋体" w:cs="Times New Roman"/>
          <w:b/>
          <w:caps w:val="0"/>
          <w:smallCaps w:val="0"/>
          <w:color w:val="auto"/>
          <w:kern w:val="0"/>
          <w:sz w:val="24"/>
          <w:szCs w:val="24"/>
        </w:rPr>
      </w:pPr>
      <w:r>
        <w:rPr>
          <w:rFonts w:hint="default" w:ascii="Times New Roman" w:hAnsi="Times New Roman" w:eastAsia="宋体" w:cs="Times New Roman"/>
          <w:b/>
          <w:caps w:val="0"/>
          <w:smallCaps w:val="0"/>
          <w:color w:val="auto"/>
          <w:kern w:val="0"/>
          <w:sz w:val="24"/>
          <w:szCs w:val="24"/>
          <w:lang w:val="en-US" w:eastAsia="zh-CN"/>
        </w:rPr>
        <w:t>1</w:t>
      </w:r>
      <w:r>
        <w:rPr>
          <w:rFonts w:hint="default" w:ascii="Times New Roman" w:hAnsi="Times New Roman" w:eastAsia="宋体" w:cs="Times New Roman"/>
          <w:b/>
          <w:caps w:val="0"/>
          <w:smallCaps w:val="0"/>
          <w:color w:val="auto"/>
          <w:kern w:val="0"/>
          <w:sz w:val="24"/>
          <w:szCs w:val="24"/>
        </w:rPr>
        <w:t>、结构与功能状况</w:t>
      </w:r>
    </w:p>
    <w:p w14:paraId="1FE0B461">
      <w:pPr>
        <w:widowControl w:val="0"/>
        <w:spacing w:line="360" w:lineRule="auto"/>
        <w:ind w:firstLine="480" w:firstLineChars="200"/>
        <w:jc w:val="both"/>
        <w:rPr>
          <w:rFonts w:hint="default" w:ascii="Times New Roman" w:hAnsi="Times New Roman" w:eastAsia="宋体" w:cs="Times New Roman"/>
          <w:caps w:val="0"/>
          <w:smallCaps w:val="0"/>
          <w:kern w:val="2"/>
          <w:sz w:val="24"/>
          <w:szCs w:val="21"/>
          <w:lang w:val="en-US" w:eastAsia="zh-CN" w:bidi="ar-SA"/>
        </w:rPr>
      </w:pPr>
      <w:r>
        <w:rPr>
          <w:rFonts w:hint="default" w:ascii="Times New Roman" w:hAnsi="Times New Roman" w:eastAsia="宋体" w:cs="Times New Roman"/>
          <w:caps w:val="0"/>
          <w:smallCaps w:val="0"/>
          <w:kern w:val="2"/>
          <w:sz w:val="24"/>
          <w:szCs w:val="21"/>
          <w:lang w:val="en-US" w:eastAsia="zh-CN" w:bidi="ar-SA"/>
        </w:rPr>
        <w:t>是指以多年生草本植物为主要生产者的陆地生态系统。主要分布在北部、西北部和西南部的干旱和半干旱区，以及南方湿润区的荒地，是我国陆地面积最大的生态系统类型。系统主要由多年生禾草植物组成，多年生杂类草及半灌木也起到一定的作用；群落结构和营养结构相对简单；种群密度、群落结构和生产力的时空变化较大，主要是受到水分的限制；生态系统系统服务功能主要在于涵养水源、保持水土、防风固沙和改变区域水热状况等方面。</w:t>
      </w:r>
    </w:p>
    <w:p w14:paraId="39144EFC">
      <w:pPr>
        <w:widowControl w:val="0"/>
        <w:spacing w:line="360" w:lineRule="auto"/>
        <w:ind w:firstLine="480" w:firstLineChars="200"/>
        <w:jc w:val="both"/>
        <w:rPr>
          <w:rFonts w:hint="default" w:ascii="Times New Roman" w:hAnsi="Times New Roman" w:eastAsia="宋体" w:cs="Times New Roman"/>
          <w:caps w:val="0"/>
          <w:smallCaps w:val="0"/>
          <w:kern w:val="2"/>
          <w:sz w:val="24"/>
          <w:szCs w:val="21"/>
          <w:lang w:val="en-US" w:eastAsia="zh-CN" w:bidi="ar-SA"/>
        </w:rPr>
      </w:pPr>
      <w:r>
        <w:rPr>
          <w:rFonts w:hint="default" w:ascii="Times New Roman" w:hAnsi="Times New Roman" w:eastAsia="宋体" w:cs="Times New Roman"/>
          <w:caps w:val="0"/>
          <w:smallCaps w:val="0"/>
          <w:kern w:val="2"/>
          <w:sz w:val="24"/>
          <w:szCs w:val="21"/>
          <w:lang w:val="en-US" w:eastAsia="zh-CN" w:bidi="ar-SA"/>
        </w:rPr>
        <w:t>系统中植被类型以草本植物为主，常见的有芒草丛等。动物种类主要包括陆栖型两栖类如中华蟾蜍、泽陆蛙等；石隙型爬行类如中国石龙子、赤链蛇等；半地下生活型哺乳类如华南兔、黄鼬等。</w:t>
      </w:r>
    </w:p>
    <w:p w14:paraId="4C0F87E1">
      <w:pPr>
        <w:tabs>
          <w:tab w:val="left" w:pos="480"/>
        </w:tabs>
        <w:adjustRightInd w:val="0"/>
        <w:snapToGrid w:val="0"/>
        <w:spacing w:line="360" w:lineRule="auto"/>
        <w:ind w:firstLine="482" w:firstLineChars="200"/>
        <w:rPr>
          <w:rFonts w:hint="default" w:ascii="Times New Roman" w:hAnsi="Times New Roman" w:eastAsia="宋体" w:cs="Times New Roman"/>
          <w:b/>
          <w:caps w:val="0"/>
          <w:smallCaps w:val="0"/>
          <w:color w:val="auto"/>
          <w:kern w:val="0"/>
          <w:sz w:val="24"/>
          <w:szCs w:val="21"/>
        </w:rPr>
      </w:pPr>
      <w:r>
        <w:rPr>
          <w:rFonts w:hint="default" w:ascii="Times New Roman" w:hAnsi="Times New Roman" w:eastAsia="宋体" w:cs="Times New Roman"/>
          <w:b/>
          <w:caps w:val="0"/>
          <w:smallCaps w:val="0"/>
          <w:color w:val="auto"/>
          <w:kern w:val="0"/>
          <w:sz w:val="24"/>
          <w:szCs w:val="21"/>
          <w:lang w:val="en-US" w:eastAsia="zh-CN"/>
        </w:rPr>
        <w:t>2</w:t>
      </w:r>
      <w:r>
        <w:rPr>
          <w:rFonts w:hint="default" w:ascii="Times New Roman" w:hAnsi="Times New Roman" w:eastAsia="宋体" w:cs="Times New Roman"/>
          <w:b/>
          <w:caps w:val="0"/>
          <w:smallCaps w:val="0"/>
          <w:color w:val="auto"/>
          <w:kern w:val="0"/>
          <w:sz w:val="24"/>
          <w:szCs w:val="21"/>
        </w:rPr>
        <w:t>、分布情况</w:t>
      </w:r>
    </w:p>
    <w:p w14:paraId="46746A72">
      <w:pPr>
        <w:spacing w:line="360" w:lineRule="auto"/>
        <w:ind w:firstLine="480" w:firstLineChars="200"/>
        <w:rPr>
          <w:rFonts w:hint="default" w:ascii="Times New Roman" w:hAnsi="Times New Roman" w:eastAsia="宋体" w:cs="Times New Roman"/>
          <w:caps w:val="0"/>
          <w:smallCaps w:val="0"/>
          <w:sz w:val="24"/>
          <w:szCs w:val="21"/>
          <w:lang w:eastAsia="zh-CN"/>
        </w:rPr>
      </w:pPr>
      <w:r>
        <w:rPr>
          <w:rFonts w:hint="default" w:ascii="Times New Roman" w:hAnsi="Times New Roman" w:eastAsia="宋体" w:cs="Times New Roman"/>
          <w:caps w:val="0"/>
          <w:smallCaps w:val="0"/>
          <w:sz w:val="24"/>
          <w:szCs w:val="21"/>
          <w:lang w:eastAsia="zh-CN"/>
        </w:rPr>
        <w:t>评价区草地生态系统面积为</w:t>
      </w:r>
      <w:r>
        <w:rPr>
          <w:rFonts w:hint="default" w:ascii="Times New Roman" w:hAnsi="Times New Roman" w:eastAsia="宋体" w:cs="Times New Roman"/>
          <w:caps w:val="0"/>
          <w:smallCaps w:val="0"/>
          <w:sz w:val="24"/>
          <w:szCs w:val="21"/>
          <w:lang w:val="en-US" w:eastAsia="zh-CN"/>
        </w:rPr>
        <w:t>44.7939</w:t>
      </w:r>
      <w:r>
        <w:rPr>
          <w:rFonts w:hint="default" w:ascii="Times New Roman" w:hAnsi="Times New Roman" w:eastAsia="宋体" w:cs="Times New Roman"/>
          <w:caps w:val="0"/>
          <w:smallCaps w:val="0"/>
          <w:sz w:val="24"/>
          <w:szCs w:val="21"/>
          <w:lang w:eastAsia="zh-CN"/>
        </w:rPr>
        <w:t>hm</w:t>
      </w:r>
      <w:r>
        <w:rPr>
          <w:rFonts w:hint="default" w:ascii="Times New Roman" w:hAnsi="Times New Roman" w:eastAsia="宋体" w:cs="Times New Roman"/>
          <w:caps w:val="0"/>
          <w:smallCaps w:val="0"/>
          <w:sz w:val="24"/>
          <w:szCs w:val="21"/>
          <w:vertAlign w:val="superscript"/>
          <w:lang w:eastAsia="zh-CN"/>
        </w:rPr>
        <w:t>2</w:t>
      </w:r>
      <w:r>
        <w:rPr>
          <w:rFonts w:hint="default" w:ascii="Times New Roman" w:hAnsi="Times New Roman" w:eastAsia="宋体" w:cs="Times New Roman"/>
          <w:caps w:val="0"/>
          <w:smallCaps w:val="0"/>
          <w:sz w:val="24"/>
          <w:szCs w:val="21"/>
          <w:lang w:eastAsia="zh-CN"/>
        </w:rPr>
        <w:t>，占评价区总面积的</w:t>
      </w:r>
      <w:r>
        <w:rPr>
          <w:rFonts w:hint="default" w:ascii="Times New Roman" w:hAnsi="Times New Roman" w:eastAsia="宋体" w:cs="Times New Roman"/>
          <w:caps w:val="0"/>
          <w:smallCaps w:val="0"/>
          <w:sz w:val="24"/>
          <w:szCs w:val="21"/>
          <w:lang w:val="en-US" w:eastAsia="zh-CN"/>
        </w:rPr>
        <w:t>5.81%</w:t>
      </w:r>
      <w:r>
        <w:rPr>
          <w:rFonts w:hint="default" w:ascii="Times New Roman" w:hAnsi="Times New Roman" w:eastAsia="宋体" w:cs="Times New Roman"/>
          <w:caps w:val="0"/>
          <w:smallCaps w:val="0"/>
          <w:sz w:val="24"/>
          <w:szCs w:val="21"/>
          <w:lang w:eastAsia="zh-CN"/>
        </w:rPr>
        <w:t>。通过现场调查，评价范围内的草地生态系统主要分布于</w:t>
      </w:r>
      <w:r>
        <w:rPr>
          <w:rFonts w:hint="default" w:ascii="Times New Roman" w:hAnsi="Times New Roman" w:eastAsia="宋体" w:cs="Times New Roman"/>
          <w:caps w:val="0"/>
          <w:smallCaps w:val="0"/>
          <w:sz w:val="24"/>
          <w:szCs w:val="21"/>
          <w:lang w:val="en-US" w:eastAsia="zh-CN"/>
        </w:rPr>
        <w:t>疏林地、</w:t>
      </w:r>
      <w:r>
        <w:rPr>
          <w:rFonts w:hint="default" w:ascii="Times New Roman" w:hAnsi="Times New Roman" w:eastAsia="宋体" w:cs="Times New Roman"/>
          <w:caps w:val="0"/>
          <w:smallCaps w:val="0"/>
          <w:sz w:val="24"/>
          <w:szCs w:val="21"/>
          <w:lang w:eastAsia="zh-CN"/>
        </w:rPr>
        <w:t>林缘。</w:t>
      </w:r>
    </w:p>
    <w:p w14:paraId="5FC8BC07">
      <w:pPr>
        <w:pStyle w:val="5"/>
        <w:bidi w:val="0"/>
        <w:rPr>
          <w:rFonts w:hint="default" w:ascii="Times New Roman" w:hAnsi="Times New Roman" w:cs="Times New Roman"/>
          <w:lang w:val="en-US" w:eastAsia="zh-CN"/>
        </w:rPr>
      </w:pPr>
      <w:bookmarkStart w:id="207" w:name="_Toc12838"/>
      <w:r>
        <w:rPr>
          <w:rFonts w:hint="default" w:ascii="Times New Roman" w:hAnsi="Times New Roman" w:cs="Times New Roman"/>
          <w:lang w:val="en-US" w:eastAsia="zh-CN"/>
        </w:rPr>
        <w:t>湿地生态系统</w:t>
      </w:r>
      <w:bookmarkEnd w:id="207"/>
    </w:p>
    <w:p w14:paraId="1440D145">
      <w:pPr>
        <w:tabs>
          <w:tab w:val="left" w:pos="480"/>
        </w:tabs>
        <w:adjustRightInd w:val="0"/>
        <w:snapToGrid w:val="0"/>
        <w:spacing w:line="360" w:lineRule="auto"/>
        <w:ind w:firstLine="482" w:firstLineChars="200"/>
        <w:rPr>
          <w:rFonts w:hint="default" w:ascii="Times New Roman" w:hAnsi="Times New Roman" w:eastAsia="宋体" w:cs="Times New Roman"/>
          <w:b/>
          <w:caps w:val="0"/>
          <w:smallCaps w:val="0"/>
          <w:color w:val="auto"/>
          <w:kern w:val="0"/>
          <w:sz w:val="24"/>
          <w:szCs w:val="24"/>
        </w:rPr>
      </w:pPr>
      <w:r>
        <w:rPr>
          <w:rFonts w:hint="default" w:ascii="Times New Roman" w:hAnsi="Times New Roman" w:eastAsia="宋体" w:cs="Times New Roman"/>
          <w:b/>
          <w:caps w:val="0"/>
          <w:smallCaps w:val="0"/>
          <w:color w:val="auto"/>
          <w:kern w:val="0"/>
          <w:sz w:val="24"/>
          <w:szCs w:val="24"/>
          <w:lang w:val="en-US" w:eastAsia="zh-CN"/>
        </w:rPr>
        <w:t>1</w:t>
      </w:r>
      <w:r>
        <w:rPr>
          <w:rFonts w:hint="default" w:ascii="Times New Roman" w:hAnsi="Times New Roman" w:eastAsia="宋体" w:cs="Times New Roman"/>
          <w:b/>
          <w:caps w:val="0"/>
          <w:smallCaps w:val="0"/>
          <w:color w:val="auto"/>
          <w:kern w:val="0"/>
          <w:sz w:val="24"/>
          <w:szCs w:val="24"/>
        </w:rPr>
        <w:t>、结构与功能状况</w:t>
      </w:r>
    </w:p>
    <w:p w14:paraId="684D93CD">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lang w:eastAsia="zh-CN"/>
        </w:rPr>
      </w:pPr>
      <w:r>
        <w:rPr>
          <w:rFonts w:hint="default" w:ascii="Times New Roman" w:hAnsi="Times New Roman" w:eastAsia="宋体" w:cs="Times New Roman"/>
          <w:caps w:val="0"/>
          <w:smallCaps w:val="0"/>
          <w:snapToGrid/>
          <w:color w:val="auto"/>
          <w:spacing w:val="0"/>
          <w:kern w:val="0"/>
          <w:sz w:val="24"/>
          <w:szCs w:val="24"/>
          <w:highlight w:val="none"/>
          <w:u w:val="none"/>
          <w:lang w:eastAsia="zh-CN"/>
        </w:rPr>
        <w:t>是指所有的陆地淡水生态系统，如河流、湖泊、沼泽，以及作为河流归宿地的内陆河尾闾湖泊、陆地和海洋过渡地带的滨海湿地生态系统，是陆地，水域共同与大气相互作用，相互影响，相互渗透，是兼有水陆双重特征的特殊生态系统。系统兼具陆生与水生动植物类群，生物多样性丰富；结构复杂，生产力高，在水文情势影响下，生态系统随之出现同步波动，强弱互替；生态系统服务功能高，主要在于径流调节、蓄水抗旱、防洪排涝、废弃物降解、调节气候、净化空气等方面。</w:t>
      </w:r>
    </w:p>
    <w:p w14:paraId="6DE90264">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lang w:eastAsia="zh-CN"/>
        </w:rPr>
      </w:pPr>
      <w:r>
        <w:rPr>
          <w:rFonts w:hint="default" w:ascii="Times New Roman" w:hAnsi="Times New Roman" w:eastAsia="宋体" w:cs="Times New Roman"/>
          <w:caps w:val="0"/>
          <w:smallCaps w:val="0"/>
          <w:snapToGrid/>
          <w:color w:val="auto"/>
          <w:spacing w:val="0"/>
          <w:kern w:val="0"/>
          <w:sz w:val="24"/>
          <w:szCs w:val="24"/>
          <w:highlight w:val="none"/>
          <w:u w:val="none"/>
          <w:lang w:eastAsia="zh-CN"/>
        </w:rPr>
        <w:t>湿地生态系统的植被主要分布于</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水陆交接带</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，植被类型以河滩的灌草为主，</w:t>
      </w:r>
      <w:r>
        <w:rPr>
          <w:rFonts w:hint="default" w:ascii="Times New Roman" w:hAnsi="Times New Roman" w:eastAsia="宋体" w:cs="Times New Roman"/>
          <w:bCs/>
          <w:caps w:val="0"/>
          <w:smallCaps w:val="0"/>
          <w:color w:val="auto"/>
          <w:sz w:val="24"/>
          <w:szCs w:val="24"/>
          <w:highlight w:val="none"/>
          <w:u w:val="none"/>
        </w:rPr>
        <w:t>常见的湿生植物有</w:t>
      </w:r>
      <w:r>
        <w:rPr>
          <w:rFonts w:hint="default" w:ascii="Times New Roman" w:hAnsi="Times New Roman" w:eastAsia="宋体" w:cs="Times New Roman"/>
          <w:caps w:val="0"/>
          <w:smallCaps w:val="0"/>
          <w:color w:val="auto"/>
          <w:sz w:val="24"/>
          <w:szCs w:val="24"/>
          <w:highlight w:val="none"/>
          <w:u w:val="none"/>
          <w:lang w:val="en-US" w:eastAsia="zh-CN"/>
        </w:rPr>
        <w:t>拉拉藤、芦苇</w:t>
      </w:r>
      <w:r>
        <w:rPr>
          <w:rFonts w:hint="default" w:ascii="Times New Roman" w:hAnsi="Times New Roman" w:eastAsia="宋体" w:cs="Times New Roman"/>
          <w:bCs/>
          <w:caps w:val="0"/>
          <w:smallCaps w:val="0"/>
          <w:color w:val="auto"/>
          <w:sz w:val="24"/>
          <w:szCs w:val="24"/>
          <w:highlight w:val="none"/>
          <w:u w:val="none"/>
        </w:rPr>
        <w:t>等</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。动物种类主要包括常见的两栖类黑斑侧褶蛙、沼蛙及溪流型的花臭蛙、华南湍蛙等；爬行类有水栖型的中华鳖以及林栖傍水型的</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灰鼠蛇、中国水蛇</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等；哺乳类也常在湿地生态系统内饮水。</w:t>
      </w:r>
    </w:p>
    <w:p w14:paraId="5F916276">
      <w:pPr>
        <w:tabs>
          <w:tab w:val="left" w:pos="480"/>
        </w:tabs>
        <w:adjustRightInd w:val="0"/>
        <w:snapToGrid w:val="0"/>
        <w:spacing w:line="360" w:lineRule="auto"/>
        <w:ind w:firstLine="482" w:firstLineChars="200"/>
        <w:rPr>
          <w:rFonts w:hint="default" w:ascii="Times New Roman" w:hAnsi="Times New Roman" w:eastAsia="宋体" w:cs="Times New Roman"/>
          <w:b/>
          <w:caps w:val="0"/>
          <w:smallCaps w:val="0"/>
          <w:color w:val="auto"/>
          <w:kern w:val="0"/>
          <w:sz w:val="24"/>
          <w:szCs w:val="21"/>
        </w:rPr>
      </w:pPr>
      <w:r>
        <w:rPr>
          <w:rFonts w:hint="default" w:ascii="Times New Roman" w:hAnsi="Times New Roman" w:eastAsia="宋体" w:cs="Times New Roman"/>
          <w:b/>
          <w:caps w:val="0"/>
          <w:smallCaps w:val="0"/>
          <w:color w:val="auto"/>
          <w:kern w:val="0"/>
          <w:sz w:val="24"/>
          <w:szCs w:val="21"/>
          <w:lang w:val="en-US" w:eastAsia="zh-CN"/>
        </w:rPr>
        <w:t>2</w:t>
      </w:r>
      <w:r>
        <w:rPr>
          <w:rFonts w:hint="default" w:ascii="Times New Roman" w:hAnsi="Times New Roman" w:eastAsia="宋体" w:cs="Times New Roman"/>
          <w:b/>
          <w:caps w:val="0"/>
          <w:smallCaps w:val="0"/>
          <w:color w:val="auto"/>
          <w:kern w:val="0"/>
          <w:sz w:val="24"/>
          <w:szCs w:val="21"/>
        </w:rPr>
        <w:t>、分布情况</w:t>
      </w:r>
    </w:p>
    <w:p w14:paraId="197CDD94">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lang w:eastAsia="zh-CN"/>
        </w:rPr>
      </w:pPr>
      <w:r>
        <w:rPr>
          <w:rFonts w:hint="default" w:ascii="Times New Roman" w:hAnsi="Times New Roman" w:eastAsia="宋体" w:cs="Times New Roman"/>
          <w:caps w:val="0"/>
          <w:smallCaps w:val="0"/>
          <w:snapToGrid/>
          <w:color w:val="auto"/>
          <w:spacing w:val="0"/>
          <w:kern w:val="0"/>
          <w:sz w:val="24"/>
          <w:szCs w:val="24"/>
          <w:highlight w:val="none"/>
          <w:u w:val="none"/>
          <w:lang w:eastAsia="zh-CN"/>
        </w:rPr>
        <w:t>评价范围内的水体与湿地生态系统主要分布于散布的水塘、小型河流段，面积为</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68.1348</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hm</w:t>
      </w:r>
      <w:r>
        <w:rPr>
          <w:rFonts w:hint="default" w:ascii="Times New Roman" w:hAnsi="Times New Roman" w:eastAsia="宋体" w:cs="Times New Roman"/>
          <w:caps w:val="0"/>
          <w:smallCaps w:val="0"/>
          <w:snapToGrid/>
          <w:color w:val="auto"/>
          <w:spacing w:val="0"/>
          <w:kern w:val="0"/>
          <w:sz w:val="24"/>
          <w:szCs w:val="24"/>
          <w:highlight w:val="none"/>
          <w:u w:val="none"/>
          <w:vertAlign w:val="superscript"/>
          <w:lang w:eastAsia="zh-CN"/>
        </w:rPr>
        <w:t>2</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，占评价范围总面积的</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8.84%</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w:t>
      </w:r>
    </w:p>
    <w:p w14:paraId="0B3818C0">
      <w:pPr>
        <w:pStyle w:val="5"/>
        <w:bidi w:val="0"/>
        <w:rPr>
          <w:rFonts w:hint="default" w:ascii="Times New Roman" w:hAnsi="Times New Roman" w:cs="Times New Roman"/>
          <w:lang w:val="en-US" w:eastAsia="zh-CN"/>
        </w:rPr>
      </w:pPr>
      <w:bookmarkStart w:id="208" w:name="_Toc28650"/>
      <w:bookmarkStart w:id="209" w:name="_Toc11933"/>
      <w:bookmarkStart w:id="210" w:name="_Toc3759"/>
      <w:r>
        <w:rPr>
          <w:rFonts w:hint="default" w:ascii="Times New Roman" w:hAnsi="Times New Roman" w:cs="Times New Roman"/>
          <w:lang w:val="en-US" w:eastAsia="zh-CN"/>
        </w:rPr>
        <w:t>农田生态系统</w:t>
      </w:r>
      <w:bookmarkEnd w:id="208"/>
      <w:bookmarkEnd w:id="209"/>
      <w:bookmarkEnd w:id="210"/>
    </w:p>
    <w:p w14:paraId="0FF50905">
      <w:pPr>
        <w:tabs>
          <w:tab w:val="left" w:pos="480"/>
        </w:tabs>
        <w:adjustRightInd w:val="0"/>
        <w:snapToGrid w:val="0"/>
        <w:spacing w:line="360" w:lineRule="auto"/>
        <w:ind w:firstLine="482" w:firstLineChars="200"/>
        <w:rPr>
          <w:rFonts w:hint="default" w:ascii="Times New Roman" w:hAnsi="Times New Roman" w:eastAsia="宋体" w:cs="Times New Roman"/>
          <w:b/>
          <w:caps w:val="0"/>
          <w:smallCaps w:val="0"/>
          <w:color w:val="auto"/>
          <w:kern w:val="0"/>
          <w:sz w:val="24"/>
          <w:szCs w:val="24"/>
        </w:rPr>
      </w:pPr>
      <w:r>
        <w:rPr>
          <w:rFonts w:hint="default" w:ascii="Times New Roman" w:hAnsi="Times New Roman" w:eastAsia="宋体" w:cs="Times New Roman"/>
          <w:b/>
          <w:caps w:val="0"/>
          <w:smallCaps w:val="0"/>
          <w:color w:val="auto"/>
          <w:kern w:val="0"/>
          <w:sz w:val="24"/>
          <w:szCs w:val="24"/>
          <w:lang w:val="en-US" w:eastAsia="zh-CN"/>
        </w:rPr>
        <w:t>1</w:t>
      </w:r>
      <w:r>
        <w:rPr>
          <w:rFonts w:hint="default" w:ascii="Times New Roman" w:hAnsi="Times New Roman" w:eastAsia="宋体" w:cs="Times New Roman"/>
          <w:b/>
          <w:caps w:val="0"/>
          <w:smallCaps w:val="0"/>
          <w:color w:val="auto"/>
          <w:kern w:val="0"/>
          <w:sz w:val="24"/>
          <w:szCs w:val="24"/>
        </w:rPr>
        <w:t>、结构与功能状况</w:t>
      </w:r>
    </w:p>
    <w:p w14:paraId="7A4261EF">
      <w:pPr>
        <w:adjustRightInd w:val="0"/>
        <w:snapToGrid w:val="0"/>
        <w:spacing w:line="360" w:lineRule="auto"/>
        <w:ind w:firstLine="480" w:firstLineChars="200"/>
        <w:rPr>
          <w:rFonts w:hint="default" w:ascii="Times New Roman" w:hAnsi="Times New Roman" w:eastAsia="宋体" w:cs="Times New Roman"/>
          <w:bCs/>
          <w:caps w:val="0"/>
          <w:smallCaps w:val="0"/>
          <w:snapToGrid/>
          <w:color w:val="auto"/>
          <w:spacing w:val="0"/>
          <w:kern w:val="0"/>
          <w:sz w:val="24"/>
          <w:szCs w:val="24"/>
          <w:highlight w:val="none"/>
          <w:u w:val="none"/>
        </w:rPr>
      </w:pP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是</w:t>
      </w:r>
      <w:r>
        <w:rPr>
          <w:rFonts w:hint="default" w:ascii="Times New Roman" w:hAnsi="Times New Roman" w:eastAsia="宋体" w:cs="Times New Roman"/>
          <w:bCs/>
          <w:caps w:val="0"/>
          <w:smallCaps w:val="0"/>
          <w:snapToGrid/>
          <w:color w:val="auto"/>
          <w:spacing w:val="0"/>
          <w:kern w:val="0"/>
          <w:sz w:val="24"/>
          <w:szCs w:val="24"/>
          <w:highlight w:val="none"/>
          <w:u w:val="none"/>
        </w:rPr>
        <w:t>指以作物为主要生产者的陆地生态系统。生物群落结构较简单，常为单优群落，伴生有杂草、昆虫、土壤微生物、鼠、鸟等其他小动物；由于大部分生产力随收获而被移出系统，养分循环主要靠系统外投入而保持平衡；农田生态系统的稳定有赖于一系列耕作栽培措施的人工养地，在相似的自然条件下，土地生产力远高于自然生态系统；其生态系统服务功能主要在于提供食品，其他服务功能较低。</w:t>
      </w:r>
    </w:p>
    <w:p w14:paraId="2205D265">
      <w:pPr>
        <w:adjustRightInd w:val="0"/>
        <w:snapToGrid w:val="0"/>
        <w:spacing w:line="360" w:lineRule="auto"/>
        <w:ind w:firstLine="480" w:firstLineChars="200"/>
        <w:rPr>
          <w:rFonts w:hint="default" w:ascii="Times New Roman" w:hAnsi="Times New Roman" w:eastAsia="宋体" w:cs="Times New Roman"/>
          <w:bCs/>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评价区农田生态系统</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主要为耕地，</w:t>
      </w:r>
      <w:r>
        <w:rPr>
          <w:rFonts w:hint="default" w:ascii="Times New Roman" w:hAnsi="Times New Roman" w:eastAsia="宋体" w:cs="Times New Roman"/>
          <w:caps w:val="0"/>
          <w:smallCaps w:val="0"/>
          <w:snapToGrid/>
          <w:color w:val="auto"/>
          <w:spacing w:val="0"/>
          <w:kern w:val="0"/>
          <w:sz w:val="24"/>
          <w:szCs w:val="24"/>
          <w:highlight w:val="none"/>
          <w:u w:val="none"/>
        </w:rPr>
        <w:t>植被以农作物为主，</w:t>
      </w:r>
      <w:r>
        <w:rPr>
          <w:rFonts w:hint="default" w:ascii="Times New Roman" w:hAnsi="Times New Roman" w:eastAsia="宋体" w:cs="Times New Roman"/>
          <w:bCs/>
          <w:caps w:val="0"/>
          <w:smallCaps w:val="0"/>
          <w:snapToGrid/>
          <w:color w:val="auto"/>
          <w:spacing w:val="0"/>
          <w:kern w:val="0"/>
          <w:sz w:val="24"/>
          <w:szCs w:val="24"/>
          <w:highlight w:val="none"/>
          <w:u w:val="none"/>
        </w:rPr>
        <w:t>被较简单，主要是以</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大豆、花生</w:t>
      </w:r>
      <w:r>
        <w:rPr>
          <w:rFonts w:hint="default" w:ascii="Times New Roman" w:hAnsi="Times New Roman" w:eastAsia="宋体" w:cs="Times New Roman"/>
          <w:bCs/>
          <w:caps w:val="0"/>
          <w:smallCaps w:val="0"/>
          <w:snapToGrid/>
          <w:color w:val="auto"/>
          <w:spacing w:val="0"/>
          <w:kern w:val="0"/>
          <w:sz w:val="24"/>
          <w:szCs w:val="24"/>
          <w:highlight w:val="none"/>
          <w:u w:val="none"/>
        </w:rPr>
        <w:t>等为主的作物，属于人工控制的生态系统，评价区内主要分布在居民点附近。农田生态系统内的动物种类包括鸟类如家燕、喜鹊等，啮齿类动物如褐家鼠、小家鼠等。</w:t>
      </w:r>
    </w:p>
    <w:p w14:paraId="458C4CF8">
      <w:pPr>
        <w:tabs>
          <w:tab w:val="left" w:pos="480"/>
        </w:tabs>
        <w:adjustRightInd w:val="0"/>
        <w:snapToGrid w:val="0"/>
        <w:spacing w:line="360" w:lineRule="auto"/>
        <w:ind w:firstLine="482" w:firstLineChars="200"/>
        <w:rPr>
          <w:rFonts w:hint="default" w:ascii="Times New Roman" w:hAnsi="Times New Roman" w:eastAsia="宋体" w:cs="Times New Roman"/>
          <w:b/>
          <w:caps w:val="0"/>
          <w:smallCaps w:val="0"/>
          <w:color w:val="auto"/>
          <w:kern w:val="0"/>
          <w:sz w:val="24"/>
          <w:szCs w:val="21"/>
        </w:rPr>
      </w:pPr>
      <w:r>
        <w:rPr>
          <w:rFonts w:hint="default" w:ascii="Times New Roman" w:hAnsi="Times New Roman" w:eastAsia="宋体" w:cs="Times New Roman"/>
          <w:b/>
          <w:caps w:val="0"/>
          <w:smallCaps w:val="0"/>
          <w:color w:val="auto"/>
          <w:kern w:val="0"/>
          <w:sz w:val="24"/>
          <w:szCs w:val="21"/>
          <w:lang w:val="en-US" w:eastAsia="zh-CN"/>
        </w:rPr>
        <w:t>2</w:t>
      </w:r>
      <w:r>
        <w:rPr>
          <w:rFonts w:hint="default" w:ascii="Times New Roman" w:hAnsi="Times New Roman" w:eastAsia="宋体" w:cs="Times New Roman"/>
          <w:b/>
          <w:caps w:val="0"/>
          <w:smallCaps w:val="0"/>
          <w:color w:val="auto"/>
          <w:kern w:val="0"/>
          <w:sz w:val="24"/>
          <w:szCs w:val="21"/>
        </w:rPr>
        <w:t>、分布情况</w:t>
      </w:r>
    </w:p>
    <w:p w14:paraId="3BAE16C2">
      <w:pPr>
        <w:adjustRightInd w:val="0"/>
        <w:snapToGrid w:val="0"/>
        <w:spacing w:line="360" w:lineRule="auto"/>
        <w:ind w:firstLine="480" w:firstLineChars="200"/>
        <w:rPr>
          <w:rFonts w:hint="default" w:ascii="Times New Roman" w:hAnsi="Times New Roman" w:eastAsia="宋体" w:cs="Times New Roman"/>
          <w:bCs/>
          <w:caps w:val="0"/>
          <w:smallCaps w:val="0"/>
          <w:snapToGrid/>
          <w:color w:val="auto"/>
          <w:spacing w:val="0"/>
          <w:kern w:val="0"/>
          <w:sz w:val="24"/>
          <w:szCs w:val="24"/>
          <w:highlight w:val="none"/>
          <w:u w:val="none"/>
          <w:lang w:eastAsia="zh-CN"/>
        </w:rPr>
      </w:pPr>
      <w:r>
        <w:rPr>
          <w:rFonts w:hint="default" w:ascii="Times New Roman" w:hAnsi="Times New Roman" w:eastAsia="宋体" w:cs="Times New Roman"/>
          <w:bCs/>
          <w:caps w:val="0"/>
          <w:smallCaps w:val="0"/>
          <w:snapToGrid/>
          <w:color w:val="auto"/>
          <w:spacing w:val="0"/>
          <w:kern w:val="0"/>
          <w:sz w:val="24"/>
          <w:szCs w:val="24"/>
          <w:highlight w:val="none"/>
          <w:u w:val="none"/>
        </w:rPr>
        <w:t>评价区</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农田生态系统</w:t>
      </w:r>
      <w:r>
        <w:rPr>
          <w:rFonts w:hint="default" w:ascii="Times New Roman" w:hAnsi="Times New Roman" w:eastAsia="宋体" w:cs="Times New Roman"/>
          <w:bCs/>
          <w:caps w:val="0"/>
          <w:smallCaps w:val="0"/>
          <w:snapToGrid/>
          <w:color w:val="auto"/>
          <w:spacing w:val="0"/>
          <w:kern w:val="0"/>
          <w:sz w:val="24"/>
          <w:szCs w:val="24"/>
          <w:highlight w:val="none"/>
          <w:u w:val="none"/>
        </w:rPr>
        <w:t>面积为</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105.5650</w:t>
      </w:r>
      <w:r>
        <w:rPr>
          <w:rFonts w:hint="default" w:ascii="Times New Roman" w:hAnsi="Times New Roman" w:eastAsia="宋体" w:cs="Times New Roman"/>
          <w:bCs/>
          <w:caps w:val="0"/>
          <w:smallCaps w:val="0"/>
          <w:snapToGrid/>
          <w:color w:val="auto"/>
          <w:spacing w:val="0"/>
          <w:kern w:val="0"/>
          <w:sz w:val="24"/>
          <w:szCs w:val="24"/>
          <w:highlight w:val="none"/>
          <w:u w:val="none"/>
        </w:rPr>
        <w:t>hm</w:t>
      </w:r>
      <w:r>
        <w:rPr>
          <w:rFonts w:hint="default" w:ascii="Times New Roman" w:hAnsi="Times New Roman" w:eastAsia="宋体" w:cs="Times New Roman"/>
          <w:bCs/>
          <w:caps w:val="0"/>
          <w:smallCaps w:val="0"/>
          <w:snapToGrid/>
          <w:color w:val="auto"/>
          <w:spacing w:val="0"/>
          <w:kern w:val="0"/>
          <w:sz w:val="24"/>
          <w:szCs w:val="24"/>
          <w:highlight w:val="none"/>
          <w:u w:val="none"/>
          <w:vertAlign w:val="superscript"/>
        </w:rPr>
        <w:t>2</w:t>
      </w:r>
      <w:r>
        <w:rPr>
          <w:rFonts w:hint="default" w:ascii="Times New Roman" w:hAnsi="Times New Roman" w:eastAsia="宋体" w:cs="Times New Roman"/>
          <w:bCs/>
          <w:caps w:val="0"/>
          <w:smallCaps w:val="0"/>
          <w:snapToGrid/>
          <w:color w:val="auto"/>
          <w:spacing w:val="0"/>
          <w:kern w:val="0"/>
          <w:sz w:val="24"/>
          <w:szCs w:val="24"/>
          <w:highlight w:val="none"/>
          <w:u w:val="none"/>
        </w:rPr>
        <w:t>，占评价区总面积的</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13.69%</w:t>
      </w:r>
      <w:r>
        <w:rPr>
          <w:rFonts w:hint="default" w:ascii="Times New Roman" w:hAnsi="Times New Roman" w:eastAsia="宋体" w:cs="Times New Roman"/>
          <w:bCs/>
          <w:caps w:val="0"/>
          <w:smallCaps w:val="0"/>
          <w:snapToGrid/>
          <w:color w:val="auto"/>
          <w:spacing w:val="0"/>
          <w:kern w:val="0"/>
          <w:sz w:val="24"/>
          <w:szCs w:val="24"/>
          <w:highlight w:val="none"/>
          <w:u w:val="none"/>
        </w:rPr>
        <w:t>。通过现场调查，结合评价区</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土地利用</w:t>
      </w:r>
      <w:r>
        <w:rPr>
          <w:rFonts w:hint="default" w:ascii="Times New Roman" w:hAnsi="Times New Roman" w:eastAsia="宋体" w:cs="Times New Roman"/>
          <w:bCs/>
          <w:caps w:val="0"/>
          <w:smallCaps w:val="0"/>
          <w:snapToGrid/>
          <w:color w:val="auto"/>
          <w:spacing w:val="0"/>
          <w:kern w:val="0"/>
          <w:sz w:val="24"/>
          <w:szCs w:val="24"/>
          <w:highlight w:val="none"/>
          <w:u w:val="none"/>
        </w:rPr>
        <w:t>类型图，</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该</w:t>
      </w:r>
      <w:r>
        <w:rPr>
          <w:rFonts w:hint="default" w:ascii="Times New Roman" w:hAnsi="Times New Roman" w:eastAsia="宋体" w:cs="Times New Roman"/>
          <w:bCs/>
          <w:caps w:val="0"/>
          <w:smallCaps w:val="0"/>
          <w:snapToGrid/>
          <w:color w:val="auto"/>
          <w:spacing w:val="0"/>
          <w:kern w:val="0"/>
          <w:sz w:val="24"/>
          <w:szCs w:val="24"/>
          <w:highlight w:val="none"/>
          <w:u w:val="none"/>
        </w:rPr>
        <w:t>生态系统</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广泛分布在道路、河渠和居民点附近的地势平坦区域。</w:t>
      </w:r>
    </w:p>
    <w:p w14:paraId="203DE008">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城镇生态系统</w:t>
      </w:r>
    </w:p>
    <w:p w14:paraId="08F58EFC">
      <w:pPr>
        <w:tabs>
          <w:tab w:val="left" w:pos="480"/>
        </w:tabs>
        <w:adjustRightInd w:val="0"/>
        <w:snapToGrid w:val="0"/>
        <w:spacing w:line="360" w:lineRule="auto"/>
        <w:ind w:firstLine="482" w:firstLineChars="200"/>
        <w:rPr>
          <w:rFonts w:hint="default" w:ascii="Times New Roman" w:hAnsi="Times New Roman" w:eastAsia="宋体" w:cs="Times New Roman"/>
          <w:b/>
          <w:caps w:val="0"/>
          <w:smallCaps w:val="0"/>
          <w:color w:val="auto"/>
          <w:kern w:val="0"/>
          <w:sz w:val="24"/>
          <w:szCs w:val="24"/>
        </w:rPr>
      </w:pPr>
      <w:r>
        <w:rPr>
          <w:rFonts w:hint="default" w:ascii="Times New Roman" w:hAnsi="Times New Roman" w:eastAsia="宋体" w:cs="Times New Roman"/>
          <w:b/>
          <w:caps w:val="0"/>
          <w:smallCaps w:val="0"/>
          <w:color w:val="auto"/>
          <w:kern w:val="0"/>
          <w:sz w:val="24"/>
          <w:szCs w:val="24"/>
          <w:lang w:val="en-US" w:eastAsia="zh-CN"/>
        </w:rPr>
        <w:t>1</w:t>
      </w:r>
      <w:r>
        <w:rPr>
          <w:rFonts w:hint="default" w:ascii="Times New Roman" w:hAnsi="Times New Roman" w:eastAsia="宋体" w:cs="Times New Roman"/>
          <w:b/>
          <w:caps w:val="0"/>
          <w:smallCaps w:val="0"/>
          <w:color w:val="auto"/>
          <w:kern w:val="0"/>
          <w:sz w:val="24"/>
          <w:szCs w:val="24"/>
        </w:rPr>
        <w:t>、结构与功能状况</w:t>
      </w:r>
    </w:p>
    <w:p w14:paraId="2A37D0A0">
      <w:pPr>
        <w:adjustRightInd w:val="0"/>
        <w:snapToGrid w:val="0"/>
        <w:spacing w:line="360" w:lineRule="auto"/>
        <w:ind w:firstLine="480" w:firstLineChars="200"/>
        <w:rPr>
          <w:rFonts w:hint="default" w:ascii="Times New Roman" w:hAnsi="Times New Roman" w:eastAsia="宋体" w:cs="Times New Roman"/>
          <w:bCs/>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1"/>
          <w:highlight w:val="none"/>
          <w:u w:val="none"/>
        </w:rPr>
        <w:t>是人类对自然环境的适应、加工、改造而建设起来的特殊的人工生态系统。它不仅有生物组成要素</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w:t>
      </w:r>
      <w:r>
        <w:rPr>
          <w:rFonts w:hint="default" w:ascii="Times New Roman" w:hAnsi="Times New Roman" w:eastAsia="宋体" w:cs="Times New Roman"/>
          <w:caps w:val="0"/>
          <w:smallCaps w:val="0"/>
          <w:snapToGrid/>
          <w:color w:val="auto"/>
          <w:spacing w:val="0"/>
          <w:kern w:val="0"/>
          <w:sz w:val="24"/>
          <w:szCs w:val="21"/>
          <w:highlight w:val="none"/>
          <w:u w:val="none"/>
        </w:rPr>
        <w:t>植物、动物和细菌、真菌、病毒</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w:t>
      </w:r>
      <w:r>
        <w:rPr>
          <w:rFonts w:hint="default" w:ascii="Times New Roman" w:hAnsi="Times New Roman" w:eastAsia="宋体" w:cs="Times New Roman"/>
          <w:caps w:val="0"/>
          <w:smallCaps w:val="0"/>
          <w:snapToGrid/>
          <w:color w:val="auto"/>
          <w:spacing w:val="0"/>
          <w:kern w:val="0"/>
          <w:sz w:val="24"/>
          <w:szCs w:val="21"/>
          <w:highlight w:val="none"/>
          <w:u w:val="none"/>
        </w:rPr>
        <w:t>和非生物组成要素</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w:t>
      </w:r>
      <w:r>
        <w:rPr>
          <w:rFonts w:hint="default" w:ascii="Times New Roman" w:hAnsi="Times New Roman" w:eastAsia="宋体" w:cs="Times New Roman"/>
          <w:caps w:val="0"/>
          <w:smallCaps w:val="0"/>
          <w:snapToGrid/>
          <w:color w:val="auto"/>
          <w:spacing w:val="0"/>
          <w:kern w:val="0"/>
          <w:sz w:val="24"/>
          <w:szCs w:val="21"/>
          <w:highlight w:val="none"/>
          <w:u w:val="none"/>
        </w:rPr>
        <w:t>光、热、水、大气等</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w:t>
      </w:r>
      <w:r>
        <w:rPr>
          <w:rFonts w:hint="default" w:ascii="Times New Roman" w:hAnsi="Times New Roman" w:eastAsia="宋体" w:cs="Times New Roman"/>
          <w:caps w:val="0"/>
          <w:smallCaps w:val="0"/>
          <w:snapToGrid/>
          <w:color w:val="auto"/>
          <w:spacing w:val="0"/>
          <w:kern w:val="0"/>
          <w:sz w:val="24"/>
          <w:szCs w:val="21"/>
          <w:highlight w:val="none"/>
          <w:u w:val="none"/>
        </w:rPr>
        <w:t>，还包括人类和社会经济要素，这些要素通过能量流动、生物地球化学循环以及物资供应与废物处理系统，形成一个具有内在联系的统一整体。</w:t>
      </w:r>
    </w:p>
    <w:p w14:paraId="3E4C47A8">
      <w:pPr>
        <w:widowControl w:val="0"/>
        <w:bidi w:val="0"/>
        <w:spacing w:beforeLines="0" w:afterLines="0" w:line="360" w:lineRule="auto"/>
        <w:ind w:firstLine="480" w:firstLineChars="200"/>
        <w:jc w:val="both"/>
        <w:rPr>
          <w:rFonts w:hint="default" w:ascii="Times New Roman" w:hAnsi="Times New Roman" w:eastAsia="宋体" w:cs="Times New Roman"/>
          <w:caps w:val="0"/>
          <w:smallCaps w:val="0"/>
          <w:kern w:val="2"/>
          <w:sz w:val="24"/>
          <w:szCs w:val="24"/>
          <w:lang w:val="en-US" w:eastAsia="zh-CN" w:bidi="ar-SA"/>
        </w:rPr>
      </w:pPr>
      <w:r>
        <w:rPr>
          <w:rFonts w:hint="default" w:ascii="Times New Roman" w:hAnsi="Times New Roman" w:eastAsia="宋体" w:cs="Times New Roman"/>
          <w:caps w:val="0"/>
          <w:smallCaps w:val="0"/>
          <w:kern w:val="2"/>
          <w:sz w:val="24"/>
          <w:szCs w:val="24"/>
          <w:lang w:val="en-US" w:eastAsia="zh-CN" w:bidi="ar-SA"/>
        </w:rPr>
        <w:t>评价区居住地生态系统内人为活动频繁，植物多零星分布，常见的植物有樟、李、桃、柚、柑橘、木樨等。评价区居住地生态系统内植物多以经济树种为主，常零星分布于村落附近、路旁。喜与人类伴居的动物多活动于此，如赤链蛇、喜鹊、家燕、褐家鼠、黄胸鼠等。</w:t>
      </w:r>
    </w:p>
    <w:p w14:paraId="1CE976B4">
      <w:pPr>
        <w:tabs>
          <w:tab w:val="left" w:pos="480"/>
        </w:tabs>
        <w:adjustRightInd w:val="0"/>
        <w:snapToGrid w:val="0"/>
        <w:spacing w:line="360" w:lineRule="auto"/>
        <w:ind w:firstLine="482" w:firstLineChars="200"/>
        <w:rPr>
          <w:rFonts w:hint="default" w:ascii="Times New Roman" w:hAnsi="Times New Roman" w:eastAsia="宋体" w:cs="Times New Roman"/>
          <w:b/>
          <w:caps w:val="0"/>
          <w:smallCaps w:val="0"/>
          <w:color w:val="auto"/>
          <w:kern w:val="0"/>
          <w:sz w:val="24"/>
          <w:szCs w:val="21"/>
        </w:rPr>
      </w:pPr>
      <w:r>
        <w:rPr>
          <w:rFonts w:hint="default" w:ascii="Times New Roman" w:hAnsi="Times New Roman" w:eastAsia="宋体" w:cs="Times New Roman"/>
          <w:b/>
          <w:caps w:val="0"/>
          <w:smallCaps w:val="0"/>
          <w:color w:val="auto"/>
          <w:kern w:val="0"/>
          <w:sz w:val="24"/>
          <w:szCs w:val="21"/>
          <w:lang w:val="en-US" w:eastAsia="zh-CN"/>
        </w:rPr>
        <w:t>2</w:t>
      </w:r>
      <w:r>
        <w:rPr>
          <w:rFonts w:hint="default" w:ascii="Times New Roman" w:hAnsi="Times New Roman" w:eastAsia="宋体" w:cs="Times New Roman"/>
          <w:b/>
          <w:caps w:val="0"/>
          <w:smallCaps w:val="0"/>
          <w:color w:val="auto"/>
          <w:kern w:val="0"/>
          <w:sz w:val="24"/>
          <w:szCs w:val="21"/>
        </w:rPr>
        <w:t>、分布情况</w:t>
      </w:r>
    </w:p>
    <w:p w14:paraId="6DE1707D">
      <w:pPr>
        <w:spacing w:line="360" w:lineRule="auto"/>
        <w:ind w:firstLine="480" w:firstLineChars="200"/>
        <w:rPr>
          <w:rFonts w:hint="default" w:ascii="Times New Roman" w:hAnsi="Times New Roman" w:eastAsia="宋体" w:cs="Times New Roman"/>
          <w:caps w:val="0"/>
          <w:smallCaps w:val="0"/>
          <w:kern w:val="2"/>
          <w:sz w:val="24"/>
          <w:szCs w:val="24"/>
          <w:lang w:val="sq-AL" w:eastAsia="zh-CN" w:bidi="ar-SA"/>
        </w:rPr>
      </w:pPr>
      <w:r>
        <w:rPr>
          <w:rFonts w:hint="default" w:ascii="Times New Roman" w:hAnsi="Times New Roman" w:eastAsia="宋体" w:cs="Times New Roman"/>
          <w:caps w:val="0"/>
          <w:smallCaps w:val="0"/>
          <w:snapToGrid/>
          <w:color w:val="auto"/>
          <w:spacing w:val="0"/>
          <w:kern w:val="0"/>
          <w:sz w:val="24"/>
          <w:szCs w:val="21"/>
          <w:highlight w:val="none"/>
          <w:u w:val="none"/>
        </w:rPr>
        <w:t>评价区</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城镇生态系统主要以</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居住地</w:t>
      </w:r>
      <w:r>
        <w:rPr>
          <w:rFonts w:hint="default" w:ascii="Times New Roman" w:hAnsi="Times New Roman" w:eastAsia="宋体" w:cs="Times New Roman"/>
          <w:caps w:val="0"/>
          <w:smallCaps w:val="0"/>
          <w:snapToGrid/>
          <w:color w:val="auto"/>
          <w:spacing w:val="0"/>
          <w:kern w:val="0"/>
          <w:sz w:val="24"/>
          <w:szCs w:val="21"/>
          <w:highlight w:val="none"/>
          <w:u w:val="none"/>
        </w:rPr>
        <w:t>生态系统</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为主，</w:t>
      </w:r>
      <w:r>
        <w:rPr>
          <w:rFonts w:hint="default" w:ascii="Times New Roman" w:hAnsi="Times New Roman" w:eastAsia="宋体" w:cs="Times New Roman"/>
          <w:caps w:val="0"/>
          <w:smallCaps w:val="0"/>
          <w:snapToGrid/>
          <w:color w:val="auto"/>
          <w:spacing w:val="0"/>
          <w:kern w:val="0"/>
          <w:sz w:val="24"/>
          <w:szCs w:val="21"/>
          <w:highlight w:val="none"/>
          <w:u w:val="none"/>
        </w:rPr>
        <w:t>面积</w:t>
      </w:r>
      <w:r>
        <w:rPr>
          <w:rFonts w:hint="default" w:ascii="Times New Roman" w:hAnsi="Times New Roman" w:eastAsia="宋体" w:cs="Times New Roman"/>
          <w:bCs/>
          <w:caps w:val="0"/>
          <w:smallCaps w:val="0"/>
          <w:snapToGrid/>
          <w:color w:val="auto"/>
          <w:spacing w:val="0"/>
          <w:kern w:val="0"/>
          <w:sz w:val="24"/>
          <w:szCs w:val="24"/>
          <w:highlight w:val="none"/>
          <w:u w:val="none"/>
        </w:rPr>
        <w:t>为</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34.0235</w:t>
      </w:r>
      <w:r>
        <w:rPr>
          <w:rFonts w:hint="default" w:ascii="Times New Roman" w:hAnsi="Times New Roman" w:eastAsia="宋体" w:cs="Times New Roman"/>
          <w:bCs/>
          <w:caps w:val="0"/>
          <w:smallCaps w:val="0"/>
          <w:snapToGrid/>
          <w:color w:val="auto"/>
          <w:spacing w:val="0"/>
          <w:kern w:val="0"/>
          <w:sz w:val="24"/>
          <w:szCs w:val="24"/>
          <w:highlight w:val="none"/>
          <w:u w:val="none"/>
        </w:rPr>
        <w:t>hm</w:t>
      </w:r>
      <w:r>
        <w:rPr>
          <w:rFonts w:hint="default" w:ascii="Times New Roman" w:hAnsi="Times New Roman" w:eastAsia="宋体" w:cs="Times New Roman"/>
          <w:bCs/>
          <w:caps w:val="0"/>
          <w:smallCaps w:val="0"/>
          <w:snapToGrid/>
          <w:color w:val="auto"/>
          <w:spacing w:val="0"/>
          <w:kern w:val="0"/>
          <w:sz w:val="24"/>
          <w:szCs w:val="24"/>
          <w:highlight w:val="none"/>
          <w:u w:val="none"/>
          <w:vertAlign w:val="superscript"/>
        </w:rPr>
        <w:t>2</w:t>
      </w:r>
      <w:r>
        <w:rPr>
          <w:rFonts w:hint="default" w:ascii="Times New Roman" w:hAnsi="Times New Roman" w:eastAsia="宋体" w:cs="Times New Roman"/>
          <w:bCs/>
          <w:caps w:val="0"/>
          <w:smallCaps w:val="0"/>
          <w:snapToGrid/>
          <w:color w:val="auto"/>
          <w:spacing w:val="0"/>
          <w:kern w:val="0"/>
          <w:sz w:val="24"/>
          <w:szCs w:val="24"/>
          <w:highlight w:val="none"/>
          <w:u w:val="none"/>
        </w:rPr>
        <w:t>，占评价区面积的</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4.40</w:t>
      </w:r>
      <w:r>
        <w:rPr>
          <w:rFonts w:hint="default" w:ascii="Times New Roman" w:hAnsi="Times New Roman" w:eastAsia="宋体" w:cs="Times New Roman"/>
          <w:bCs/>
          <w:caps w:val="0"/>
          <w:smallCaps w:val="0"/>
          <w:snapToGrid/>
          <w:color w:val="auto"/>
          <w:spacing w:val="0"/>
          <w:kern w:val="0"/>
          <w:sz w:val="24"/>
          <w:szCs w:val="24"/>
          <w:highlight w:val="none"/>
          <w:u w:val="none"/>
        </w:rPr>
        <w:t>%。</w:t>
      </w:r>
      <w:r>
        <w:rPr>
          <w:rFonts w:hint="default" w:ascii="Times New Roman" w:hAnsi="Times New Roman" w:eastAsia="宋体" w:cs="Times New Roman"/>
          <w:caps w:val="0"/>
          <w:smallCaps w:val="0"/>
          <w:snapToGrid/>
          <w:color w:val="auto"/>
          <w:spacing w:val="0"/>
          <w:kern w:val="0"/>
          <w:sz w:val="24"/>
          <w:szCs w:val="21"/>
          <w:highlight w:val="none"/>
          <w:u w:val="none"/>
        </w:rPr>
        <w:t>根据现场调查并结合评价区土地利用类型图，</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该</w:t>
      </w:r>
      <w:r>
        <w:rPr>
          <w:rFonts w:hint="default" w:ascii="Times New Roman" w:hAnsi="Times New Roman" w:eastAsia="宋体" w:cs="Times New Roman"/>
          <w:caps w:val="0"/>
          <w:smallCaps w:val="0"/>
          <w:snapToGrid/>
          <w:color w:val="auto"/>
          <w:spacing w:val="0"/>
          <w:kern w:val="0"/>
          <w:sz w:val="24"/>
          <w:szCs w:val="21"/>
          <w:highlight w:val="none"/>
          <w:u w:val="none"/>
        </w:rPr>
        <w:t>生态系统</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主要集中在道路两侧</w:t>
      </w:r>
      <w:r>
        <w:rPr>
          <w:rFonts w:hint="default" w:ascii="Times New Roman" w:hAnsi="Times New Roman" w:eastAsia="宋体" w:cs="Times New Roman"/>
          <w:caps w:val="0"/>
          <w:smallCaps w:val="0"/>
          <w:snapToGrid/>
          <w:color w:val="auto"/>
          <w:spacing w:val="0"/>
          <w:kern w:val="0"/>
          <w:sz w:val="24"/>
          <w:szCs w:val="21"/>
          <w:highlight w:val="none"/>
          <w:u w:val="none"/>
        </w:rPr>
        <w:t>。</w:t>
      </w:r>
    </w:p>
    <w:p w14:paraId="56B7DA53">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植被覆盖度</w:t>
      </w:r>
    </w:p>
    <w:p w14:paraId="7172ADFD">
      <w:pPr>
        <w:widowControl/>
        <w:spacing w:line="480" w:lineRule="exact"/>
        <w:ind w:firstLine="480" w:firstLineChars="200"/>
        <w:rPr>
          <w:rFonts w:hint="default" w:ascii="Times New Roman" w:hAnsi="Times New Roman" w:eastAsia="宋体" w:cs="Times New Roman"/>
          <w:caps w:val="0"/>
          <w:smallCaps w:val="0"/>
          <w:color w:val="auto"/>
          <w:sz w:val="24"/>
          <w:szCs w:val="21"/>
          <w:highlight w:val="none"/>
          <w:u w:val="none"/>
          <w:lang w:eastAsia="zh-CN"/>
        </w:rPr>
      </w:pPr>
      <w:r>
        <w:rPr>
          <w:rFonts w:hint="default" w:ascii="Times New Roman" w:hAnsi="Times New Roman" w:eastAsia="宋体" w:cs="Times New Roman"/>
          <w:caps w:val="0"/>
          <w:smallCaps w:val="0"/>
          <w:color w:val="auto"/>
          <w:sz w:val="24"/>
          <w:szCs w:val="22"/>
          <w:highlight w:val="none"/>
          <w:u w:val="none"/>
        </w:rPr>
        <w:t>为调查项目评价区的植被</w:t>
      </w:r>
      <w:r>
        <w:rPr>
          <w:rFonts w:hint="default" w:ascii="Times New Roman" w:hAnsi="Times New Roman" w:eastAsia="宋体" w:cs="Times New Roman"/>
          <w:caps w:val="0"/>
          <w:smallCaps w:val="0"/>
          <w:color w:val="auto"/>
          <w:sz w:val="24"/>
          <w:szCs w:val="22"/>
          <w:highlight w:val="none"/>
          <w:u w:val="none"/>
          <w:lang w:eastAsia="zh-CN"/>
        </w:rPr>
        <w:t>覆盖</w:t>
      </w:r>
      <w:r>
        <w:rPr>
          <w:rFonts w:hint="default" w:ascii="Times New Roman" w:hAnsi="Times New Roman" w:eastAsia="宋体" w:cs="Times New Roman"/>
          <w:caps w:val="0"/>
          <w:smallCaps w:val="0"/>
          <w:color w:val="auto"/>
          <w:sz w:val="24"/>
          <w:szCs w:val="22"/>
          <w:highlight w:val="none"/>
          <w:u w:val="none"/>
        </w:rPr>
        <w:t>情况，本次评价运用遥感软件，通过卫片解译评价区的NDVI值（植被归一化指数），</w:t>
      </w:r>
      <w:r>
        <w:rPr>
          <w:rFonts w:hint="default" w:ascii="Times New Roman" w:hAnsi="Times New Roman" w:eastAsia="宋体" w:cs="Times New Roman"/>
          <w:caps w:val="0"/>
          <w:smallCaps w:val="0"/>
          <w:color w:val="auto"/>
          <w:sz w:val="24"/>
          <w:szCs w:val="22"/>
          <w:highlight w:val="none"/>
          <w:u w:val="none"/>
          <w:lang w:eastAsia="zh-CN"/>
        </w:rPr>
        <w:t>确定</w:t>
      </w:r>
      <w:r>
        <w:rPr>
          <w:rFonts w:hint="default" w:ascii="Times New Roman" w:hAnsi="Times New Roman" w:eastAsia="宋体" w:cs="Times New Roman"/>
          <w:caps w:val="0"/>
          <w:smallCaps w:val="0"/>
          <w:color w:val="auto"/>
          <w:sz w:val="24"/>
          <w:szCs w:val="21"/>
          <w:highlight w:val="none"/>
          <w:u w:val="none"/>
        </w:rPr>
        <w:t>本项目</w:t>
      </w:r>
      <w:r>
        <w:rPr>
          <w:rFonts w:hint="default" w:ascii="Times New Roman" w:hAnsi="Times New Roman" w:eastAsia="宋体" w:cs="Times New Roman"/>
          <w:caps w:val="0"/>
          <w:smallCaps w:val="0"/>
          <w:color w:val="auto"/>
          <w:sz w:val="24"/>
          <w:szCs w:val="21"/>
          <w:highlight w:val="none"/>
          <w:u w:val="none"/>
          <w:lang w:eastAsia="zh-CN"/>
        </w:rPr>
        <w:t>评价</w:t>
      </w:r>
      <w:r>
        <w:rPr>
          <w:rFonts w:hint="default" w:ascii="Times New Roman" w:hAnsi="Times New Roman" w:eastAsia="宋体" w:cs="Times New Roman"/>
          <w:caps w:val="0"/>
          <w:smallCaps w:val="0"/>
          <w:color w:val="auto"/>
          <w:sz w:val="24"/>
          <w:szCs w:val="21"/>
          <w:highlight w:val="none"/>
          <w:u w:val="none"/>
        </w:rPr>
        <w:t>范围内</w:t>
      </w:r>
      <w:r>
        <w:rPr>
          <w:rFonts w:hint="default" w:ascii="Times New Roman" w:hAnsi="Times New Roman" w:eastAsia="宋体" w:cs="Times New Roman"/>
          <w:caps w:val="0"/>
          <w:smallCaps w:val="0"/>
          <w:color w:val="auto"/>
          <w:sz w:val="24"/>
          <w:szCs w:val="21"/>
          <w:highlight w:val="none"/>
          <w:u w:val="none"/>
          <w:lang w:eastAsia="zh-CN"/>
        </w:rPr>
        <w:t>植被覆盖</w:t>
      </w:r>
      <w:r>
        <w:rPr>
          <w:rFonts w:hint="default" w:ascii="Times New Roman" w:hAnsi="Times New Roman" w:eastAsia="宋体" w:cs="Times New Roman"/>
          <w:caps w:val="0"/>
          <w:smallCaps w:val="0"/>
          <w:color w:val="auto"/>
          <w:sz w:val="24"/>
          <w:szCs w:val="21"/>
          <w:highlight w:val="none"/>
          <w:u w:val="none"/>
        </w:rPr>
        <w:t>面积约为</w:t>
      </w:r>
      <w:r>
        <w:rPr>
          <w:rFonts w:hint="default" w:ascii="Times New Roman" w:hAnsi="Times New Roman" w:eastAsia="宋体" w:cs="Times New Roman"/>
          <w:caps w:val="0"/>
          <w:smallCaps w:val="0"/>
          <w:color w:val="auto"/>
          <w:sz w:val="24"/>
          <w:szCs w:val="21"/>
          <w:highlight w:val="none"/>
          <w:u w:val="none"/>
          <w:lang w:val="en-US" w:eastAsia="zh-CN"/>
        </w:rPr>
        <w:t>668.6776</w:t>
      </w:r>
      <w:r>
        <w:rPr>
          <w:rFonts w:hint="default" w:ascii="Times New Roman" w:hAnsi="Times New Roman" w:eastAsia="宋体" w:cs="Times New Roman"/>
          <w:caps w:val="0"/>
          <w:smallCaps w:val="0"/>
          <w:color w:val="auto"/>
          <w:sz w:val="24"/>
          <w:szCs w:val="21"/>
          <w:highlight w:val="none"/>
          <w:u w:val="none"/>
        </w:rPr>
        <w:t>hm</w:t>
      </w:r>
      <w:r>
        <w:rPr>
          <w:rFonts w:hint="default" w:ascii="Times New Roman" w:hAnsi="Times New Roman" w:eastAsia="宋体" w:cs="Times New Roman"/>
          <w:caps w:val="0"/>
          <w:smallCaps w:val="0"/>
          <w:color w:val="auto"/>
          <w:sz w:val="24"/>
          <w:szCs w:val="21"/>
          <w:highlight w:val="none"/>
          <w:u w:val="none"/>
          <w:vertAlign w:val="superscript"/>
        </w:rPr>
        <w:t>2</w:t>
      </w:r>
      <w:r>
        <w:rPr>
          <w:rFonts w:hint="default" w:ascii="Times New Roman" w:hAnsi="Times New Roman" w:eastAsia="宋体" w:cs="Times New Roman"/>
          <w:caps w:val="0"/>
          <w:smallCaps w:val="0"/>
          <w:color w:val="auto"/>
          <w:sz w:val="24"/>
          <w:szCs w:val="21"/>
          <w:highlight w:val="none"/>
          <w:u w:val="none"/>
        </w:rPr>
        <w:t>，占评价总区域的</w:t>
      </w:r>
      <w:r>
        <w:rPr>
          <w:rFonts w:hint="default" w:ascii="Times New Roman" w:hAnsi="Times New Roman" w:eastAsia="宋体" w:cs="Times New Roman"/>
          <w:caps w:val="0"/>
          <w:smallCaps w:val="0"/>
          <w:color w:val="auto"/>
          <w:sz w:val="24"/>
          <w:szCs w:val="21"/>
          <w:highlight w:val="none"/>
          <w:u w:val="none"/>
          <w:lang w:val="en-US" w:eastAsia="zh-CN"/>
        </w:rPr>
        <w:t>86.71</w:t>
      </w:r>
      <w:r>
        <w:rPr>
          <w:rFonts w:hint="default" w:ascii="Times New Roman" w:hAnsi="Times New Roman" w:eastAsia="宋体" w:cs="Times New Roman"/>
          <w:caps w:val="0"/>
          <w:smallCaps w:val="0"/>
          <w:color w:val="auto"/>
          <w:sz w:val="24"/>
          <w:szCs w:val="21"/>
          <w:highlight w:val="none"/>
          <w:u w:val="none"/>
        </w:rPr>
        <w:t>%</w:t>
      </w:r>
      <w:r>
        <w:rPr>
          <w:rFonts w:hint="default" w:ascii="Times New Roman" w:hAnsi="Times New Roman" w:eastAsia="宋体" w:cs="Times New Roman"/>
          <w:caps w:val="0"/>
          <w:smallCaps w:val="0"/>
          <w:color w:val="auto"/>
          <w:sz w:val="24"/>
          <w:szCs w:val="21"/>
          <w:highlight w:val="none"/>
          <w:u w:val="none"/>
          <w:lang w:eastAsia="zh-CN"/>
        </w:rPr>
        <w:t>；</w:t>
      </w:r>
      <w:r>
        <w:rPr>
          <w:rFonts w:hint="default" w:ascii="Times New Roman" w:hAnsi="Times New Roman" w:eastAsia="宋体" w:cs="Times New Roman"/>
          <w:caps w:val="0"/>
          <w:smallCaps w:val="0"/>
          <w:color w:val="auto"/>
          <w:sz w:val="24"/>
          <w:szCs w:val="21"/>
          <w:highlight w:val="none"/>
          <w:u w:val="none"/>
        </w:rPr>
        <w:t>无植被区域占评价总面积的</w:t>
      </w:r>
      <w:r>
        <w:rPr>
          <w:rFonts w:hint="default" w:ascii="Times New Roman" w:hAnsi="Times New Roman" w:eastAsia="宋体" w:cs="Times New Roman"/>
          <w:caps w:val="0"/>
          <w:smallCaps w:val="0"/>
          <w:color w:val="auto"/>
          <w:sz w:val="24"/>
          <w:szCs w:val="21"/>
          <w:highlight w:val="none"/>
          <w:u w:val="none"/>
          <w:lang w:val="en-US" w:eastAsia="zh-CN"/>
        </w:rPr>
        <w:t>13.29</w:t>
      </w:r>
      <w:r>
        <w:rPr>
          <w:rFonts w:hint="default" w:ascii="Times New Roman" w:hAnsi="Times New Roman" w:eastAsia="宋体" w:cs="Times New Roman"/>
          <w:caps w:val="0"/>
          <w:smallCaps w:val="0"/>
          <w:color w:val="auto"/>
          <w:sz w:val="24"/>
          <w:szCs w:val="21"/>
          <w:highlight w:val="none"/>
          <w:u w:val="none"/>
        </w:rPr>
        <w:t>%，主要为</w:t>
      </w:r>
      <w:r>
        <w:rPr>
          <w:rFonts w:hint="default" w:ascii="Times New Roman" w:hAnsi="Times New Roman" w:eastAsia="宋体" w:cs="Times New Roman"/>
          <w:caps w:val="0"/>
          <w:smallCaps w:val="0"/>
          <w:color w:val="auto"/>
          <w:sz w:val="24"/>
          <w:szCs w:val="21"/>
          <w:highlight w:val="none"/>
          <w:u w:val="none"/>
          <w:lang w:eastAsia="zh-CN"/>
        </w:rPr>
        <w:t>水域、</w:t>
      </w:r>
      <w:r>
        <w:rPr>
          <w:rFonts w:hint="default" w:ascii="Times New Roman" w:hAnsi="Times New Roman" w:eastAsia="宋体" w:cs="Times New Roman"/>
          <w:caps w:val="0"/>
          <w:smallCaps w:val="0"/>
          <w:color w:val="auto"/>
          <w:sz w:val="24"/>
          <w:szCs w:val="21"/>
          <w:highlight w:val="none"/>
          <w:u w:val="none"/>
        </w:rPr>
        <w:t>建筑、交通、</w:t>
      </w:r>
      <w:r>
        <w:rPr>
          <w:rFonts w:hint="default" w:ascii="Times New Roman" w:hAnsi="Times New Roman" w:eastAsia="宋体" w:cs="Times New Roman"/>
          <w:caps w:val="0"/>
          <w:smallCaps w:val="0"/>
          <w:color w:val="auto"/>
          <w:sz w:val="24"/>
          <w:szCs w:val="21"/>
          <w:highlight w:val="none"/>
          <w:u w:val="none"/>
          <w:lang w:val="en-US" w:eastAsia="zh-CN"/>
        </w:rPr>
        <w:t>裸地</w:t>
      </w:r>
      <w:r>
        <w:rPr>
          <w:rFonts w:hint="default" w:ascii="Times New Roman" w:hAnsi="Times New Roman" w:eastAsia="宋体" w:cs="Times New Roman"/>
          <w:caps w:val="0"/>
          <w:smallCaps w:val="0"/>
          <w:color w:val="auto"/>
          <w:sz w:val="24"/>
          <w:szCs w:val="21"/>
          <w:highlight w:val="none"/>
          <w:u w:val="none"/>
        </w:rPr>
        <w:t>等用地。</w:t>
      </w:r>
      <w:r>
        <w:rPr>
          <w:rFonts w:hint="default" w:ascii="Times New Roman" w:hAnsi="Times New Roman" w:eastAsia="宋体" w:cs="Times New Roman"/>
          <w:caps w:val="0"/>
          <w:smallCaps w:val="0"/>
          <w:color w:val="auto"/>
          <w:sz w:val="24"/>
          <w:szCs w:val="21"/>
          <w:highlight w:val="none"/>
          <w:u w:val="none"/>
          <w:lang w:eastAsia="zh-CN"/>
        </w:rPr>
        <w:t>综合可知，项目评价范围内的植被覆盖度高。</w:t>
      </w:r>
    </w:p>
    <w:p w14:paraId="0BCAF4C4">
      <w:pPr>
        <w:pStyle w:val="5"/>
        <w:bidi w:val="0"/>
        <w:rPr>
          <w:rFonts w:hint="default" w:ascii="Times New Roman" w:hAnsi="Times New Roman" w:cs="Times New Roman"/>
          <w:lang w:val="en-US" w:eastAsia="zh-CN"/>
        </w:rPr>
      </w:pPr>
      <w:bookmarkStart w:id="211" w:name="_Toc4094"/>
      <w:bookmarkStart w:id="212" w:name="_Toc10241"/>
      <w:bookmarkStart w:id="213" w:name="_Toc30742"/>
      <w:bookmarkStart w:id="214" w:name="_Toc21153"/>
      <w:r>
        <w:rPr>
          <w:rFonts w:hint="default" w:ascii="Times New Roman" w:hAnsi="Times New Roman" w:cs="Times New Roman"/>
          <w:lang w:val="en-US" w:eastAsia="zh-CN"/>
        </w:rPr>
        <w:t>生物量现状</w:t>
      </w:r>
      <w:bookmarkEnd w:id="211"/>
      <w:bookmarkEnd w:id="212"/>
      <w:bookmarkEnd w:id="213"/>
      <w:bookmarkEnd w:id="214"/>
    </w:p>
    <w:p w14:paraId="658735EE">
      <w:pPr>
        <w:spacing w:line="360" w:lineRule="auto"/>
        <w:ind w:firstLine="480" w:firstLineChars="200"/>
        <w:rPr>
          <w:rFonts w:hint="default" w:ascii="Times New Roman" w:hAnsi="Times New Roman" w:eastAsia="宋体" w:cs="Times New Roman"/>
          <w:bCs/>
          <w:caps w:val="0"/>
          <w:smallCaps w:val="0"/>
          <w:snapToGrid/>
          <w:color w:val="auto"/>
          <w:spacing w:val="0"/>
          <w:kern w:val="0"/>
          <w:sz w:val="24"/>
          <w:szCs w:val="24"/>
          <w:highlight w:val="none"/>
          <w:u w:val="none"/>
        </w:rPr>
      </w:pPr>
      <w:r>
        <w:rPr>
          <w:rFonts w:hint="default" w:ascii="Times New Roman" w:hAnsi="Times New Roman" w:eastAsia="宋体" w:cs="Times New Roman"/>
          <w:bCs/>
          <w:caps w:val="0"/>
          <w:smallCaps w:val="0"/>
          <w:snapToGrid/>
          <w:color w:val="auto"/>
          <w:spacing w:val="0"/>
          <w:kern w:val="0"/>
          <w:sz w:val="24"/>
          <w:szCs w:val="24"/>
          <w:highlight w:val="none"/>
          <w:u w:val="none"/>
        </w:rPr>
        <w:t>根据现场调查和卫片解译，结合评价区地表植被立地</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和</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NDVI</w:t>
      </w:r>
      <w:r>
        <w:rPr>
          <w:rFonts w:hint="default" w:ascii="Times New Roman" w:hAnsi="Times New Roman" w:eastAsia="宋体" w:cs="Times New Roman"/>
          <w:bCs/>
          <w:caps w:val="0"/>
          <w:smallCaps w:val="0"/>
          <w:snapToGrid/>
          <w:color w:val="auto"/>
          <w:spacing w:val="0"/>
          <w:kern w:val="0"/>
          <w:sz w:val="24"/>
          <w:szCs w:val="24"/>
          <w:highlight w:val="none"/>
          <w:u w:val="none"/>
        </w:rPr>
        <w:t>情况，将评价区</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自然体系</w:t>
      </w:r>
      <w:r>
        <w:rPr>
          <w:rFonts w:hint="default" w:ascii="Times New Roman" w:hAnsi="Times New Roman" w:eastAsia="宋体" w:cs="Times New Roman"/>
          <w:bCs/>
          <w:caps w:val="0"/>
          <w:smallCaps w:val="0"/>
          <w:snapToGrid/>
          <w:color w:val="auto"/>
          <w:spacing w:val="0"/>
          <w:kern w:val="0"/>
          <w:sz w:val="24"/>
          <w:szCs w:val="24"/>
          <w:highlight w:val="none"/>
          <w:u w:val="none"/>
        </w:rPr>
        <w:t>化分为</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几</w:t>
      </w:r>
      <w:r>
        <w:rPr>
          <w:rFonts w:hint="default" w:ascii="Times New Roman" w:hAnsi="Times New Roman" w:eastAsia="宋体" w:cs="Times New Roman"/>
          <w:bCs/>
          <w:caps w:val="0"/>
          <w:smallCaps w:val="0"/>
          <w:snapToGrid/>
          <w:color w:val="auto"/>
          <w:spacing w:val="0"/>
          <w:kern w:val="0"/>
          <w:sz w:val="24"/>
          <w:szCs w:val="24"/>
          <w:highlight w:val="none"/>
          <w:u w:val="none"/>
        </w:rPr>
        <w:t>类</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，统计情况如下</w:t>
      </w:r>
      <w:r>
        <w:rPr>
          <w:rFonts w:hint="default" w:ascii="Times New Roman" w:hAnsi="Times New Roman" w:eastAsia="宋体" w:cs="Times New Roman"/>
          <w:bCs/>
          <w:caps w:val="0"/>
          <w:smallCaps w:val="0"/>
          <w:snapToGrid/>
          <w:color w:val="auto"/>
          <w:spacing w:val="0"/>
          <w:kern w:val="0"/>
          <w:sz w:val="24"/>
          <w:szCs w:val="24"/>
          <w:highlight w:val="none"/>
          <w:u w:val="none"/>
        </w:rPr>
        <w:t>。</w:t>
      </w:r>
    </w:p>
    <w:p w14:paraId="67EBBD2E">
      <w:pPr>
        <w:pStyle w:val="6"/>
        <w:keepNext w:val="0"/>
        <w:keepLines w:val="0"/>
        <w:pageBreakBefore w:val="0"/>
        <w:widowControl w:val="0"/>
        <w:kinsoku w:val="0"/>
        <w:wordWrap w:val="0"/>
        <w:overflowPunct/>
        <w:topLinePunct/>
        <w:autoSpaceDE/>
        <w:autoSpaceDN/>
        <w:bidi w:val="0"/>
        <w:adjustRightInd/>
        <w:snapToGrid/>
        <w:spacing w:before="0" w:beforeLines="50" w:line="360" w:lineRule="auto"/>
        <w:ind w:left="0" w:leftChars="0" w:firstLine="0" w:firstLineChars="0"/>
        <w:jc w:val="center"/>
        <w:textAlignment w:val="auto"/>
        <w:rPr>
          <w:rFonts w:hint="default" w:ascii="Times New Roman" w:hAnsi="Times New Roman" w:eastAsia="宋体" w:cs="Times New Roman"/>
          <w:b/>
          <w:caps w:val="0"/>
          <w:smallCaps w:val="0"/>
          <w:color w:val="auto"/>
          <w:spacing w:val="0"/>
          <w:w w:val="100"/>
          <w:position w:val="0"/>
          <w:sz w:val="21"/>
          <w:szCs w:val="21"/>
          <w:u w:val="none" w:color="auto"/>
          <w:lang w:val="en-US" w:eastAsia="zh-CN"/>
        </w:rPr>
      </w:pP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表3.3-</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begin"/>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instrText xml:space="preserve"> SEQ 表 \* ARABIC \s 1 </w:instrTex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separate"/>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4</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end"/>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 xml:space="preserve"> 评价区植被生物量现状表</w:t>
      </w:r>
    </w:p>
    <w:tbl>
      <w:tblPr>
        <w:tblStyle w:val="39"/>
        <w:tblW w:w="851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69"/>
        <w:gridCol w:w="1853"/>
        <w:gridCol w:w="1157"/>
        <w:gridCol w:w="993"/>
        <w:gridCol w:w="1069"/>
        <w:gridCol w:w="1057"/>
        <w:gridCol w:w="1213"/>
      </w:tblGrid>
      <w:tr w14:paraId="2E9A3D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9" w:type="dxa"/>
            <w:tcBorders>
              <w:tl2br w:val="nil"/>
              <w:tr2bl w:val="nil"/>
            </w:tcBorders>
            <w:noWrap w:val="0"/>
            <w:vAlign w:val="center"/>
          </w:tcPr>
          <w:p w14:paraId="06816F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aps w:val="0"/>
                <w:smallCaps w:val="0"/>
                <w:sz w:val="21"/>
                <w:szCs w:val="21"/>
                <w:lang w:eastAsia="zh-CN"/>
              </w:rPr>
            </w:pPr>
            <w:r>
              <w:rPr>
                <w:rFonts w:hint="default" w:ascii="Times New Roman" w:hAnsi="Times New Roman" w:eastAsia="宋体" w:cs="Times New Roman"/>
                <w:b/>
                <w:bCs/>
                <w:caps w:val="0"/>
                <w:smallCaps w:val="0"/>
                <w:sz w:val="21"/>
                <w:szCs w:val="21"/>
                <w:lang w:val="en-US" w:eastAsia="zh-CN"/>
              </w:rPr>
              <w:t>植被类型</w:t>
            </w:r>
          </w:p>
        </w:tc>
        <w:tc>
          <w:tcPr>
            <w:tcW w:w="1853" w:type="dxa"/>
            <w:tcBorders>
              <w:tl2br w:val="nil"/>
              <w:tr2bl w:val="nil"/>
            </w:tcBorders>
            <w:noWrap w:val="0"/>
            <w:vAlign w:val="center"/>
          </w:tcPr>
          <w:p w14:paraId="651BB6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代表植物</w:t>
            </w:r>
          </w:p>
        </w:tc>
        <w:tc>
          <w:tcPr>
            <w:tcW w:w="1157" w:type="dxa"/>
            <w:tcBorders>
              <w:tl2br w:val="nil"/>
              <w:tr2bl w:val="nil"/>
            </w:tcBorders>
            <w:noWrap w:val="0"/>
            <w:vAlign w:val="center"/>
          </w:tcPr>
          <w:p w14:paraId="36E9E6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面积（hm</w:t>
            </w:r>
            <w:r>
              <w:rPr>
                <w:rFonts w:hint="default" w:ascii="Times New Roman" w:hAnsi="Times New Roman" w:eastAsia="宋体" w:cs="Times New Roman"/>
                <w:b/>
                <w:bCs/>
                <w:caps w:val="0"/>
                <w:smallCaps w:val="0"/>
                <w:sz w:val="21"/>
                <w:szCs w:val="21"/>
                <w:vertAlign w:val="superscript"/>
              </w:rPr>
              <w:t>2</w:t>
            </w:r>
            <w:r>
              <w:rPr>
                <w:rFonts w:hint="default" w:ascii="Times New Roman" w:hAnsi="Times New Roman" w:eastAsia="宋体" w:cs="Times New Roman"/>
                <w:b/>
                <w:bCs/>
                <w:caps w:val="0"/>
                <w:smallCaps w:val="0"/>
                <w:sz w:val="21"/>
                <w:szCs w:val="21"/>
              </w:rPr>
              <w:t>）</w:t>
            </w:r>
          </w:p>
        </w:tc>
        <w:tc>
          <w:tcPr>
            <w:tcW w:w="993" w:type="dxa"/>
            <w:tcBorders>
              <w:tl2br w:val="nil"/>
              <w:tr2bl w:val="nil"/>
            </w:tcBorders>
            <w:noWrap w:val="0"/>
            <w:vAlign w:val="center"/>
          </w:tcPr>
          <w:p w14:paraId="2CAED6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占评价区比例（%）</w:t>
            </w:r>
          </w:p>
        </w:tc>
        <w:tc>
          <w:tcPr>
            <w:tcW w:w="1069" w:type="dxa"/>
            <w:tcBorders>
              <w:tl2br w:val="nil"/>
              <w:tr2bl w:val="nil"/>
            </w:tcBorders>
            <w:noWrap w:val="0"/>
            <w:vAlign w:val="center"/>
          </w:tcPr>
          <w:p w14:paraId="7F79CB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aps w:val="0"/>
                <w:smallCaps w:val="0"/>
                <w:sz w:val="21"/>
                <w:szCs w:val="21"/>
                <w:lang w:val="de-DE"/>
              </w:rPr>
            </w:pPr>
            <w:r>
              <w:rPr>
                <w:rFonts w:hint="default" w:ascii="Times New Roman" w:hAnsi="Times New Roman" w:eastAsia="宋体" w:cs="Times New Roman"/>
                <w:b/>
                <w:bCs/>
                <w:caps w:val="0"/>
                <w:smallCaps w:val="0"/>
                <w:sz w:val="21"/>
                <w:szCs w:val="21"/>
              </w:rPr>
              <w:t>平均生物量</w:t>
            </w:r>
            <w:r>
              <w:rPr>
                <w:rFonts w:hint="default" w:ascii="Times New Roman" w:hAnsi="Times New Roman" w:eastAsia="宋体" w:cs="Times New Roman"/>
                <w:b/>
                <w:bCs/>
                <w:caps w:val="0"/>
                <w:smallCaps w:val="0"/>
                <w:sz w:val="21"/>
                <w:szCs w:val="21"/>
                <w:lang w:val="de-DE"/>
              </w:rPr>
              <w:t>（t/hm</w:t>
            </w:r>
            <w:r>
              <w:rPr>
                <w:rFonts w:hint="default" w:ascii="Times New Roman" w:hAnsi="Times New Roman" w:eastAsia="宋体" w:cs="Times New Roman"/>
                <w:b/>
                <w:bCs/>
                <w:caps w:val="0"/>
                <w:smallCaps w:val="0"/>
                <w:sz w:val="21"/>
                <w:szCs w:val="21"/>
                <w:vertAlign w:val="superscript"/>
                <w:lang w:val="de-DE"/>
              </w:rPr>
              <w:t>2</w:t>
            </w:r>
            <w:r>
              <w:rPr>
                <w:rFonts w:hint="default" w:ascii="Times New Roman" w:hAnsi="Times New Roman" w:eastAsia="宋体" w:cs="Times New Roman"/>
                <w:b/>
                <w:bCs/>
                <w:caps w:val="0"/>
                <w:smallCaps w:val="0"/>
                <w:sz w:val="21"/>
                <w:szCs w:val="21"/>
                <w:lang w:val="de-DE"/>
              </w:rPr>
              <w:t>）</w:t>
            </w:r>
          </w:p>
        </w:tc>
        <w:tc>
          <w:tcPr>
            <w:tcW w:w="1057" w:type="dxa"/>
            <w:tcBorders>
              <w:tl2br w:val="nil"/>
              <w:tr2bl w:val="nil"/>
            </w:tcBorders>
            <w:noWrap w:val="0"/>
            <w:vAlign w:val="center"/>
          </w:tcPr>
          <w:p w14:paraId="7B4384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总生物量（t）</w:t>
            </w:r>
          </w:p>
        </w:tc>
        <w:tc>
          <w:tcPr>
            <w:tcW w:w="1213" w:type="dxa"/>
            <w:tcBorders>
              <w:tl2br w:val="nil"/>
              <w:tr2bl w:val="nil"/>
            </w:tcBorders>
            <w:noWrap w:val="0"/>
            <w:vAlign w:val="center"/>
          </w:tcPr>
          <w:p w14:paraId="214957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占评价区总生物量比例（%）</w:t>
            </w:r>
          </w:p>
        </w:tc>
      </w:tr>
      <w:tr w14:paraId="7AE39F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9" w:type="dxa"/>
            <w:tcBorders>
              <w:tl2br w:val="nil"/>
              <w:tr2bl w:val="nil"/>
            </w:tcBorders>
            <w:noWrap w:val="0"/>
            <w:vAlign w:val="center"/>
          </w:tcPr>
          <w:p w14:paraId="683476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农作物</w:t>
            </w:r>
          </w:p>
        </w:tc>
        <w:tc>
          <w:tcPr>
            <w:tcW w:w="1853" w:type="dxa"/>
            <w:tcBorders>
              <w:tl2br w:val="nil"/>
              <w:tr2bl w:val="nil"/>
            </w:tcBorders>
            <w:noWrap w:val="0"/>
            <w:vAlign w:val="center"/>
          </w:tcPr>
          <w:p w14:paraId="77BD28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eastAsia="zh-CN"/>
              </w:rPr>
              <w:t>大豆、花生</w:t>
            </w:r>
          </w:p>
        </w:tc>
        <w:tc>
          <w:tcPr>
            <w:tcW w:w="1157" w:type="dxa"/>
            <w:tcBorders>
              <w:tl2br w:val="nil"/>
              <w:tr2bl w:val="nil"/>
            </w:tcBorders>
            <w:noWrap w:val="0"/>
            <w:vAlign w:val="center"/>
          </w:tcPr>
          <w:p w14:paraId="1CF9D17D">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105.5650 </w:t>
            </w:r>
          </w:p>
        </w:tc>
        <w:tc>
          <w:tcPr>
            <w:tcW w:w="993" w:type="dxa"/>
            <w:tcBorders>
              <w:tl2br w:val="nil"/>
              <w:tr2bl w:val="nil"/>
            </w:tcBorders>
            <w:noWrap w:val="0"/>
            <w:vAlign w:val="center"/>
          </w:tcPr>
          <w:p w14:paraId="73835F7D">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15.787 </w:t>
            </w:r>
          </w:p>
        </w:tc>
        <w:tc>
          <w:tcPr>
            <w:tcW w:w="1069" w:type="dxa"/>
            <w:tcBorders>
              <w:tl2br w:val="nil"/>
              <w:tr2bl w:val="nil"/>
            </w:tcBorders>
            <w:noWrap w:val="0"/>
            <w:vAlign w:val="center"/>
          </w:tcPr>
          <w:p w14:paraId="4100DF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13.58</w:t>
            </w:r>
          </w:p>
        </w:tc>
        <w:tc>
          <w:tcPr>
            <w:tcW w:w="1057" w:type="dxa"/>
            <w:tcBorders>
              <w:tl2br w:val="nil"/>
              <w:tr2bl w:val="nil"/>
            </w:tcBorders>
            <w:noWrap w:val="0"/>
            <w:vAlign w:val="center"/>
          </w:tcPr>
          <w:p w14:paraId="5B3FB51A">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1433.57 </w:t>
            </w:r>
          </w:p>
        </w:tc>
        <w:tc>
          <w:tcPr>
            <w:tcW w:w="1213" w:type="dxa"/>
            <w:tcBorders>
              <w:tl2br w:val="nil"/>
              <w:tr2bl w:val="nil"/>
            </w:tcBorders>
            <w:noWrap w:val="0"/>
            <w:vAlign w:val="center"/>
          </w:tcPr>
          <w:p w14:paraId="6C058EE8">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4.64 </w:t>
            </w:r>
          </w:p>
        </w:tc>
      </w:tr>
      <w:tr w14:paraId="1AE471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9" w:type="dxa"/>
            <w:tcBorders>
              <w:tl2br w:val="nil"/>
              <w:tr2bl w:val="nil"/>
            </w:tcBorders>
            <w:noWrap w:val="0"/>
            <w:vAlign w:val="center"/>
          </w:tcPr>
          <w:p w14:paraId="141086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阔叶林</w:t>
            </w:r>
          </w:p>
        </w:tc>
        <w:tc>
          <w:tcPr>
            <w:tcW w:w="1853" w:type="dxa"/>
            <w:tcBorders>
              <w:tl2br w:val="nil"/>
              <w:tr2bl w:val="nil"/>
            </w:tcBorders>
            <w:noWrap w:val="0"/>
            <w:vAlign w:val="center"/>
          </w:tcPr>
          <w:p w14:paraId="057AC0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香樟、楝</w:t>
            </w:r>
          </w:p>
        </w:tc>
        <w:tc>
          <w:tcPr>
            <w:tcW w:w="1157" w:type="dxa"/>
            <w:tcBorders>
              <w:tl2br w:val="nil"/>
              <w:tr2bl w:val="nil"/>
            </w:tcBorders>
            <w:noWrap w:val="0"/>
            <w:vAlign w:val="center"/>
          </w:tcPr>
          <w:p w14:paraId="51FB0D74">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360.1697 </w:t>
            </w:r>
          </w:p>
        </w:tc>
        <w:tc>
          <w:tcPr>
            <w:tcW w:w="993" w:type="dxa"/>
            <w:tcBorders>
              <w:tl2br w:val="nil"/>
              <w:tr2bl w:val="nil"/>
            </w:tcBorders>
            <w:noWrap w:val="0"/>
            <w:vAlign w:val="center"/>
          </w:tcPr>
          <w:p w14:paraId="6972EC4B">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53.863 </w:t>
            </w:r>
          </w:p>
        </w:tc>
        <w:tc>
          <w:tcPr>
            <w:tcW w:w="1069" w:type="dxa"/>
            <w:tcBorders>
              <w:tl2br w:val="nil"/>
              <w:tr2bl w:val="nil"/>
            </w:tcBorders>
            <w:noWrap w:val="0"/>
            <w:vAlign w:val="center"/>
          </w:tcPr>
          <w:p w14:paraId="7C159B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65.7</w:t>
            </w:r>
          </w:p>
        </w:tc>
        <w:tc>
          <w:tcPr>
            <w:tcW w:w="1057" w:type="dxa"/>
            <w:tcBorders>
              <w:tl2br w:val="nil"/>
              <w:tr2bl w:val="nil"/>
            </w:tcBorders>
            <w:noWrap w:val="0"/>
            <w:vAlign w:val="center"/>
          </w:tcPr>
          <w:p w14:paraId="22C25C1C">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23663.15 </w:t>
            </w:r>
          </w:p>
        </w:tc>
        <w:tc>
          <w:tcPr>
            <w:tcW w:w="1213" w:type="dxa"/>
            <w:tcBorders>
              <w:tl2br w:val="nil"/>
              <w:tr2bl w:val="nil"/>
            </w:tcBorders>
            <w:noWrap w:val="0"/>
            <w:vAlign w:val="center"/>
          </w:tcPr>
          <w:p w14:paraId="5289B66D">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76.66 </w:t>
            </w:r>
          </w:p>
        </w:tc>
      </w:tr>
      <w:tr w14:paraId="1E21B5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9" w:type="dxa"/>
            <w:tcBorders>
              <w:tl2br w:val="nil"/>
              <w:tr2bl w:val="nil"/>
            </w:tcBorders>
            <w:noWrap w:val="0"/>
            <w:vAlign w:val="center"/>
          </w:tcPr>
          <w:p w14:paraId="39363A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竹林</w:t>
            </w:r>
          </w:p>
        </w:tc>
        <w:tc>
          <w:tcPr>
            <w:tcW w:w="1853" w:type="dxa"/>
            <w:tcBorders>
              <w:tl2br w:val="nil"/>
              <w:tr2bl w:val="nil"/>
            </w:tcBorders>
            <w:noWrap w:val="0"/>
            <w:vAlign w:val="center"/>
          </w:tcPr>
          <w:p w14:paraId="522A38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毛竹、篌竹</w:t>
            </w:r>
          </w:p>
        </w:tc>
        <w:tc>
          <w:tcPr>
            <w:tcW w:w="1157" w:type="dxa"/>
            <w:tcBorders>
              <w:tl2br w:val="nil"/>
              <w:tr2bl w:val="nil"/>
            </w:tcBorders>
            <w:noWrap w:val="0"/>
            <w:vAlign w:val="center"/>
          </w:tcPr>
          <w:p w14:paraId="49D39D6B">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66.0370 </w:t>
            </w:r>
          </w:p>
        </w:tc>
        <w:tc>
          <w:tcPr>
            <w:tcW w:w="993" w:type="dxa"/>
            <w:tcBorders>
              <w:tl2br w:val="nil"/>
              <w:tr2bl w:val="nil"/>
            </w:tcBorders>
            <w:noWrap w:val="0"/>
            <w:vAlign w:val="center"/>
          </w:tcPr>
          <w:p w14:paraId="6E474DA3">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9.876 </w:t>
            </w:r>
          </w:p>
        </w:tc>
        <w:tc>
          <w:tcPr>
            <w:tcW w:w="1069" w:type="dxa"/>
            <w:tcBorders>
              <w:tl2br w:val="nil"/>
              <w:tr2bl w:val="nil"/>
            </w:tcBorders>
            <w:noWrap w:val="0"/>
            <w:vAlign w:val="center"/>
          </w:tcPr>
          <w:p w14:paraId="54F0A8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57.72</w:t>
            </w:r>
          </w:p>
        </w:tc>
        <w:tc>
          <w:tcPr>
            <w:tcW w:w="1057" w:type="dxa"/>
            <w:tcBorders>
              <w:tl2br w:val="nil"/>
              <w:tr2bl w:val="nil"/>
            </w:tcBorders>
            <w:noWrap w:val="0"/>
            <w:vAlign w:val="center"/>
          </w:tcPr>
          <w:p w14:paraId="50EC976D">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3811.66 </w:t>
            </w:r>
          </w:p>
        </w:tc>
        <w:tc>
          <w:tcPr>
            <w:tcW w:w="1213" w:type="dxa"/>
            <w:tcBorders>
              <w:tl2br w:val="nil"/>
              <w:tr2bl w:val="nil"/>
            </w:tcBorders>
            <w:noWrap w:val="0"/>
            <w:vAlign w:val="center"/>
          </w:tcPr>
          <w:p w14:paraId="34061884">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12.35 </w:t>
            </w:r>
          </w:p>
        </w:tc>
      </w:tr>
      <w:tr w14:paraId="6FDC2D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9" w:type="dxa"/>
            <w:tcBorders>
              <w:tl2br w:val="nil"/>
              <w:tr2bl w:val="nil"/>
            </w:tcBorders>
            <w:noWrap w:val="0"/>
            <w:vAlign w:val="center"/>
          </w:tcPr>
          <w:p w14:paraId="5F202D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rPr>
              <w:t>灌丛</w:t>
            </w:r>
          </w:p>
        </w:tc>
        <w:tc>
          <w:tcPr>
            <w:tcW w:w="1853" w:type="dxa"/>
            <w:tcBorders>
              <w:tl2br w:val="nil"/>
              <w:tr2bl w:val="nil"/>
            </w:tcBorders>
            <w:noWrap w:val="0"/>
            <w:vAlign w:val="center"/>
          </w:tcPr>
          <w:p w14:paraId="0F91B0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小果蔷薇、盐麸木</w:t>
            </w:r>
          </w:p>
        </w:tc>
        <w:tc>
          <w:tcPr>
            <w:tcW w:w="1157" w:type="dxa"/>
            <w:tcBorders>
              <w:tl2br w:val="nil"/>
              <w:tr2bl w:val="nil"/>
            </w:tcBorders>
            <w:noWrap w:val="0"/>
            <w:vAlign w:val="center"/>
          </w:tcPr>
          <w:p w14:paraId="1070778A">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92.1120 </w:t>
            </w:r>
          </w:p>
        </w:tc>
        <w:tc>
          <w:tcPr>
            <w:tcW w:w="993" w:type="dxa"/>
            <w:tcBorders>
              <w:tl2br w:val="nil"/>
              <w:tr2bl w:val="nil"/>
            </w:tcBorders>
            <w:noWrap w:val="0"/>
            <w:vAlign w:val="center"/>
          </w:tcPr>
          <w:p w14:paraId="7E23DC06">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13.775 </w:t>
            </w:r>
          </w:p>
        </w:tc>
        <w:tc>
          <w:tcPr>
            <w:tcW w:w="1069" w:type="dxa"/>
            <w:tcBorders>
              <w:tl2br w:val="nil"/>
              <w:tr2bl w:val="nil"/>
            </w:tcBorders>
            <w:noWrap w:val="0"/>
            <w:vAlign w:val="center"/>
          </w:tcPr>
          <w:p w14:paraId="50F368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19.75</w:t>
            </w:r>
          </w:p>
        </w:tc>
        <w:tc>
          <w:tcPr>
            <w:tcW w:w="1057" w:type="dxa"/>
            <w:tcBorders>
              <w:tl2br w:val="nil"/>
              <w:tr2bl w:val="nil"/>
            </w:tcBorders>
            <w:noWrap w:val="0"/>
            <w:vAlign w:val="center"/>
          </w:tcPr>
          <w:p w14:paraId="403947D9">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1819.21 </w:t>
            </w:r>
          </w:p>
        </w:tc>
        <w:tc>
          <w:tcPr>
            <w:tcW w:w="1213" w:type="dxa"/>
            <w:tcBorders>
              <w:tl2br w:val="nil"/>
              <w:tr2bl w:val="nil"/>
            </w:tcBorders>
            <w:noWrap w:val="0"/>
            <w:vAlign w:val="center"/>
          </w:tcPr>
          <w:p w14:paraId="24837182">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5.89 </w:t>
            </w:r>
          </w:p>
        </w:tc>
      </w:tr>
      <w:tr w14:paraId="3C5D65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9" w:type="dxa"/>
            <w:tcBorders>
              <w:tl2br w:val="nil"/>
              <w:tr2bl w:val="nil"/>
            </w:tcBorders>
            <w:noWrap w:val="0"/>
            <w:vAlign w:val="center"/>
          </w:tcPr>
          <w:p w14:paraId="654486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草丛</w:t>
            </w:r>
          </w:p>
        </w:tc>
        <w:tc>
          <w:tcPr>
            <w:tcW w:w="1853" w:type="dxa"/>
            <w:tcBorders>
              <w:tl2br w:val="nil"/>
              <w:tr2bl w:val="nil"/>
            </w:tcBorders>
            <w:noWrap w:val="0"/>
            <w:vAlign w:val="center"/>
          </w:tcPr>
          <w:p w14:paraId="3DF305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芒、艾蒿</w:t>
            </w:r>
          </w:p>
        </w:tc>
        <w:tc>
          <w:tcPr>
            <w:tcW w:w="1157" w:type="dxa"/>
            <w:tcBorders>
              <w:tl2br w:val="nil"/>
              <w:tr2bl w:val="nil"/>
            </w:tcBorders>
            <w:noWrap w:val="0"/>
            <w:vAlign w:val="center"/>
          </w:tcPr>
          <w:p w14:paraId="0F408DD7">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44.7939 </w:t>
            </w:r>
          </w:p>
        </w:tc>
        <w:tc>
          <w:tcPr>
            <w:tcW w:w="993" w:type="dxa"/>
            <w:tcBorders>
              <w:tl2br w:val="nil"/>
              <w:tr2bl w:val="nil"/>
            </w:tcBorders>
            <w:noWrap w:val="0"/>
            <w:vAlign w:val="center"/>
          </w:tcPr>
          <w:p w14:paraId="7DF11CF4">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6.699 </w:t>
            </w:r>
          </w:p>
        </w:tc>
        <w:tc>
          <w:tcPr>
            <w:tcW w:w="1069" w:type="dxa"/>
            <w:tcBorders>
              <w:tl2br w:val="nil"/>
              <w:tr2bl w:val="nil"/>
            </w:tcBorders>
            <w:noWrap w:val="0"/>
            <w:vAlign w:val="center"/>
          </w:tcPr>
          <w:p w14:paraId="147E67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3.15</w:t>
            </w:r>
          </w:p>
        </w:tc>
        <w:tc>
          <w:tcPr>
            <w:tcW w:w="1057" w:type="dxa"/>
            <w:tcBorders>
              <w:tl2br w:val="nil"/>
              <w:tr2bl w:val="nil"/>
            </w:tcBorders>
            <w:noWrap w:val="0"/>
            <w:vAlign w:val="center"/>
          </w:tcPr>
          <w:p w14:paraId="41A855F0">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141.10 </w:t>
            </w:r>
          </w:p>
        </w:tc>
        <w:tc>
          <w:tcPr>
            <w:tcW w:w="1213" w:type="dxa"/>
            <w:tcBorders>
              <w:tl2br w:val="nil"/>
              <w:tr2bl w:val="nil"/>
            </w:tcBorders>
            <w:noWrap w:val="0"/>
            <w:vAlign w:val="center"/>
          </w:tcPr>
          <w:p w14:paraId="2BAFC410">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0.46 </w:t>
            </w:r>
          </w:p>
        </w:tc>
      </w:tr>
      <w:tr w14:paraId="2DF836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22" w:type="dxa"/>
            <w:gridSpan w:val="2"/>
            <w:tcBorders>
              <w:tl2br w:val="nil"/>
              <w:tr2bl w:val="nil"/>
            </w:tcBorders>
            <w:noWrap w:val="0"/>
            <w:vAlign w:val="center"/>
          </w:tcPr>
          <w:p w14:paraId="6BCCAD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rPr>
              <w:t>合计</w:t>
            </w:r>
          </w:p>
        </w:tc>
        <w:tc>
          <w:tcPr>
            <w:tcW w:w="1157" w:type="dxa"/>
            <w:tcBorders>
              <w:tl2br w:val="nil"/>
              <w:tr2bl w:val="nil"/>
            </w:tcBorders>
            <w:noWrap w:val="0"/>
            <w:vAlign w:val="center"/>
          </w:tcPr>
          <w:p w14:paraId="20FA14F4">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668.6776</w:t>
            </w:r>
          </w:p>
        </w:tc>
        <w:tc>
          <w:tcPr>
            <w:tcW w:w="993" w:type="dxa"/>
            <w:tcBorders>
              <w:tl2br w:val="nil"/>
              <w:tr2bl w:val="nil"/>
            </w:tcBorders>
            <w:noWrap w:val="0"/>
            <w:vAlign w:val="center"/>
          </w:tcPr>
          <w:p w14:paraId="29A270A1">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100.000 </w:t>
            </w:r>
          </w:p>
        </w:tc>
        <w:tc>
          <w:tcPr>
            <w:tcW w:w="1069" w:type="dxa"/>
            <w:tcBorders>
              <w:tl2br w:val="nil"/>
              <w:tr2bl w:val="nil"/>
            </w:tcBorders>
            <w:noWrap w:val="0"/>
            <w:vAlign w:val="center"/>
          </w:tcPr>
          <w:p w14:paraId="7312CD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w:t>
            </w:r>
          </w:p>
        </w:tc>
        <w:tc>
          <w:tcPr>
            <w:tcW w:w="1057" w:type="dxa"/>
            <w:tcBorders>
              <w:tl2br w:val="nil"/>
              <w:tr2bl w:val="nil"/>
            </w:tcBorders>
            <w:noWrap w:val="0"/>
            <w:vAlign w:val="center"/>
          </w:tcPr>
          <w:p w14:paraId="0354E099">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30868.69 </w:t>
            </w:r>
          </w:p>
        </w:tc>
        <w:tc>
          <w:tcPr>
            <w:tcW w:w="1213" w:type="dxa"/>
            <w:tcBorders>
              <w:tl2br w:val="nil"/>
              <w:tr2bl w:val="nil"/>
            </w:tcBorders>
            <w:noWrap w:val="0"/>
            <w:vAlign w:val="center"/>
          </w:tcPr>
          <w:p w14:paraId="739A8314">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i w:val="0"/>
                <w:iCs w:val="0"/>
                <w:color w:val="auto"/>
                <w:kern w:val="2"/>
                <w:sz w:val="21"/>
                <w:szCs w:val="21"/>
                <w:u w:val="none"/>
                <w:lang w:val="en-US" w:eastAsia="zh-CN" w:bidi="ar"/>
              </w:rPr>
              <w:t xml:space="preserve">100.00 </w:t>
            </w:r>
          </w:p>
        </w:tc>
      </w:tr>
    </w:tbl>
    <w:p w14:paraId="5EC88E94">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ascii="Times New Roman" w:hAnsi="Times New Roman" w:eastAsia="宋体" w:cs="Times New Roman"/>
          <w:caps w:val="0"/>
          <w:smallCaps w:val="0"/>
          <w:snapToGrid/>
          <w:color w:val="auto"/>
          <w:spacing w:val="0"/>
          <w:kern w:val="0"/>
          <w:sz w:val="24"/>
          <w:szCs w:val="21"/>
          <w:highlight w:val="none"/>
          <w:u w:val="none"/>
        </w:rPr>
      </w:pPr>
      <w:r>
        <w:rPr>
          <w:rFonts w:hint="default" w:ascii="Times New Roman" w:hAnsi="Times New Roman" w:eastAsia="宋体" w:cs="Times New Roman"/>
          <w:caps w:val="0"/>
          <w:smallCaps w:val="0"/>
          <w:color w:val="auto"/>
          <w:sz w:val="21"/>
          <w:szCs w:val="18"/>
          <w:highlight w:val="none"/>
          <w:u w:val="none"/>
          <w:lang w:bidi="ar"/>
        </w:rPr>
        <w:t>注：各植被类型平均生物量数据参考①《我国森林植被的生物量和净生产量》（方精云等，1996）；②《中国草地植被生物量及其空间分布格局》（朴世龙等，2004年）；③《镇域尺度农田生态系统地上生物量遥感估算及地表有机碳储量研究》（张文龙，2011年）等计算得出。</w:t>
      </w:r>
    </w:p>
    <w:p w14:paraId="3406E836">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1"/>
          <w:highlight w:val="none"/>
          <w:u w:val="none"/>
        </w:rPr>
      </w:pPr>
      <w:r>
        <w:rPr>
          <w:rFonts w:hint="default" w:ascii="Times New Roman" w:hAnsi="Times New Roman" w:eastAsia="宋体" w:cs="Times New Roman"/>
          <w:caps w:val="0"/>
          <w:smallCaps w:val="0"/>
          <w:snapToGrid/>
          <w:color w:val="auto"/>
          <w:spacing w:val="0"/>
          <w:kern w:val="0"/>
          <w:sz w:val="24"/>
          <w:szCs w:val="21"/>
          <w:highlight w:val="none"/>
          <w:u w:val="none"/>
        </w:rPr>
        <w:t>经计算，评价区总生物量为</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3</w:t>
      </w:r>
      <w:r>
        <w:rPr>
          <w:rFonts w:hint="default" w:ascii="Times New Roman" w:hAnsi="Times New Roman" w:eastAsia="宋体" w:cs="Times New Roman"/>
          <w:caps w:val="0"/>
          <w:smallCaps w:val="0"/>
          <w:snapToGrid/>
          <w:color w:val="auto"/>
          <w:spacing w:val="0"/>
          <w:kern w:val="0"/>
          <w:sz w:val="24"/>
          <w:szCs w:val="21"/>
          <w:highlight w:val="none"/>
          <w:u w:val="none"/>
        </w:rPr>
        <w:t>×10</w:t>
      </w:r>
      <w:r>
        <w:rPr>
          <w:rFonts w:hint="default" w:ascii="Times New Roman" w:hAnsi="Times New Roman" w:eastAsia="宋体" w:cs="Times New Roman"/>
          <w:caps w:val="0"/>
          <w:smallCaps w:val="0"/>
          <w:snapToGrid/>
          <w:color w:val="auto"/>
          <w:spacing w:val="0"/>
          <w:kern w:val="0"/>
          <w:sz w:val="24"/>
          <w:szCs w:val="21"/>
          <w:highlight w:val="none"/>
          <w:u w:val="none"/>
          <w:vertAlign w:val="superscript"/>
          <w:lang w:val="en-US" w:eastAsia="zh-CN"/>
        </w:rPr>
        <w:t>4</w:t>
      </w:r>
      <w:r>
        <w:rPr>
          <w:rFonts w:hint="default" w:ascii="Times New Roman" w:hAnsi="Times New Roman" w:eastAsia="宋体" w:cs="Times New Roman"/>
          <w:caps w:val="0"/>
          <w:smallCaps w:val="0"/>
          <w:snapToGrid/>
          <w:color w:val="auto"/>
          <w:spacing w:val="0"/>
          <w:kern w:val="0"/>
          <w:sz w:val="24"/>
          <w:szCs w:val="21"/>
          <w:highlight w:val="none"/>
          <w:u w:val="none"/>
        </w:rPr>
        <w:t>t，</w:t>
      </w:r>
      <w:r>
        <w:rPr>
          <w:rFonts w:hint="default" w:ascii="Times New Roman" w:hAnsi="Times New Roman" w:eastAsia="宋体" w:cs="Times New Roman"/>
          <w:bCs/>
          <w:caps w:val="0"/>
          <w:smallCaps w:val="0"/>
          <w:snapToGrid/>
          <w:color w:val="auto"/>
          <w:spacing w:val="0"/>
          <w:kern w:val="0"/>
          <w:sz w:val="24"/>
          <w:szCs w:val="24"/>
          <w:highlight w:val="none"/>
          <w:u w:val="none"/>
        </w:rPr>
        <w:t>以</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阔叶林</w:t>
      </w:r>
      <w:r>
        <w:rPr>
          <w:rFonts w:hint="default" w:ascii="Times New Roman" w:hAnsi="Times New Roman" w:eastAsia="宋体" w:cs="Times New Roman"/>
          <w:bCs/>
          <w:caps w:val="0"/>
          <w:smallCaps w:val="0"/>
          <w:snapToGrid/>
          <w:color w:val="auto"/>
          <w:spacing w:val="0"/>
          <w:kern w:val="0"/>
          <w:sz w:val="24"/>
          <w:szCs w:val="24"/>
          <w:highlight w:val="none"/>
          <w:u w:val="none"/>
        </w:rPr>
        <w:t>为主，其他植被类型生物量占的比例较小</w:t>
      </w:r>
      <w:r>
        <w:rPr>
          <w:rFonts w:hint="default" w:ascii="Times New Roman" w:hAnsi="Times New Roman" w:eastAsia="宋体" w:cs="Times New Roman"/>
          <w:caps w:val="0"/>
          <w:smallCaps w:val="0"/>
          <w:snapToGrid/>
          <w:color w:val="auto"/>
          <w:spacing w:val="0"/>
          <w:kern w:val="0"/>
          <w:sz w:val="24"/>
          <w:szCs w:val="24"/>
          <w:highlight w:val="none"/>
          <w:u w:val="none"/>
        </w:rPr>
        <w:t>。</w:t>
      </w:r>
      <w:r>
        <w:rPr>
          <w:rFonts w:hint="default" w:ascii="Times New Roman" w:hAnsi="Times New Roman" w:eastAsia="宋体" w:cs="Times New Roman"/>
          <w:caps w:val="0"/>
          <w:smallCaps w:val="0"/>
          <w:snapToGrid/>
          <w:color w:val="auto"/>
          <w:spacing w:val="0"/>
          <w:kern w:val="0"/>
          <w:sz w:val="24"/>
          <w:szCs w:val="21"/>
          <w:highlight w:val="none"/>
          <w:u w:val="none"/>
        </w:rPr>
        <w:t>从生物量数值看，</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针叶林</w:t>
      </w:r>
      <w:r>
        <w:rPr>
          <w:rFonts w:hint="default" w:ascii="Times New Roman" w:hAnsi="Times New Roman" w:eastAsia="宋体" w:cs="Times New Roman"/>
          <w:caps w:val="0"/>
          <w:smallCaps w:val="0"/>
          <w:snapToGrid/>
          <w:color w:val="auto"/>
          <w:spacing w:val="0"/>
          <w:kern w:val="0"/>
          <w:sz w:val="24"/>
          <w:szCs w:val="21"/>
          <w:highlight w:val="none"/>
          <w:u w:val="none"/>
        </w:rPr>
        <w:t>为评价区的主要</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自然植被</w:t>
      </w:r>
      <w:r>
        <w:rPr>
          <w:rFonts w:hint="default" w:ascii="Times New Roman" w:hAnsi="Times New Roman" w:eastAsia="宋体" w:cs="Times New Roman"/>
          <w:caps w:val="0"/>
          <w:smallCaps w:val="0"/>
          <w:snapToGrid/>
          <w:color w:val="auto"/>
          <w:spacing w:val="0"/>
          <w:kern w:val="0"/>
          <w:sz w:val="24"/>
          <w:szCs w:val="21"/>
          <w:highlight w:val="none"/>
          <w:u w:val="none"/>
        </w:rPr>
        <w:t>类型，对生态系统的稳定和变化起到很重要的作用。</w:t>
      </w:r>
    </w:p>
    <w:p w14:paraId="0D0D9F5D">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生产力现状</w:t>
      </w:r>
    </w:p>
    <w:p w14:paraId="74F7ED57">
      <w:pPr>
        <w:tabs>
          <w:tab w:val="left" w:pos="1021"/>
        </w:tabs>
        <w:spacing w:line="336" w:lineRule="auto"/>
        <w:ind w:firstLine="480" w:firstLineChars="200"/>
        <w:rPr>
          <w:rFonts w:hint="default" w:ascii="Times New Roman" w:hAnsi="Times New Roman" w:eastAsia="宋体" w:cs="Times New Roman"/>
          <w:sz w:val="24"/>
          <w:szCs w:val="20"/>
        </w:rPr>
      </w:pPr>
      <w:r>
        <w:rPr>
          <w:rFonts w:hint="default" w:ascii="Times New Roman" w:hAnsi="Times New Roman" w:eastAsia="宋体" w:cs="Times New Roman"/>
          <w:sz w:val="24"/>
          <w:szCs w:val="20"/>
        </w:rPr>
        <w:t>本次采用导则推荐模型—Miami模型估算评价区土地本底自然生产力：</w:t>
      </w:r>
    </w:p>
    <w:p w14:paraId="67BD19DF">
      <w:pPr>
        <w:tabs>
          <w:tab w:val="left" w:pos="1021"/>
        </w:tabs>
        <w:spacing w:line="336" w:lineRule="auto"/>
        <w:ind w:firstLine="0" w:firstLineChars="0"/>
        <w:jc w:val="center"/>
        <w:rPr>
          <w:rFonts w:hint="default" w:ascii="Times New Roman" w:hAnsi="Times New Roman" w:eastAsia="宋体" w:cs="Times New Roman"/>
          <w:sz w:val="24"/>
          <w:szCs w:val="20"/>
        </w:rPr>
      </w:pPr>
      <w:r>
        <w:rPr>
          <w:rFonts w:hint="default" w:ascii="Times New Roman" w:hAnsi="Times New Roman" w:eastAsia="宋体" w:cs="Times New Roman"/>
          <w:sz w:val="24"/>
          <w:szCs w:val="20"/>
        </w:rPr>
        <w:drawing>
          <wp:inline distT="0" distB="0" distL="114300" distR="114300">
            <wp:extent cx="1914525" cy="562610"/>
            <wp:effectExtent l="0" t="0" r="0" b="8890"/>
            <wp:docPr id="9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00"/>
                    <pic:cNvPicPr>
                      <a:picLocks noChangeAspect="1"/>
                    </pic:cNvPicPr>
                  </pic:nvPicPr>
                  <pic:blipFill>
                    <a:blip r:embed="rId57"/>
                    <a:stretch>
                      <a:fillRect/>
                    </a:stretch>
                  </pic:blipFill>
                  <pic:spPr>
                    <a:xfrm>
                      <a:off x="0" y="0"/>
                      <a:ext cx="1914525" cy="562610"/>
                    </a:xfrm>
                    <a:prstGeom prst="rect">
                      <a:avLst/>
                    </a:prstGeom>
                    <a:noFill/>
                    <a:ln>
                      <a:noFill/>
                    </a:ln>
                  </pic:spPr>
                </pic:pic>
              </a:graphicData>
            </a:graphic>
          </wp:inline>
        </w:drawing>
      </w:r>
    </w:p>
    <w:p w14:paraId="4F0361EC">
      <w:pPr>
        <w:spacing w:line="336" w:lineRule="auto"/>
        <w:ind w:firstLine="480" w:firstLineChars="200"/>
        <w:rPr>
          <w:rFonts w:hint="default" w:ascii="Times New Roman" w:hAnsi="Times New Roman" w:eastAsia="宋体" w:cs="Times New Roman"/>
          <w:sz w:val="24"/>
          <w:szCs w:val="21"/>
        </w:rPr>
      </w:pPr>
      <w:r>
        <w:rPr>
          <w:rFonts w:hint="default" w:ascii="Times New Roman" w:hAnsi="Times New Roman" w:eastAsia="宋体" w:cs="Times New Roman"/>
          <w:sz w:val="24"/>
          <w:szCs w:val="21"/>
        </w:rPr>
        <w:t>NPPt—根据多年平均温度(t，℃)估算的热量生产力(g/m</w:t>
      </w:r>
      <w:r>
        <w:rPr>
          <w:rFonts w:hint="default" w:ascii="Times New Roman" w:hAnsi="Times New Roman" w:eastAsia="宋体" w:cs="Times New Roman"/>
          <w:sz w:val="24"/>
          <w:szCs w:val="21"/>
          <w:vertAlign w:val="superscript"/>
        </w:rPr>
        <w:t>2</w:t>
      </w:r>
      <w:r>
        <w:rPr>
          <w:rFonts w:hint="default" w:ascii="Times New Roman" w:hAnsi="Times New Roman" w:eastAsia="宋体" w:cs="Times New Roman"/>
          <w:sz w:val="24"/>
          <w:szCs w:val="21"/>
        </w:rPr>
        <w:t>.a)；</w:t>
      </w:r>
    </w:p>
    <w:p w14:paraId="091E244D">
      <w:pPr>
        <w:tabs>
          <w:tab w:val="left" w:pos="1021"/>
        </w:tabs>
        <w:spacing w:line="336" w:lineRule="auto"/>
        <w:ind w:firstLine="480" w:firstLineChars="200"/>
        <w:rPr>
          <w:rFonts w:hint="default" w:ascii="Times New Roman" w:hAnsi="Times New Roman" w:eastAsia="宋体" w:cs="Times New Roman"/>
          <w:sz w:val="24"/>
          <w:szCs w:val="20"/>
        </w:rPr>
      </w:pPr>
      <w:r>
        <w:rPr>
          <w:rFonts w:hint="default" w:ascii="Times New Roman" w:hAnsi="Times New Roman" w:eastAsia="宋体" w:cs="Times New Roman"/>
          <w:sz w:val="24"/>
          <w:szCs w:val="20"/>
        </w:rPr>
        <w:t>NPPr—根据多年平均降水量(p，mm)估算的水分生产力(g/m</w:t>
      </w:r>
      <w:r>
        <w:rPr>
          <w:rFonts w:hint="default" w:ascii="Times New Roman" w:hAnsi="Times New Roman" w:eastAsia="宋体" w:cs="Times New Roman"/>
          <w:sz w:val="24"/>
          <w:szCs w:val="20"/>
          <w:vertAlign w:val="superscript"/>
        </w:rPr>
        <w:t>2</w:t>
      </w:r>
      <w:r>
        <w:rPr>
          <w:rFonts w:hint="default" w:ascii="Times New Roman" w:hAnsi="Times New Roman" w:eastAsia="宋体" w:cs="Times New Roman"/>
          <w:sz w:val="24"/>
          <w:szCs w:val="20"/>
        </w:rPr>
        <w:t>.a)。</w:t>
      </w:r>
    </w:p>
    <w:p w14:paraId="5A882EEC">
      <w:pPr>
        <w:spacing w:line="336" w:lineRule="auto"/>
        <w:ind w:firstLine="480" w:firstLineChars="200"/>
        <w:rPr>
          <w:rFonts w:hint="default" w:ascii="Times New Roman" w:hAnsi="Times New Roman" w:eastAsia="宋体" w:cs="Times New Roman"/>
          <w:sz w:val="24"/>
          <w:szCs w:val="21"/>
        </w:rPr>
      </w:pPr>
      <w:r>
        <w:rPr>
          <w:rFonts w:hint="default" w:ascii="Times New Roman" w:hAnsi="Times New Roman" w:eastAsia="宋体" w:cs="Times New Roman"/>
          <w:sz w:val="24"/>
          <w:szCs w:val="21"/>
        </w:rPr>
        <w:t>根据资料显示，评价区多</w:t>
      </w:r>
      <w:r>
        <w:rPr>
          <w:rFonts w:hint="default" w:ascii="Times New Roman" w:hAnsi="Times New Roman" w:eastAsia="宋体" w:cs="Times New Roman"/>
          <w:sz w:val="24"/>
          <w:szCs w:val="21"/>
          <w:highlight w:val="none"/>
        </w:rPr>
        <w:t>年平均温度</w:t>
      </w:r>
      <w:r>
        <w:rPr>
          <w:rFonts w:hint="default" w:ascii="Times New Roman" w:hAnsi="Times New Roman" w:eastAsia="宋体" w:cs="Times New Roman"/>
          <w:sz w:val="24"/>
          <w:szCs w:val="21"/>
          <w:highlight w:val="none"/>
          <w:lang w:val="en-US" w:eastAsia="zh-CN"/>
        </w:rPr>
        <w:t>16.7~17.4</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1"/>
          <w:highlight w:val="none"/>
        </w:rPr>
        <w:t>；多年平均降水量</w:t>
      </w:r>
      <w:r>
        <w:rPr>
          <w:rFonts w:hint="default" w:ascii="Times New Roman" w:hAnsi="Times New Roman" w:eastAsia="宋体" w:cs="Times New Roman"/>
          <w:sz w:val="24"/>
          <w:szCs w:val="21"/>
          <w:highlight w:val="none"/>
          <w:lang w:val="en-US" w:eastAsia="zh-CN"/>
        </w:rPr>
        <w:t>1262.3</w:t>
      </w:r>
      <w:r>
        <w:rPr>
          <w:rFonts w:hint="default" w:ascii="Times New Roman" w:hAnsi="Times New Roman" w:eastAsia="宋体" w:cs="Times New Roman"/>
          <w:sz w:val="24"/>
          <w:szCs w:val="24"/>
          <w:highlight w:val="none"/>
        </w:rPr>
        <w:t>mm</w:t>
      </w:r>
      <w:r>
        <w:rPr>
          <w:rFonts w:hint="default" w:ascii="Times New Roman" w:hAnsi="Times New Roman" w:eastAsia="宋体" w:cs="Times New Roman"/>
          <w:sz w:val="24"/>
          <w:szCs w:val="21"/>
          <w:highlight w:val="none"/>
        </w:rPr>
        <w:t>。</w:t>
      </w:r>
    </w:p>
    <w:p w14:paraId="372FA73A">
      <w:pPr>
        <w:tabs>
          <w:tab w:val="left" w:pos="1021"/>
        </w:tabs>
        <w:spacing w:line="336" w:lineRule="auto"/>
        <w:ind w:firstLine="480" w:firstLineChars="200"/>
        <w:rPr>
          <w:rFonts w:hint="default" w:ascii="Times New Roman" w:hAnsi="Times New Roman" w:eastAsia="宋体" w:cs="Times New Roman"/>
          <w:sz w:val="24"/>
          <w:szCs w:val="20"/>
        </w:rPr>
      </w:pPr>
      <w:r>
        <w:rPr>
          <w:rFonts w:hint="default" w:ascii="Times New Roman" w:hAnsi="Times New Roman" w:eastAsia="宋体" w:cs="Times New Roman"/>
          <w:sz w:val="24"/>
          <w:szCs w:val="20"/>
        </w:rPr>
        <w:t>计算得到NPPt=</w:t>
      </w:r>
      <w:r>
        <w:rPr>
          <w:rFonts w:hint="default" w:ascii="Times New Roman" w:hAnsi="Times New Roman" w:eastAsia="宋体" w:cs="Times New Roman"/>
          <w:sz w:val="24"/>
          <w:szCs w:val="20"/>
          <w:lang w:val="en-US" w:eastAsia="zh-CN"/>
        </w:rPr>
        <w:t>1986.05~2041.19</w:t>
      </w:r>
      <w:r>
        <w:rPr>
          <w:rFonts w:hint="default" w:ascii="Times New Roman" w:hAnsi="Times New Roman" w:eastAsia="宋体" w:cs="Times New Roman"/>
          <w:sz w:val="24"/>
          <w:szCs w:val="20"/>
        </w:rPr>
        <w:t>g/m</w:t>
      </w:r>
      <w:r>
        <w:rPr>
          <w:rFonts w:hint="default" w:ascii="Times New Roman" w:hAnsi="Times New Roman" w:eastAsia="宋体" w:cs="Times New Roman"/>
          <w:sz w:val="24"/>
          <w:szCs w:val="20"/>
          <w:vertAlign w:val="superscript"/>
        </w:rPr>
        <w:t>2</w:t>
      </w:r>
      <w:r>
        <w:rPr>
          <w:rFonts w:hint="default" w:ascii="Times New Roman" w:hAnsi="Times New Roman" w:eastAsia="宋体" w:cs="Times New Roman"/>
          <w:sz w:val="24"/>
          <w:szCs w:val="20"/>
        </w:rPr>
        <w:t>.a；NPPr=</w:t>
      </w:r>
      <w:r>
        <w:rPr>
          <w:rFonts w:hint="default" w:ascii="Times New Roman" w:hAnsi="Times New Roman" w:eastAsia="宋体" w:cs="Times New Roman"/>
          <w:sz w:val="24"/>
          <w:szCs w:val="20"/>
          <w:lang w:val="en-US" w:eastAsia="zh-CN"/>
        </w:rPr>
        <w:t>1702.49</w:t>
      </w:r>
      <w:r>
        <w:rPr>
          <w:rFonts w:hint="default" w:ascii="Times New Roman" w:hAnsi="Times New Roman" w:eastAsia="宋体" w:cs="Times New Roman"/>
          <w:sz w:val="24"/>
          <w:szCs w:val="20"/>
        </w:rPr>
        <w:t>g/m</w:t>
      </w:r>
      <w:r>
        <w:rPr>
          <w:rFonts w:hint="default" w:ascii="Times New Roman" w:hAnsi="Times New Roman" w:eastAsia="宋体" w:cs="Times New Roman"/>
          <w:sz w:val="24"/>
          <w:szCs w:val="20"/>
          <w:vertAlign w:val="superscript"/>
        </w:rPr>
        <w:t>2</w:t>
      </w:r>
      <w:r>
        <w:rPr>
          <w:rFonts w:hint="default" w:ascii="Times New Roman" w:hAnsi="Times New Roman" w:eastAsia="宋体" w:cs="Times New Roman"/>
          <w:sz w:val="24"/>
          <w:szCs w:val="20"/>
        </w:rPr>
        <w:t>.a。</w:t>
      </w:r>
    </w:p>
    <w:p w14:paraId="76395DAB">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1"/>
          <w:highlight w:val="none"/>
          <w:u w:val="none"/>
        </w:rPr>
      </w:pPr>
      <w:r>
        <w:rPr>
          <w:rFonts w:hint="default" w:ascii="Times New Roman" w:hAnsi="Times New Roman" w:eastAsia="宋体" w:cs="Times New Roman"/>
          <w:sz w:val="24"/>
          <w:szCs w:val="21"/>
        </w:rPr>
        <w:t>根据Liebig最小因子定律，选择由温度和降水所计算出的自然植被NPP中的较低者</w:t>
      </w:r>
      <w:r>
        <w:rPr>
          <w:rFonts w:hint="default" w:ascii="Times New Roman" w:hAnsi="Times New Roman" w:eastAsia="宋体" w:cs="Times New Roman"/>
          <w:sz w:val="24"/>
          <w:szCs w:val="21"/>
          <w:lang w:eastAsia="zh-CN"/>
        </w:rPr>
        <w:t>为</w:t>
      </w:r>
      <w:r>
        <w:rPr>
          <w:rFonts w:hint="default" w:ascii="Times New Roman" w:hAnsi="Times New Roman" w:eastAsia="宋体" w:cs="Times New Roman"/>
          <w:sz w:val="24"/>
          <w:szCs w:val="21"/>
        </w:rPr>
        <w:t>某地的自然植被的NPP。则评价区</w:t>
      </w:r>
      <w:r>
        <w:rPr>
          <w:rFonts w:hint="default" w:ascii="Times New Roman" w:hAnsi="Times New Roman" w:eastAsia="宋体" w:cs="Times New Roman"/>
          <w:sz w:val="24"/>
          <w:szCs w:val="21"/>
          <w:lang w:eastAsia="zh-CN"/>
        </w:rPr>
        <w:t>本地</w:t>
      </w:r>
      <w:r>
        <w:rPr>
          <w:rFonts w:hint="default" w:ascii="Times New Roman" w:hAnsi="Times New Roman" w:eastAsia="宋体" w:cs="Times New Roman"/>
          <w:sz w:val="24"/>
          <w:szCs w:val="21"/>
        </w:rPr>
        <w:t>自然生产力为</w:t>
      </w:r>
      <w:r>
        <w:rPr>
          <w:rFonts w:hint="default" w:ascii="Times New Roman" w:hAnsi="Times New Roman" w:eastAsia="宋体" w:cs="Times New Roman"/>
          <w:sz w:val="24"/>
          <w:szCs w:val="21"/>
          <w:lang w:val="en-US" w:eastAsia="zh-CN"/>
        </w:rPr>
        <w:t>1702.49</w:t>
      </w:r>
      <w:r>
        <w:rPr>
          <w:rFonts w:hint="default" w:ascii="Times New Roman" w:hAnsi="Times New Roman" w:eastAsia="宋体" w:cs="Times New Roman"/>
          <w:sz w:val="24"/>
          <w:szCs w:val="21"/>
        </w:rPr>
        <w:t>g/m</w:t>
      </w:r>
      <w:r>
        <w:rPr>
          <w:rFonts w:hint="default" w:ascii="Times New Roman" w:hAnsi="Times New Roman" w:eastAsia="宋体" w:cs="Times New Roman"/>
          <w:sz w:val="24"/>
          <w:szCs w:val="21"/>
          <w:vertAlign w:val="superscript"/>
        </w:rPr>
        <w:t>2</w:t>
      </w:r>
      <w:r>
        <w:rPr>
          <w:rFonts w:hint="default" w:ascii="Times New Roman" w:hAnsi="Times New Roman" w:eastAsia="宋体" w:cs="Times New Roman"/>
          <w:sz w:val="24"/>
          <w:szCs w:val="21"/>
        </w:rPr>
        <w:t>.a。</w:t>
      </w:r>
    </w:p>
    <w:p w14:paraId="3984B827">
      <w:pPr>
        <w:pStyle w:val="4"/>
        <w:bidi w:val="0"/>
        <w:rPr>
          <w:rFonts w:hint="default" w:ascii="Times New Roman" w:hAnsi="Times New Roman" w:cs="Times New Roman"/>
          <w:lang w:val="en-US" w:eastAsia="zh-CN"/>
        </w:rPr>
      </w:pPr>
      <w:bookmarkStart w:id="215" w:name="_Toc5912"/>
      <w:bookmarkStart w:id="216" w:name="_Toc14271"/>
      <w:bookmarkStart w:id="217" w:name="_Toc28545"/>
      <w:bookmarkStart w:id="218" w:name="_Toc30432"/>
      <w:bookmarkStart w:id="219" w:name="_Toc20930"/>
      <w:bookmarkStart w:id="220" w:name="_Toc7226"/>
      <w:r>
        <w:rPr>
          <w:rFonts w:hint="default" w:ascii="Times New Roman" w:hAnsi="Times New Roman" w:cs="Times New Roman"/>
          <w:lang w:val="en-US" w:eastAsia="zh-CN"/>
        </w:rPr>
        <w:t>陆生</w:t>
      </w:r>
      <w:bookmarkEnd w:id="215"/>
      <w:bookmarkEnd w:id="216"/>
      <w:bookmarkEnd w:id="217"/>
      <w:bookmarkEnd w:id="218"/>
      <w:r>
        <w:rPr>
          <w:rFonts w:hint="default" w:ascii="Times New Roman" w:hAnsi="Times New Roman" w:cs="Times New Roman"/>
          <w:lang w:val="en-US" w:eastAsia="zh-CN"/>
        </w:rPr>
        <w:t>植物现状</w:t>
      </w:r>
      <w:bookmarkEnd w:id="219"/>
      <w:bookmarkEnd w:id="220"/>
    </w:p>
    <w:p w14:paraId="71B4B544">
      <w:pPr>
        <w:pStyle w:val="5"/>
        <w:bidi w:val="0"/>
        <w:rPr>
          <w:rFonts w:hint="default" w:ascii="Times New Roman" w:hAnsi="Times New Roman" w:cs="Times New Roman"/>
          <w:lang w:val="en-US" w:eastAsia="zh-CN"/>
        </w:rPr>
      </w:pPr>
      <w:bookmarkStart w:id="221" w:name="_Toc30755"/>
      <w:bookmarkStart w:id="222" w:name="_Toc17565"/>
      <w:bookmarkStart w:id="223" w:name="_Toc9891"/>
      <w:bookmarkStart w:id="224" w:name="_Toc23860"/>
      <w:r>
        <w:rPr>
          <w:rFonts w:hint="default" w:ascii="Times New Roman" w:hAnsi="Times New Roman" w:cs="Times New Roman"/>
          <w:lang w:val="en-US" w:eastAsia="zh-CN"/>
        </w:rPr>
        <w:t>植物区系</w:t>
      </w:r>
      <w:bookmarkEnd w:id="221"/>
      <w:bookmarkEnd w:id="222"/>
      <w:bookmarkEnd w:id="223"/>
      <w:bookmarkEnd w:id="224"/>
    </w:p>
    <w:p w14:paraId="13A1AD46">
      <w:pPr>
        <w:spacing w:line="360" w:lineRule="auto"/>
        <w:ind w:firstLine="480" w:firstLineChars="200"/>
        <w:rPr>
          <w:rFonts w:hint="default" w:ascii="Times New Roman" w:hAnsi="Times New Roman" w:eastAsia="宋体" w:cs="Times New Roman"/>
          <w:caps w:val="0"/>
          <w:smallCaps w:val="0"/>
          <w:color w:val="auto"/>
          <w:sz w:val="24"/>
          <w:szCs w:val="24"/>
          <w:highlight w:val="none"/>
          <w:u w:val="none"/>
          <w:lang w:eastAsia="zh-CN"/>
        </w:rPr>
      </w:pPr>
      <w:r>
        <w:rPr>
          <w:rFonts w:hint="default" w:ascii="Times New Roman" w:hAnsi="Times New Roman" w:eastAsia="宋体" w:cs="Times New Roman"/>
          <w:caps w:val="0"/>
          <w:smallCaps w:val="0"/>
          <w:color w:val="auto"/>
          <w:sz w:val="24"/>
          <w:szCs w:val="24"/>
          <w:highlight w:val="none"/>
          <w:u w:val="none"/>
        </w:rPr>
        <w:t>根据《中国种子植物区系地理》</w:t>
      </w:r>
      <w:r>
        <w:rPr>
          <w:rFonts w:hint="default" w:ascii="Times New Roman" w:hAnsi="Times New Roman" w:eastAsia="宋体" w:cs="Times New Roman"/>
          <w:caps w:val="0"/>
          <w:smallCaps w:val="0"/>
          <w:color w:val="auto"/>
          <w:sz w:val="24"/>
          <w:szCs w:val="24"/>
          <w:highlight w:val="none"/>
          <w:u w:val="none"/>
          <w:lang w:eastAsia="zh-CN"/>
        </w:rPr>
        <w:t>（</w:t>
      </w:r>
      <w:r>
        <w:rPr>
          <w:rFonts w:hint="default" w:ascii="Times New Roman" w:hAnsi="Times New Roman" w:eastAsia="宋体" w:cs="Times New Roman"/>
          <w:caps w:val="0"/>
          <w:smallCaps w:val="0"/>
          <w:color w:val="auto"/>
          <w:sz w:val="24"/>
          <w:szCs w:val="24"/>
          <w:highlight w:val="none"/>
          <w:u w:val="none"/>
        </w:rPr>
        <w:t>吴征镒等，2011</w:t>
      </w:r>
      <w:r>
        <w:rPr>
          <w:rFonts w:hint="default" w:ascii="Times New Roman" w:hAnsi="Times New Roman" w:eastAsia="宋体" w:cs="Times New Roman"/>
          <w:caps w:val="0"/>
          <w:smallCaps w:val="0"/>
          <w:color w:val="auto"/>
          <w:sz w:val="24"/>
          <w:szCs w:val="24"/>
          <w:highlight w:val="none"/>
          <w:u w:val="none"/>
          <w:lang w:eastAsia="zh-CN"/>
        </w:rPr>
        <w:t>）</w:t>
      </w:r>
      <w:r>
        <w:rPr>
          <w:rFonts w:hint="default" w:ascii="Times New Roman" w:hAnsi="Times New Roman" w:eastAsia="宋体" w:cs="Times New Roman"/>
          <w:caps w:val="0"/>
          <w:smallCaps w:val="0"/>
          <w:color w:val="auto"/>
          <w:sz w:val="24"/>
          <w:szCs w:val="24"/>
          <w:highlight w:val="none"/>
          <w:u w:val="none"/>
        </w:rPr>
        <w:t>的中国植物区系分区系统进行划分，评价区植物区系属东亚植物区——中国、日本森林植物亚区——</w:t>
      </w:r>
      <w:r>
        <w:rPr>
          <w:rFonts w:hint="default" w:ascii="Times New Roman" w:hAnsi="Times New Roman" w:eastAsia="宋体" w:cs="Times New Roman"/>
          <w:caps w:val="0"/>
          <w:smallCaps w:val="0"/>
          <w:color w:val="auto"/>
          <w:sz w:val="24"/>
          <w:szCs w:val="24"/>
          <w:highlight w:val="none"/>
          <w:u w:val="none"/>
          <w:lang w:eastAsia="zh-CN"/>
        </w:rPr>
        <w:t>华中地区——川、鄂、湘亚地区</w:t>
      </w:r>
      <w:r>
        <w:rPr>
          <w:rFonts w:hint="default" w:ascii="Times New Roman" w:hAnsi="Times New Roman" w:eastAsia="宋体" w:cs="Times New Roman"/>
          <w:caps w:val="0"/>
          <w:smallCaps w:val="0"/>
          <w:color w:val="auto"/>
          <w:sz w:val="24"/>
          <w:szCs w:val="24"/>
          <w:highlight w:val="none"/>
          <w:u w:val="none"/>
        </w:rPr>
        <w:t>。</w:t>
      </w:r>
    </w:p>
    <w:p w14:paraId="785D204B">
      <w:pPr>
        <w:pStyle w:val="5"/>
        <w:bidi w:val="0"/>
        <w:rPr>
          <w:rFonts w:hint="default" w:ascii="Times New Roman" w:hAnsi="Times New Roman" w:cs="Times New Roman"/>
          <w:lang w:val="en-US" w:eastAsia="zh-CN"/>
        </w:rPr>
      </w:pPr>
      <w:bookmarkStart w:id="225" w:name="_Toc25901"/>
      <w:bookmarkStart w:id="226" w:name="_Toc26749"/>
      <w:bookmarkStart w:id="227" w:name="_Toc21917"/>
      <w:bookmarkStart w:id="228" w:name="_Toc9169"/>
      <w:r>
        <w:rPr>
          <w:rFonts w:hint="default" w:ascii="Times New Roman" w:hAnsi="Times New Roman" w:cs="Times New Roman"/>
          <w:lang w:val="en-US" w:eastAsia="zh-CN"/>
        </w:rPr>
        <w:t>植被</w:t>
      </w:r>
      <w:bookmarkEnd w:id="225"/>
      <w:bookmarkEnd w:id="226"/>
      <w:bookmarkEnd w:id="227"/>
      <w:bookmarkEnd w:id="228"/>
      <w:r>
        <w:rPr>
          <w:rFonts w:hint="default" w:ascii="Times New Roman" w:hAnsi="Times New Roman" w:cs="Times New Roman"/>
          <w:lang w:val="en-US" w:eastAsia="zh-CN"/>
        </w:rPr>
        <w:t>类型</w:t>
      </w:r>
    </w:p>
    <w:p w14:paraId="365A3DF3">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植被区划</w:t>
      </w:r>
    </w:p>
    <w:p w14:paraId="5A16A32E">
      <w:pPr>
        <w:spacing w:line="360" w:lineRule="auto"/>
        <w:ind w:firstLine="480" w:firstLineChars="200"/>
        <w:rPr>
          <w:rFonts w:hint="default" w:ascii="Times New Roman" w:hAnsi="Times New Roman" w:eastAsia="宋体" w:cs="Times New Roman"/>
          <w:caps w:val="0"/>
          <w:smallCaps w:val="0"/>
          <w:sz w:val="24"/>
          <w:szCs w:val="21"/>
        </w:rPr>
      </w:pPr>
      <w:r>
        <w:rPr>
          <w:rFonts w:hint="default" w:ascii="Times New Roman" w:hAnsi="Times New Roman" w:eastAsia="宋体" w:cs="Times New Roman"/>
          <w:caps w:val="0"/>
          <w:smallCaps w:val="0"/>
          <w:sz w:val="24"/>
          <w:szCs w:val="21"/>
        </w:rPr>
        <w:t>根据《湖南植被》（祁承经等，1990年），评价区属亚热带常绿阔叶林区域—中亚热带常绿阔叶林地带—中亚热带典型常绿阔叶林北部植被亚地带—</w:t>
      </w:r>
      <w:r>
        <w:rPr>
          <w:rFonts w:hint="default" w:ascii="Times New Roman" w:hAnsi="Times New Roman" w:eastAsia="宋体" w:cs="Times New Roman"/>
          <w:caps w:val="0"/>
          <w:smallCaps w:val="0"/>
          <w:sz w:val="24"/>
          <w:szCs w:val="21"/>
          <w:lang w:val="en-US" w:eastAsia="zh-CN"/>
        </w:rPr>
        <w:t>湖北滨湖平原栲栎林、旱柳林、桑树林、湖漫滩草旬、沼泽、水生植被及农田植被</w:t>
      </w:r>
      <w:r>
        <w:rPr>
          <w:rFonts w:hint="default" w:ascii="Times New Roman" w:hAnsi="Times New Roman" w:eastAsia="宋体" w:cs="Times New Roman"/>
          <w:caps w:val="0"/>
          <w:smallCaps w:val="0"/>
          <w:sz w:val="24"/>
          <w:szCs w:val="21"/>
          <w:lang w:eastAsia="zh-CN"/>
        </w:rPr>
        <w:t>—</w:t>
      </w:r>
      <w:r>
        <w:rPr>
          <w:rFonts w:hint="default" w:ascii="Times New Roman" w:hAnsi="Times New Roman" w:eastAsia="宋体" w:cs="Times New Roman"/>
          <w:caps w:val="0"/>
          <w:smallCaps w:val="0"/>
          <w:sz w:val="24"/>
          <w:szCs w:val="21"/>
          <w:lang w:val="en-US" w:eastAsia="zh-CN"/>
        </w:rPr>
        <w:t>洞庭湖平原及湖泊</w:t>
      </w:r>
      <w:r>
        <w:rPr>
          <w:rFonts w:hint="default" w:ascii="Times New Roman" w:hAnsi="Times New Roman" w:eastAsia="宋体" w:cs="Times New Roman"/>
          <w:caps w:val="0"/>
          <w:smallCaps w:val="0"/>
          <w:sz w:val="24"/>
          <w:szCs w:val="21"/>
          <w:lang w:eastAsia="zh-CN"/>
        </w:rPr>
        <w:t>植被小区</w:t>
      </w:r>
      <w:r>
        <w:rPr>
          <w:rFonts w:hint="default" w:ascii="Times New Roman" w:hAnsi="Times New Roman" w:eastAsia="宋体" w:cs="Times New Roman"/>
          <w:caps w:val="0"/>
          <w:smallCaps w:val="0"/>
          <w:sz w:val="24"/>
          <w:szCs w:val="21"/>
        </w:rPr>
        <w:t>。</w:t>
      </w:r>
    </w:p>
    <w:p w14:paraId="6CE4D567">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主要植被类型</w:t>
      </w:r>
    </w:p>
    <w:p w14:paraId="0840E6C4">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1"/>
          <w:highlight w:val="none"/>
          <w:u w:val="none"/>
        </w:rPr>
      </w:pPr>
      <w:r>
        <w:rPr>
          <w:rFonts w:hint="default" w:ascii="Times New Roman" w:hAnsi="Times New Roman" w:eastAsia="宋体" w:cs="Times New Roman"/>
          <w:caps w:val="0"/>
          <w:smallCaps w:val="0"/>
          <w:snapToGrid/>
          <w:color w:val="auto"/>
          <w:spacing w:val="0"/>
          <w:kern w:val="0"/>
          <w:sz w:val="24"/>
          <w:szCs w:val="21"/>
          <w:highlight w:val="none"/>
          <w:u w:val="none"/>
        </w:rPr>
        <w:t>参考《中国植被》、《湖南植被》及相关林业调查资料，根据现场对评价区植被的实地调查，采用植物群落学—生态学分类原则，选用植被型组、植被型、群系等基本单位，在对现存植被进行考察的基础上，结合区域内现有植被中群系建群种与优势种的外貌，以及群系的环境生态与地理分布特征等分析，将评价区自然植被初步划分为</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2个植被型组、4个植被型及10个群系</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w:t>
      </w:r>
      <w:r>
        <w:rPr>
          <w:rFonts w:hint="default" w:ascii="Times New Roman" w:hAnsi="Times New Roman" w:eastAsia="宋体" w:cs="Times New Roman"/>
          <w:caps w:val="0"/>
          <w:smallCaps w:val="0"/>
          <w:snapToGrid/>
          <w:color w:val="auto"/>
          <w:spacing w:val="0"/>
          <w:kern w:val="0"/>
          <w:sz w:val="24"/>
          <w:szCs w:val="21"/>
          <w:highlight w:val="none"/>
          <w:u w:val="none"/>
        </w:rPr>
        <w:t>详见</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下表</w:t>
      </w:r>
      <w:r>
        <w:rPr>
          <w:rFonts w:hint="default" w:ascii="Times New Roman" w:hAnsi="Times New Roman" w:eastAsia="宋体" w:cs="Times New Roman"/>
          <w:caps w:val="0"/>
          <w:smallCaps w:val="0"/>
          <w:snapToGrid/>
          <w:color w:val="auto"/>
          <w:spacing w:val="0"/>
          <w:kern w:val="0"/>
          <w:sz w:val="24"/>
          <w:szCs w:val="21"/>
          <w:highlight w:val="none"/>
          <w:u w:val="none"/>
        </w:rPr>
        <w:t>。</w:t>
      </w:r>
    </w:p>
    <w:p w14:paraId="6495C773">
      <w:pPr>
        <w:pStyle w:val="6"/>
        <w:keepNext w:val="0"/>
        <w:keepLines w:val="0"/>
        <w:pageBreakBefore w:val="0"/>
        <w:widowControl w:val="0"/>
        <w:kinsoku w:val="0"/>
        <w:wordWrap w:val="0"/>
        <w:overflowPunct/>
        <w:topLinePunct/>
        <w:autoSpaceDE/>
        <w:autoSpaceDN/>
        <w:bidi w:val="0"/>
        <w:adjustRightInd/>
        <w:snapToGrid/>
        <w:spacing w:before="0" w:beforeLines="50" w:line="360" w:lineRule="auto"/>
        <w:ind w:left="0" w:leftChars="0" w:firstLine="0" w:firstLineChars="0"/>
        <w:jc w:val="center"/>
        <w:textAlignment w:val="auto"/>
        <w:rPr>
          <w:rFonts w:hint="default" w:ascii="Times New Roman" w:hAnsi="Times New Roman" w:eastAsia="宋体" w:cs="Times New Roman"/>
          <w:b/>
          <w:caps w:val="0"/>
          <w:smallCaps w:val="0"/>
          <w:color w:val="auto"/>
          <w:spacing w:val="0"/>
          <w:w w:val="100"/>
          <w:position w:val="0"/>
          <w:sz w:val="21"/>
          <w:szCs w:val="21"/>
          <w:u w:val="none" w:color="auto"/>
          <w:lang w:val="en-US" w:eastAsia="zh-CN"/>
        </w:rPr>
      </w:pP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表3.3-</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begin"/>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instrText xml:space="preserve"> SEQ 表 \* ARABIC \s 1 </w:instrTex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separate"/>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5</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end"/>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 xml:space="preserve"> 植物群落调查结果统计表</w:t>
      </w:r>
    </w:p>
    <w:tbl>
      <w:tblPr>
        <w:tblStyle w:val="39"/>
        <w:tblW w:w="84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416"/>
        <w:gridCol w:w="836"/>
        <w:gridCol w:w="976"/>
        <w:gridCol w:w="1089"/>
        <w:gridCol w:w="1484"/>
        <w:gridCol w:w="1797"/>
        <w:gridCol w:w="981"/>
        <w:gridCol w:w="843"/>
      </w:tblGrid>
      <w:tr w14:paraId="247F1B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416" w:type="dxa"/>
            <w:vMerge w:val="restart"/>
            <w:tcBorders>
              <w:tl2br w:val="nil"/>
              <w:tr2bl w:val="nil"/>
            </w:tcBorders>
            <w:noWrap w:val="0"/>
            <w:vAlign w:val="center"/>
          </w:tcPr>
          <w:p w14:paraId="7958156C">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sz w:val="21"/>
                <w:szCs w:val="21"/>
              </w:rPr>
            </w:pPr>
            <w:r>
              <w:rPr>
                <w:rFonts w:hint="default" w:ascii="Times New Roman" w:hAnsi="Times New Roman" w:eastAsia="宋体" w:cs="Times New Roman"/>
                <w:b/>
                <w:caps w:val="0"/>
                <w:smallCaps w:val="0"/>
                <w:sz w:val="21"/>
                <w:szCs w:val="21"/>
              </w:rPr>
              <w:t>类型</w:t>
            </w:r>
          </w:p>
        </w:tc>
        <w:tc>
          <w:tcPr>
            <w:tcW w:w="836" w:type="dxa"/>
            <w:vMerge w:val="restart"/>
            <w:tcBorders>
              <w:tl2br w:val="nil"/>
              <w:tr2bl w:val="nil"/>
            </w:tcBorders>
            <w:noWrap w:val="0"/>
            <w:vAlign w:val="center"/>
          </w:tcPr>
          <w:p w14:paraId="59E47D6D">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sz w:val="21"/>
                <w:szCs w:val="21"/>
              </w:rPr>
            </w:pPr>
            <w:r>
              <w:rPr>
                <w:rFonts w:hint="default" w:ascii="Times New Roman" w:hAnsi="Times New Roman" w:eastAsia="宋体" w:cs="Times New Roman"/>
                <w:b/>
                <w:caps w:val="0"/>
                <w:smallCaps w:val="0"/>
                <w:sz w:val="21"/>
                <w:szCs w:val="21"/>
              </w:rPr>
              <w:t>植被型组</w:t>
            </w:r>
          </w:p>
        </w:tc>
        <w:tc>
          <w:tcPr>
            <w:tcW w:w="976" w:type="dxa"/>
            <w:vMerge w:val="restart"/>
            <w:tcBorders>
              <w:tl2br w:val="nil"/>
              <w:tr2bl w:val="nil"/>
            </w:tcBorders>
            <w:noWrap w:val="0"/>
            <w:vAlign w:val="center"/>
          </w:tcPr>
          <w:p w14:paraId="14646494">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sz w:val="21"/>
                <w:szCs w:val="21"/>
              </w:rPr>
            </w:pPr>
            <w:r>
              <w:rPr>
                <w:rFonts w:hint="default" w:ascii="Times New Roman" w:hAnsi="Times New Roman" w:eastAsia="宋体" w:cs="Times New Roman"/>
                <w:b/>
                <w:caps w:val="0"/>
                <w:smallCaps w:val="0"/>
                <w:sz w:val="21"/>
                <w:szCs w:val="21"/>
              </w:rPr>
              <w:t>植被型</w:t>
            </w:r>
          </w:p>
        </w:tc>
        <w:tc>
          <w:tcPr>
            <w:tcW w:w="1089" w:type="dxa"/>
            <w:vMerge w:val="restart"/>
            <w:tcBorders>
              <w:tl2br w:val="nil"/>
              <w:tr2bl w:val="nil"/>
            </w:tcBorders>
            <w:noWrap w:val="0"/>
            <w:vAlign w:val="center"/>
          </w:tcPr>
          <w:p w14:paraId="1C132B40">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sz w:val="21"/>
                <w:szCs w:val="21"/>
              </w:rPr>
            </w:pPr>
            <w:r>
              <w:rPr>
                <w:rFonts w:hint="default" w:ascii="Times New Roman" w:hAnsi="Times New Roman" w:eastAsia="宋体" w:cs="Times New Roman"/>
                <w:b/>
                <w:caps w:val="0"/>
                <w:smallCaps w:val="0"/>
                <w:sz w:val="21"/>
                <w:szCs w:val="21"/>
              </w:rPr>
              <w:t>植被亚型</w:t>
            </w:r>
          </w:p>
        </w:tc>
        <w:tc>
          <w:tcPr>
            <w:tcW w:w="1484" w:type="dxa"/>
            <w:vMerge w:val="restart"/>
            <w:tcBorders>
              <w:tl2br w:val="nil"/>
              <w:tr2bl w:val="nil"/>
            </w:tcBorders>
            <w:noWrap w:val="0"/>
            <w:vAlign w:val="center"/>
          </w:tcPr>
          <w:p w14:paraId="46D0434A">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sz w:val="21"/>
                <w:szCs w:val="21"/>
              </w:rPr>
            </w:pPr>
            <w:r>
              <w:rPr>
                <w:rFonts w:hint="default" w:ascii="Times New Roman" w:hAnsi="Times New Roman" w:eastAsia="宋体" w:cs="Times New Roman"/>
                <w:b/>
                <w:caps w:val="0"/>
                <w:smallCaps w:val="0"/>
                <w:sz w:val="21"/>
                <w:szCs w:val="21"/>
              </w:rPr>
              <w:t>群系</w:t>
            </w:r>
          </w:p>
        </w:tc>
        <w:tc>
          <w:tcPr>
            <w:tcW w:w="1797" w:type="dxa"/>
            <w:vMerge w:val="restart"/>
            <w:tcBorders>
              <w:tl2br w:val="nil"/>
              <w:tr2bl w:val="nil"/>
            </w:tcBorders>
            <w:noWrap w:val="0"/>
            <w:vAlign w:val="center"/>
          </w:tcPr>
          <w:p w14:paraId="1C4E7977">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sz w:val="21"/>
                <w:szCs w:val="21"/>
              </w:rPr>
            </w:pPr>
            <w:r>
              <w:rPr>
                <w:rFonts w:hint="default" w:ascii="Times New Roman" w:hAnsi="Times New Roman" w:eastAsia="宋体" w:cs="Times New Roman"/>
                <w:b/>
                <w:caps w:val="0"/>
                <w:smallCaps w:val="0"/>
                <w:sz w:val="21"/>
                <w:szCs w:val="21"/>
              </w:rPr>
              <w:t>分布区域</w:t>
            </w:r>
          </w:p>
        </w:tc>
        <w:tc>
          <w:tcPr>
            <w:tcW w:w="1824" w:type="dxa"/>
            <w:gridSpan w:val="2"/>
            <w:tcBorders>
              <w:tl2br w:val="nil"/>
              <w:tr2bl w:val="nil"/>
            </w:tcBorders>
            <w:noWrap w:val="0"/>
            <w:vAlign w:val="center"/>
          </w:tcPr>
          <w:p w14:paraId="2E426019">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sz w:val="21"/>
                <w:szCs w:val="21"/>
                <w:highlight w:val="none"/>
              </w:rPr>
            </w:pPr>
            <w:r>
              <w:rPr>
                <w:rFonts w:hint="default" w:ascii="Times New Roman" w:hAnsi="Times New Roman" w:eastAsia="宋体" w:cs="Times New Roman"/>
                <w:b/>
                <w:caps w:val="0"/>
                <w:smallCaps w:val="0"/>
                <w:sz w:val="21"/>
                <w:szCs w:val="21"/>
                <w:highlight w:val="none"/>
              </w:rPr>
              <w:t>工程占用情况</w:t>
            </w:r>
          </w:p>
        </w:tc>
      </w:tr>
      <w:tr w14:paraId="275BD4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416" w:type="dxa"/>
            <w:vMerge w:val="continue"/>
            <w:tcBorders>
              <w:tl2br w:val="nil"/>
              <w:tr2bl w:val="nil"/>
            </w:tcBorders>
            <w:noWrap w:val="0"/>
            <w:vAlign w:val="center"/>
          </w:tcPr>
          <w:p w14:paraId="7867AC3E">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sz w:val="21"/>
                <w:szCs w:val="21"/>
              </w:rPr>
            </w:pPr>
          </w:p>
        </w:tc>
        <w:tc>
          <w:tcPr>
            <w:tcW w:w="836" w:type="dxa"/>
            <w:vMerge w:val="continue"/>
            <w:tcBorders>
              <w:tl2br w:val="nil"/>
              <w:tr2bl w:val="nil"/>
            </w:tcBorders>
            <w:noWrap w:val="0"/>
            <w:vAlign w:val="center"/>
          </w:tcPr>
          <w:p w14:paraId="6E294B81">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sz w:val="21"/>
                <w:szCs w:val="21"/>
              </w:rPr>
            </w:pPr>
          </w:p>
        </w:tc>
        <w:tc>
          <w:tcPr>
            <w:tcW w:w="976" w:type="dxa"/>
            <w:vMerge w:val="continue"/>
            <w:tcBorders>
              <w:tl2br w:val="nil"/>
              <w:tr2bl w:val="nil"/>
            </w:tcBorders>
            <w:noWrap w:val="0"/>
            <w:vAlign w:val="center"/>
          </w:tcPr>
          <w:p w14:paraId="031A325B">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sz w:val="21"/>
                <w:szCs w:val="21"/>
              </w:rPr>
            </w:pPr>
          </w:p>
        </w:tc>
        <w:tc>
          <w:tcPr>
            <w:tcW w:w="1089" w:type="dxa"/>
            <w:vMerge w:val="continue"/>
            <w:tcBorders>
              <w:tl2br w:val="nil"/>
              <w:tr2bl w:val="nil"/>
            </w:tcBorders>
            <w:noWrap w:val="0"/>
            <w:vAlign w:val="center"/>
          </w:tcPr>
          <w:p w14:paraId="57F35604">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sz w:val="21"/>
                <w:szCs w:val="21"/>
              </w:rPr>
            </w:pPr>
          </w:p>
        </w:tc>
        <w:tc>
          <w:tcPr>
            <w:tcW w:w="1484" w:type="dxa"/>
            <w:vMerge w:val="continue"/>
            <w:tcBorders>
              <w:tl2br w:val="nil"/>
              <w:tr2bl w:val="nil"/>
            </w:tcBorders>
            <w:noWrap w:val="0"/>
            <w:vAlign w:val="center"/>
          </w:tcPr>
          <w:p w14:paraId="3FAAB58F">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sz w:val="21"/>
                <w:szCs w:val="21"/>
              </w:rPr>
            </w:pPr>
          </w:p>
        </w:tc>
        <w:tc>
          <w:tcPr>
            <w:tcW w:w="1797" w:type="dxa"/>
            <w:vMerge w:val="continue"/>
            <w:tcBorders>
              <w:tl2br w:val="nil"/>
              <w:tr2bl w:val="nil"/>
            </w:tcBorders>
            <w:noWrap w:val="0"/>
            <w:vAlign w:val="center"/>
          </w:tcPr>
          <w:p w14:paraId="75F45459">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sz w:val="21"/>
                <w:szCs w:val="21"/>
              </w:rPr>
            </w:pPr>
          </w:p>
        </w:tc>
        <w:tc>
          <w:tcPr>
            <w:tcW w:w="981" w:type="dxa"/>
            <w:tcBorders>
              <w:tl2br w:val="nil"/>
              <w:tr2bl w:val="nil"/>
            </w:tcBorders>
            <w:noWrap w:val="0"/>
            <w:vAlign w:val="center"/>
          </w:tcPr>
          <w:p w14:paraId="30472F3B">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sz w:val="21"/>
                <w:szCs w:val="21"/>
                <w:highlight w:val="none"/>
              </w:rPr>
            </w:pPr>
            <w:r>
              <w:rPr>
                <w:rFonts w:hint="default" w:ascii="Times New Roman" w:hAnsi="Times New Roman" w:eastAsia="宋体" w:cs="Times New Roman"/>
                <w:b/>
                <w:bCs/>
                <w:caps w:val="0"/>
                <w:smallCaps w:val="0"/>
                <w:color w:val="000000"/>
                <w:sz w:val="21"/>
                <w:szCs w:val="21"/>
                <w:highlight w:val="none"/>
              </w:rPr>
              <w:t>占用面积（hm²）</w:t>
            </w:r>
          </w:p>
        </w:tc>
        <w:tc>
          <w:tcPr>
            <w:tcW w:w="843" w:type="dxa"/>
            <w:tcBorders>
              <w:tl2br w:val="nil"/>
              <w:tr2bl w:val="nil"/>
            </w:tcBorders>
            <w:noWrap w:val="0"/>
            <w:vAlign w:val="center"/>
          </w:tcPr>
          <w:p w14:paraId="0581A6E9">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b/>
                <w:caps w:val="0"/>
                <w:smallCaps w:val="0"/>
                <w:sz w:val="21"/>
                <w:szCs w:val="21"/>
                <w:highlight w:val="none"/>
              </w:rPr>
            </w:pPr>
            <w:r>
              <w:rPr>
                <w:rFonts w:hint="default" w:ascii="Times New Roman" w:hAnsi="Times New Roman" w:eastAsia="宋体" w:cs="Times New Roman"/>
                <w:b/>
                <w:bCs/>
                <w:caps w:val="0"/>
                <w:smallCaps w:val="0"/>
                <w:color w:val="000000"/>
                <w:sz w:val="21"/>
                <w:szCs w:val="21"/>
                <w:highlight w:val="none"/>
              </w:rPr>
              <w:t>占用比例（%）</w:t>
            </w:r>
          </w:p>
        </w:tc>
      </w:tr>
      <w:tr w14:paraId="3D346C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6" w:type="dxa"/>
            <w:vMerge w:val="restart"/>
            <w:tcBorders>
              <w:tl2br w:val="nil"/>
              <w:tr2bl w:val="nil"/>
            </w:tcBorders>
            <w:noWrap w:val="0"/>
            <w:vAlign w:val="center"/>
          </w:tcPr>
          <w:p w14:paraId="53078384">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rPr>
              <w:t>自然植被</w:t>
            </w:r>
          </w:p>
        </w:tc>
        <w:tc>
          <w:tcPr>
            <w:tcW w:w="836" w:type="dxa"/>
            <w:vMerge w:val="restart"/>
            <w:tcBorders>
              <w:tl2br w:val="nil"/>
              <w:tr2bl w:val="nil"/>
            </w:tcBorders>
            <w:noWrap w:val="0"/>
            <w:vAlign w:val="center"/>
          </w:tcPr>
          <w:p w14:paraId="491DD173">
            <w:pPr>
              <w:keepNext w:val="0"/>
              <w:keepLines w:val="0"/>
              <w:numPr>
                <w:ilvl w:val="0"/>
                <w:numId w:val="15"/>
              </w:numPr>
              <w:suppressLineNumbers w:val="0"/>
              <w:tabs>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阔叶林</w:t>
            </w:r>
          </w:p>
        </w:tc>
        <w:tc>
          <w:tcPr>
            <w:tcW w:w="976" w:type="dxa"/>
            <w:vMerge w:val="restart"/>
            <w:tcBorders>
              <w:tl2br w:val="nil"/>
              <w:tr2bl w:val="nil"/>
            </w:tcBorders>
            <w:noWrap w:val="0"/>
            <w:vAlign w:val="center"/>
          </w:tcPr>
          <w:p w14:paraId="776CAF87">
            <w:pPr>
              <w:keepNext w:val="0"/>
              <w:keepLines w:val="0"/>
              <w:numPr>
                <w:ilvl w:val="0"/>
                <w:numId w:val="16"/>
              </w:numPr>
              <w:suppressLineNumbers w:val="0"/>
              <w:tabs>
                <w:tab w:val="left" w:pos="420"/>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常绿阔叶林</w:t>
            </w:r>
          </w:p>
        </w:tc>
        <w:tc>
          <w:tcPr>
            <w:tcW w:w="1089" w:type="dxa"/>
            <w:vMerge w:val="restart"/>
            <w:tcBorders>
              <w:tl2br w:val="nil"/>
              <w:tr2bl w:val="nil"/>
            </w:tcBorders>
            <w:noWrap w:val="0"/>
            <w:vAlign w:val="center"/>
          </w:tcPr>
          <w:p w14:paraId="7D7B70E0">
            <w:pPr>
              <w:keepNext w:val="0"/>
              <w:keepLines w:val="0"/>
              <w:numPr>
                <w:ilvl w:val="0"/>
                <w:numId w:val="17"/>
              </w:numPr>
              <w:suppressLineNumbers w:val="0"/>
              <w:tabs>
                <w:tab w:val="left" w:pos="317"/>
                <w:tab w:val="left" w:pos="420"/>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低山丘陵常绿阔叶林</w:t>
            </w:r>
          </w:p>
        </w:tc>
        <w:tc>
          <w:tcPr>
            <w:tcW w:w="1484" w:type="dxa"/>
            <w:tcBorders>
              <w:tl2br w:val="nil"/>
              <w:tr2bl w:val="nil"/>
            </w:tcBorders>
            <w:noWrap w:val="0"/>
            <w:vAlign w:val="center"/>
          </w:tcPr>
          <w:p w14:paraId="4E902B0A">
            <w:pPr>
              <w:keepNext w:val="0"/>
              <w:keepLines w:val="0"/>
              <w:numPr>
                <w:ilvl w:val="0"/>
                <w:numId w:val="18"/>
              </w:numPr>
              <w:suppressLineNumbers w:val="0"/>
              <w:tabs>
                <w:tab w:val="left" w:pos="317"/>
              </w:tabs>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color w:val="auto"/>
                <w:sz w:val="21"/>
                <w:szCs w:val="24"/>
                <w:highlight w:val="none"/>
                <w:u w:val="none"/>
                <w:lang w:eastAsia="zh-CN"/>
              </w:rPr>
            </w:pPr>
            <w:r>
              <w:rPr>
                <w:rFonts w:hint="default" w:ascii="Times New Roman" w:hAnsi="Times New Roman" w:eastAsia="宋体" w:cs="Times New Roman"/>
                <w:caps w:val="0"/>
                <w:smallCaps w:val="0"/>
                <w:color w:val="auto"/>
                <w:sz w:val="21"/>
                <w:szCs w:val="24"/>
                <w:highlight w:val="none"/>
                <w:u w:val="none"/>
                <w:lang w:val="en-US" w:eastAsia="zh-CN"/>
              </w:rPr>
              <w:t>锥栗群系</w:t>
            </w:r>
          </w:p>
        </w:tc>
        <w:tc>
          <w:tcPr>
            <w:tcW w:w="1797" w:type="dxa"/>
            <w:tcBorders>
              <w:tl2br w:val="nil"/>
              <w:tr2bl w:val="nil"/>
            </w:tcBorders>
            <w:noWrap w:val="0"/>
            <w:vAlign w:val="center"/>
          </w:tcPr>
          <w:p w14:paraId="6A1EF009">
            <w:pPr>
              <w:keepNext w:val="0"/>
              <w:keepLines w:val="0"/>
              <w:suppressLineNumbers w:val="0"/>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color w:val="auto"/>
                <w:sz w:val="21"/>
                <w:szCs w:val="24"/>
                <w:highlight w:val="none"/>
                <w:u w:val="none"/>
              </w:rPr>
            </w:pPr>
            <w:r>
              <w:rPr>
                <w:rFonts w:hint="default" w:ascii="Times New Roman" w:hAnsi="Times New Roman" w:eastAsia="宋体" w:cs="Times New Roman"/>
                <w:caps w:val="0"/>
                <w:smallCaps w:val="0"/>
                <w:color w:val="auto"/>
                <w:sz w:val="21"/>
                <w:szCs w:val="24"/>
                <w:highlight w:val="none"/>
                <w:u w:val="none"/>
              </w:rPr>
              <w:t>评价区内</w:t>
            </w:r>
            <w:r>
              <w:rPr>
                <w:rFonts w:hint="default" w:ascii="Times New Roman" w:hAnsi="Times New Roman" w:eastAsia="宋体" w:cs="Times New Roman"/>
                <w:caps w:val="0"/>
                <w:smallCaps w:val="0"/>
                <w:color w:val="auto"/>
                <w:sz w:val="21"/>
                <w:szCs w:val="24"/>
                <w:highlight w:val="none"/>
                <w:u w:val="none"/>
                <w:lang w:val="en-US" w:eastAsia="zh-CN"/>
              </w:rPr>
              <w:t>大量</w:t>
            </w:r>
            <w:r>
              <w:rPr>
                <w:rFonts w:hint="default" w:ascii="Times New Roman" w:hAnsi="Times New Roman" w:eastAsia="宋体" w:cs="Times New Roman"/>
                <w:caps w:val="0"/>
                <w:smallCaps w:val="0"/>
                <w:color w:val="auto"/>
                <w:sz w:val="21"/>
                <w:szCs w:val="24"/>
                <w:highlight w:val="none"/>
                <w:u w:val="none"/>
              </w:rPr>
              <w:t>分布</w:t>
            </w:r>
          </w:p>
        </w:tc>
        <w:tc>
          <w:tcPr>
            <w:tcW w:w="981" w:type="dxa"/>
            <w:tcBorders>
              <w:tl2br w:val="nil"/>
              <w:tr2bl w:val="nil"/>
            </w:tcBorders>
            <w:noWrap w:val="0"/>
            <w:vAlign w:val="center"/>
          </w:tcPr>
          <w:p w14:paraId="47AE03F4">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rPr>
              <w:t>/</w:t>
            </w:r>
          </w:p>
        </w:tc>
        <w:tc>
          <w:tcPr>
            <w:tcW w:w="843" w:type="dxa"/>
            <w:tcBorders>
              <w:tl2br w:val="nil"/>
              <w:tr2bl w:val="nil"/>
            </w:tcBorders>
            <w:noWrap w:val="0"/>
            <w:vAlign w:val="center"/>
          </w:tcPr>
          <w:p w14:paraId="72F69D6E">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rPr>
              <w:t>/</w:t>
            </w:r>
          </w:p>
        </w:tc>
      </w:tr>
      <w:tr w14:paraId="5314A6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6" w:type="dxa"/>
            <w:vMerge w:val="continue"/>
            <w:tcBorders>
              <w:tl2br w:val="nil"/>
              <w:tr2bl w:val="nil"/>
            </w:tcBorders>
            <w:noWrap w:val="0"/>
            <w:vAlign w:val="center"/>
          </w:tcPr>
          <w:p w14:paraId="6AB248E6">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836" w:type="dxa"/>
            <w:vMerge w:val="continue"/>
            <w:tcBorders>
              <w:tl2br w:val="nil"/>
              <w:tr2bl w:val="nil"/>
            </w:tcBorders>
            <w:noWrap w:val="0"/>
            <w:vAlign w:val="center"/>
          </w:tcPr>
          <w:p w14:paraId="5C4320AB">
            <w:pPr>
              <w:keepNext w:val="0"/>
              <w:keepLines w:val="0"/>
              <w:numPr>
                <w:ilvl w:val="0"/>
                <w:numId w:val="15"/>
              </w:numPr>
              <w:suppressLineNumbers w:val="0"/>
              <w:tabs>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sz w:val="21"/>
                <w:szCs w:val="21"/>
                <w:lang w:val="en-US" w:eastAsia="zh-CN"/>
              </w:rPr>
            </w:pPr>
          </w:p>
        </w:tc>
        <w:tc>
          <w:tcPr>
            <w:tcW w:w="976" w:type="dxa"/>
            <w:vMerge w:val="continue"/>
            <w:tcBorders>
              <w:tl2br w:val="nil"/>
              <w:tr2bl w:val="nil"/>
            </w:tcBorders>
            <w:noWrap w:val="0"/>
            <w:vAlign w:val="center"/>
          </w:tcPr>
          <w:p w14:paraId="4CD57E8D">
            <w:pPr>
              <w:keepNext w:val="0"/>
              <w:keepLines w:val="0"/>
              <w:suppressLineNumbers w:val="0"/>
              <w:tabs>
                <w:tab w:val="left" w:pos="420"/>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sz w:val="21"/>
                <w:szCs w:val="21"/>
                <w:lang w:val="en-US" w:eastAsia="zh-CN"/>
              </w:rPr>
            </w:pPr>
          </w:p>
        </w:tc>
        <w:tc>
          <w:tcPr>
            <w:tcW w:w="1089" w:type="dxa"/>
            <w:vMerge w:val="continue"/>
            <w:tcBorders>
              <w:tl2br w:val="nil"/>
              <w:tr2bl w:val="nil"/>
            </w:tcBorders>
            <w:noWrap w:val="0"/>
            <w:vAlign w:val="center"/>
          </w:tcPr>
          <w:p w14:paraId="411CF43E">
            <w:pPr>
              <w:keepNext w:val="0"/>
              <w:keepLines w:val="0"/>
              <w:suppressLineNumbers w:val="0"/>
              <w:tabs>
                <w:tab w:val="left" w:pos="317"/>
                <w:tab w:val="left" w:pos="420"/>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sz w:val="21"/>
                <w:szCs w:val="21"/>
                <w:lang w:val="en-US" w:eastAsia="zh-CN"/>
              </w:rPr>
            </w:pPr>
          </w:p>
        </w:tc>
        <w:tc>
          <w:tcPr>
            <w:tcW w:w="1484" w:type="dxa"/>
            <w:tcBorders>
              <w:tl2br w:val="nil"/>
              <w:tr2bl w:val="nil"/>
            </w:tcBorders>
            <w:noWrap w:val="0"/>
            <w:vAlign w:val="center"/>
          </w:tcPr>
          <w:p w14:paraId="1B198ED5">
            <w:pPr>
              <w:keepNext w:val="0"/>
              <w:keepLines w:val="0"/>
              <w:numPr>
                <w:ilvl w:val="0"/>
                <w:numId w:val="18"/>
              </w:numPr>
              <w:suppressLineNumbers w:val="0"/>
              <w:tabs>
                <w:tab w:val="left" w:pos="317"/>
              </w:tabs>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color w:val="auto"/>
                <w:sz w:val="21"/>
                <w:szCs w:val="24"/>
                <w:highlight w:val="none"/>
                <w:u w:val="none"/>
                <w:lang w:val="en-US" w:eastAsia="zh-CN"/>
              </w:rPr>
            </w:pPr>
            <w:r>
              <w:rPr>
                <w:rFonts w:hint="default" w:ascii="Times New Roman" w:hAnsi="Times New Roman" w:eastAsia="宋体" w:cs="Times New Roman"/>
                <w:caps w:val="0"/>
                <w:smallCaps w:val="0"/>
                <w:color w:val="auto"/>
                <w:sz w:val="21"/>
                <w:szCs w:val="24"/>
                <w:highlight w:val="none"/>
                <w:u w:val="none"/>
                <w:lang w:val="en-US" w:eastAsia="zh-CN"/>
              </w:rPr>
              <w:t>构树群系</w:t>
            </w:r>
          </w:p>
        </w:tc>
        <w:tc>
          <w:tcPr>
            <w:tcW w:w="1797" w:type="dxa"/>
            <w:tcBorders>
              <w:tl2br w:val="nil"/>
              <w:tr2bl w:val="nil"/>
            </w:tcBorders>
            <w:noWrap w:val="0"/>
            <w:vAlign w:val="center"/>
          </w:tcPr>
          <w:p w14:paraId="74D4B425">
            <w:pPr>
              <w:keepNext w:val="0"/>
              <w:keepLines w:val="0"/>
              <w:suppressLineNumbers w:val="0"/>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color w:val="auto"/>
                <w:sz w:val="21"/>
                <w:szCs w:val="24"/>
                <w:highlight w:val="none"/>
                <w:u w:val="none"/>
              </w:rPr>
            </w:pPr>
            <w:r>
              <w:rPr>
                <w:rFonts w:hint="default" w:ascii="Times New Roman" w:hAnsi="Times New Roman" w:eastAsia="宋体" w:cs="Times New Roman"/>
                <w:caps w:val="0"/>
                <w:smallCaps w:val="0"/>
                <w:color w:val="auto"/>
                <w:sz w:val="21"/>
                <w:szCs w:val="24"/>
                <w:highlight w:val="none"/>
                <w:u w:val="none"/>
              </w:rPr>
              <w:t>评价区内</w:t>
            </w:r>
            <w:r>
              <w:rPr>
                <w:rFonts w:hint="default" w:ascii="Times New Roman" w:hAnsi="Times New Roman" w:eastAsia="宋体" w:cs="Times New Roman"/>
                <w:caps w:val="0"/>
                <w:smallCaps w:val="0"/>
                <w:color w:val="auto"/>
                <w:sz w:val="21"/>
                <w:szCs w:val="24"/>
                <w:highlight w:val="none"/>
                <w:u w:val="none"/>
                <w:lang w:val="en-US" w:eastAsia="zh-CN"/>
              </w:rPr>
              <w:t>大量</w:t>
            </w:r>
            <w:r>
              <w:rPr>
                <w:rFonts w:hint="default" w:ascii="Times New Roman" w:hAnsi="Times New Roman" w:eastAsia="宋体" w:cs="Times New Roman"/>
                <w:caps w:val="0"/>
                <w:smallCaps w:val="0"/>
                <w:color w:val="auto"/>
                <w:sz w:val="21"/>
                <w:szCs w:val="24"/>
                <w:highlight w:val="none"/>
                <w:u w:val="none"/>
              </w:rPr>
              <w:t>分布</w:t>
            </w:r>
          </w:p>
        </w:tc>
        <w:tc>
          <w:tcPr>
            <w:tcW w:w="981" w:type="dxa"/>
            <w:tcBorders>
              <w:tl2br w:val="nil"/>
              <w:tr2bl w:val="nil"/>
            </w:tcBorders>
            <w:noWrap w:val="0"/>
            <w:vAlign w:val="center"/>
          </w:tcPr>
          <w:p w14:paraId="2CB142EA">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rPr>
              <w:t>/</w:t>
            </w:r>
          </w:p>
        </w:tc>
        <w:tc>
          <w:tcPr>
            <w:tcW w:w="843" w:type="dxa"/>
            <w:tcBorders>
              <w:tl2br w:val="nil"/>
              <w:tr2bl w:val="nil"/>
            </w:tcBorders>
            <w:noWrap w:val="0"/>
            <w:vAlign w:val="center"/>
          </w:tcPr>
          <w:p w14:paraId="2229C2C7">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rPr>
              <w:t>/</w:t>
            </w:r>
          </w:p>
        </w:tc>
      </w:tr>
      <w:tr w14:paraId="4CD661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6" w:type="dxa"/>
            <w:vMerge w:val="continue"/>
            <w:tcBorders>
              <w:tl2br w:val="nil"/>
              <w:tr2bl w:val="nil"/>
            </w:tcBorders>
            <w:noWrap w:val="0"/>
            <w:vAlign w:val="center"/>
          </w:tcPr>
          <w:p w14:paraId="1D47DB4E">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836" w:type="dxa"/>
            <w:vMerge w:val="continue"/>
            <w:tcBorders>
              <w:tl2br w:val="nil"/>
              <w:tr2bl w:val="nil"/>
            </w:tcBorders>
            <w:noWrap w:val="0"/>
            <w:vAlign w:val="center"/>
          </w:tcPr>
          <w:p w14:paraId="25535AF7">
            <w:pPr>
              <w:keepNext w:val="0"/>
              <w:keepLines w:val="0"/>
              <w:numPr>
                <w:ilvl w:val="0"/>
                <w:numId w:val="15"/>
              </w:numPr>
              <w:suppressLineNumbers w:val="0"/>
              <w:tabs>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sz w:val="21"/>
                <w:szCs w:val="21"/>
                <w:lang w:val="en-US" w:eastAsia="zh-CN"/>
              </w:rPr>
            </w:pPr>
          </w:p>
        </w:tc>
        <w:tc>
          <w:tcPr>
            <w:tcW w:w="976" w:type="dxa"/>
            <w:tcBorders>
              <w:tl2br w:val="nil"/>
              <w:tr2bl w:val="nil"/>
            </w:tcBorders>
            <w:noWrap w:val="0"/>
            <w:vAlign w:val="center"/>
          </w:tcPr>
          <w:p w14:paraId="17C61AB8">
            <w:pPr>
              <w:keepNext w:val="0"/>
              <w:keepLines w:val="0"/>
              <w:numPr>
                <w:ilvl w:val="0"/>
                <w:numId w:val="16"/>
              </w:numPr>
              <w:suppressLineNumbers w:val="0"/>
              <w:tabs>
                <w:tab w:val="left" w:pos="420"/>
                <w:tab w:val="left" w:pos="1021"/>
              </w:tabs>
              <w:spacing w:before="0" w:beforeAutospacing="0" w:after="0" w:afterAutospacing="0" w:line="240" w:lineRule="auto"/>
              <w:ind w:left="0" w:leftChars="0" w:right="0" w:rightChars="0" w:firstLine="0" w:firstLineChars="0"/>
              <w:jc w:val="both"/>
              <w:rPr>
                <w:rFonts w:hint="default" w:ascii="Times New Roman" w:hAnsi="Times New Roman" w:eastAsia="宋体" w:cs="Times New Roman"/>
                <w:caps w:val="0"/>
                <w:smallCaps w:val="0"/>
                <w:kern w:val="2"/>
                <w:sz w:val="21"/>
                <w:szCs w:val="21"/>
                <w:lang w:val="en-US" w:eastAsia="zh-CN" w:bidi="ar-SA"/>
              </w:rPr>
            </w:pPr>
            <w:r>
              <w:rPr>
                <w:rFonts w:hint="default" w:ascii="Times New Roman" w:hAnsi="Times New Roman" w:eastAsia="宋体" w:cs="Times New Roman"/>
                <w:caps w:val="0"/>
                <w:smallCaps w:val="0"/>
                <w:sz w:val="21"/>
                <w:szCs w:val="21"/>
                <w:lang w:val="en-US" w:eastAsia="zh-CN"/>
              </w:rPr>
              <w:t>竹林</w:t>
            </w:r>
          </w:p>
        </w:tc>
        <w:tc>
          <w:tcPr>
            <w:tcW w:w="1089" w:type="dxa"/>
            <w:tcBorders>
              <w:tl2br w:val="nil"/>
              <w:tr2bl w:val="nil"/>
            </w:tcBorders>
            <w:noWrap w:val="0"/>
            <w:vAlign w:val="center"/>
          </w:tcPr>
          <w:p w14:paraId="2F7D16CA">
            <w:pPr>
              <w:keepNext w:val="0"/>
              <w:keepLines w:val="0"/>
              <w:numPr>
                <w:ilvl w:val="0"/>
                <w:numId w:val="17"/>
              </w:numPr>
              <w:suppressLineNumbers w:val="0"/>
              <w:tabs>
                <w:tab w:val="left" w:pos="317"/>
                <w:tab w:val="left" w:pos="420"/>
                <w:tab w:val="left" w:pos="1021"/>
              </w:tabs>
              <w:spacing w:before="0" w:beforeAutospacing="0" w:after="0" w:afterAutospacing="0" w:line="240" w:lineRule="auto"/>
              <w:ind w:left="0" w:leftChars="0" w:right="0" w:rightChars="0" w:firstLine="0" w:firstLineChars="0"/>
              <w:jc w:val="both"/>
              <w:rPr>
                <w:rFonts w:hint="default" w:ascii="Times New Roman" w:hAnsi="Times New Roman" w:eastAsia="宋体" w:cs="Times New Roman"/>
                <w:caps w:val="0"/>
                <w:smallCaps w:val="0"/>
                <w:kern w:val="2"/>
                <w:sz w:val="21"/>
                <w:szCs w:val="21"/>
                <w:lang w:val="en-US" w:eastAsia="zh-CN" w:bidi="ar-SA"/>
              </w:rPr>
            </w:pPr>
            <w:r>
              <w:rPr>
                <w:rFonts w:hint="default" w:ascii="Times New Roman" w:hAnsi="Times New Roman" w:eastAsia="宋体" w:cs="Times New Roman"/>
                <w:caps w:val="0"/>
                <w:smallCaps w:val="0"/>
                <w:sz w:val="21"/>
                <w:szCs w:val="21"/>
                <w:lang w:val="en-US" w:eastAsia="zh-CN"/>
              </w:rPr>
              <w:t>低山丘陵竹林</w:t>
            </w:r>
          </w:p>
        </w:tc>
        <w:tc>
          <w:tcPr>
            <w:tcW w:w="1484" w:type="dxa"/>
            <w:tcBorders>
              <w:tl2br w:val="nil"/>
              <w:tr2bl w:val="nil"/>
            </w:tcBorders>
            <w:noWrap w:val="0"/>
            <w:vAlign w:val="center"/>
          </w:tcPr>
          <w:p w14:paraId="416189FA">
            <w:pPr>
              <w:keepNext w:val="0"/>
              <w:keepLines w:val="0"/>
              <w:numPr>
                <w:ilvl w:val="0"/>
                <w:numId w:val="18"/>
              </w:numPr>
              <w:suppressLineNumbers w:val="0"/>
              <w:tabs>
                <w:tab w:val="left" w:pos="317"/>
              </w:tabs>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color w:val="auto"/>
                <w:kern w:val="2"/>
                <w:sz w:val="21"/>
                <w:szCs w:val="24"/>
                <w:highlight w:val="none"/>
                <w:u w:val="none"/>
                <w:lang w:val="en-US" w:eastAsia="zh-CN" w:bidi="ar-SA"/>
              </w:rPr>
            </w:pPr>
            <w:r>
              <w:rPr>
                <w:rFonts w:hint="default" w:ascii="Times New Roman" w:hAnsi="Times New Roman" w:eastAsia="宋体" w:cs="Times New Roman"/>
                <w:caps w:val="0"/>
                <w:smallCaps w:val="0"/>
                <w:color w:val="auto"/>
                <w:sz w:val="21"/>
                <w:szCs w:val="24"/>
                <w:highlight w:val="none"/>
                <w:u w:val="none"/>
                <w:lang w:val="en-US" w:eastAsia="zh-CN"/>
              </w:rPr>
              <w:t>毛竹群系</w:t>
            </w:r>
          </w:p>
        </w:tc>
        <w:tc>
          <w:tcPr>
            <w:tcW w:w="1797" w:type="dxa"/>
            <w:tcBorders>
              <w:tl2br w:val="nil"/>
              <w:tr2bl w:val="nil"/>
            </w:tcBorders>
            <w:noWrap w:val="0"/>
            <w:vAlign w:val="center"/>
          </w:tcPr>
          <w:p w14:paraId="275E68D9">
            <w:pPr>
              <w:keepNext w:val="0"/>
              <w:keepLines w:val="0"/>
              <w:suppressLineNumbers w:val="0"/>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color w:val="auto"/>
                <w:kern w:val="2"/>
                <w:sz w:val="21"/>
                <w:szCs w:val="24"/>
                <w:highlight w:val="none"/>
                <w:u w:val="none"/>
                <w:lang w:val="en-US" w:eastAsia="zh-CN" w:bidi="ar-SA"/>
              </w:rPr>
            </w:pPr>
            <w:r>
              <w:rPr>
                <w:rFonts w:hint="default" w:ascii="Times New Roman" w:hAnsi="Times New Roman" w:eastAsia="宋体" w:cs="Times New Roman"/>
                <w:caps w:val="0"/>
                <w:smallCaps w:val="0"/>
                <w:sz w:val="21"/>
                <w:szCs w:val="21"/>
                <w:lang w:eastAsia="zh-CN"/>
              </w:rPr>
              <w:t>评价区内广泛分布</w:t>
            </w:r>
          </w:p>
        </w:tc>
        <w:tc>
          <w:tcPr>
            <w:tcW w:w="981" w:type="dxa"/>
            <w:tcBorders>
              <w:tl2br w:val="nil"/>
              <w:tr2bl w:val="nil"/>
            </w:tcBorders>
            <w:noWrap w:val="0"/>
            <w:vAlign w:val="center"/>
          </w:tcPr>
          <w:p w14:paraId="40CCDF71">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rPr>
              <w:t>/</w:t>
            </w:r>
          </w:p>
        </w:tc>
        <w:tc>
          <w:tcPr>
            <w:tcW w:w="843" w:type="dxa"/>
            <w:tcBorders>
              <w:tl2br w:val="nil"/>
              <w:tr2bl w:val="nil"/>
            </w:tcBorders>
            <w:noWrap w:val="0"/>
            <w:vAlign w:val="center"/>
          </w:tcPr>
          <w:p w14:paraId="3B0877D5">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rPr>
              <w:t>/</w:t>
            </w:r>
          </w:p>
        </w:tc>
      </w:tr>
      <w:tr w14:paraId="1A9EC6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6" w:type="dxa"/>
            <w:vMerge w:val="continue"/>
            <w:tcBorders>
              <w:tl2br w:val="nil"/>
              <w:tr2bl w:val="nil"/>
            </w:tcBorders>
            <w:noWrap w:val="0"/>
            <w:vAlign w:val="center"/>
          </w:tcPr>
          <w:p w14:paraId="6F1C6290">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836" w:type="dxa"/>
            <w:vMerge w:val="restart"/>
            <w:tcBorders>
              <w:tl2br w:val="nil"/>
              <w:tr2bl w:val="nil"/>
            </w:tcBorders>
            <w:noWrap w:val="0"/>
            <w:vAlign w:val="center"/>
          </w:tcPr>
          <w:p w14:paraId="360FC500">
            <w:pPr>
              <w:keepNext w:val="0"/>
              <w:keepLines w:val="0"/>
              <w:numPr>
                <w:ilvl w:val="0"/>
                <w:numId w:val="15"/>
              </w:numPr>
              <w:suppressLineNumbers w:val="0"/>
              <w:tabs>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color w:val="auto"/>
                <w:sz w:val="21"/>
                <w:szCs w:val="24"/>
                <w:highlight w:val="none"/>
                <w:u w:val="none"/>
                <w:lang w:val="en-US" w:eastAsia="zh-CN"/>
              </w:rPr>
            </w:pPr>
            <w:r>
              <w:rPr>
                <w:rFonts w:hint="default" w:ascii="Times New Roman" w:hAnsi="Times New Roman" w:eastAsia="宋体" w:cs="Times New Roman"/>
                <w:caps w:val="0"/>
                <w:smallCaps w:val="0"/>
                <w:color w:val="auto"/>
                <w:sz w:val="21"/>
                <w:szCs w:val="24"/>
                <w:highlight w:val="none"/>
                <w:u w:val="none"/>
                <w:lang w:val="en-US" w:eastAsia="zh-CN"/>
              </w:rPr>
              <w:t>灌丛和灌草丛</w:t>
            </w:r>
          </w:p>
        </w:tc>
        <w:tc>
          <w:tcPr>
            <w:tcW w:w="976" w:type="dxa"/>
            <w:vMerge w:val="restart"/>
            <w:tcBorders>
              <w:tl2br w:val="nil"/>
              <w:tr2bl w:val="nil"/>
            </w:tcBorders>
            <w:noWrap w:val="0"/>
            <w:vAlign w:val="center"/>
          </w:tcPr>
          <w:p w14:paraId="396B5AFD">
            <w:pPr>
              <w:keepNext w:val="0"/>
              <w:keepLines w:val="0"/>
              <w:numPr>
                <w:ilvl w:val="0"/>
                <w:numId w:val="16"/>
              </w:numPr>
              <w:suppressLineNumbers w:val="0"/>
              <w:tabs>
                <w:tab w:val="left" w:pos="420"/>
                <w:tab w:val="left" w:pos="1021"/>
              </w:tabs>
              <w:spacing w:before="0" w:beforeAutospacing="0" w:after="0" w:afterAutospacing="0" w:line="240" w:lineRule="auto"/>
              <w:ind w:left="0" w:leftChars="0" w:right="0" w:rightChars="0" w:firstLine="0" w:firstLineChars="0"/>
              <w:jc w:val="both"/>
              <w:rPr>
                <w:rFonts w:hint="default" w:ascii="Times New Roman" w:hAnsi="Times New Roman" w:eastAsia="宋体" w:cs="Times New Roman"/>
                <w:caps w:val="0"/>
                <w:smallCaps w:val="0"/>
                <w:color w:val="auto"/>
                <w:kern w:val="2"/>
                <w:sz w:val="21"/>
                <w:szCs w:val="24"/>
                <w:highlight w:val="none"/>
                <w:u w:val="none"/>
                <w:lang w:val="en-US" w:eastAsia="zh-CN" w:bidi="ar-SA"/>
              </w:rPr>
            </w:pPr>
            <w:r>
              <w:rPr>
                <w:rFonts w:hint="default" w:ascii="Times New Roman" w:hAnsi="Times New Roman" w:eastAsia="宋体" w:cs="Times New Roman"/>
                <w:caps w:val="0"/>
                <w:smallCaps w:val="0"/>
                <w:color w:val="auto"/>
                <w:sz w:val="21"/>
                <w:szCs w:val="24"/>
                <w:highlight w:val="none"/>
                <w:u w:val="none"/>
                <w:lang w:val="en-US" w:eastAsia="zh-CN"/>
              </w:rPr>
              <w:t>灌丛</w:t>
            </w:r>
          </w:p>
        </w:tc>
        <w:tc>
          <w:tcPr>
            <w:tcW w:w="1089" w:type="dxa"/>
            <w:vMerge w:val="restart"/>
            <w:tcBorders>
              <w:tl2br w:val="nil"/>
              <w:tr2bl w:val="nil"/>
            </w:tcBorders>
            <w:noWrap w:val="0"/>
            <w:vAlign w:val="center"/>
          </w:tcPr>
          <w:p w14:paraId="736223D1">
            <w:pPr>
              <w:keepNext w:val="0"/>
              <w:keepLines w:val="0"/>
              <w:numPr>
                <w:ilvl w:val="0"/>
                <w:numId w:val="17"/>
              </w:numPr>
              <w:suppressLineNumbers w:val="0"/>
              <w:tabs>
                <w:tab w:val="left" w:pos="317"/>
                <w:tab w:val="left" w:pos="420"/>
                <w:tab w:val="left" w:pos="1021"/>
              </w:tabs>
              <w:spacing w:before="0" w:beforeAutospacing="0" w:after="0" w:afterAutospacing="0" w:line="240" w:lineRule="auto"/>
              <w:ind w:left="0" w:leftChars="0" w:right="0" w:rightChars="0" w:firstLine="0" w:firstLineChars="0"/>
              <w:jc w:val="both"/>
              <w:rPr>
                <w:rFonts w:hint="default" w:ascii="Times New Roman" w:hAnsi="Times New Roman" w:eastAsia="宋体" w:cs="Times New Roman"/>
                <w:caps w:val="0"/>
                <w:smallCaps w:val="0"/>
                <w:kern w:val="2"/>
                <w:sz w:val="21"/>
                <w:szCs w:val="21"/>
                <w:lang w:val="en-US" w:eastAsia="zh-CN" w:bidi="ar-SA"/>
              </w:rPr>
            </w:pPr>
            <w:r>
              <w:rPr>
                <w:rFonts w:hint="default" w:ascii="Times New Roman" w:hAnsi="Times New Roman" w:eastAsia="宋体" w:cs="Times New Roman"/>
                <w:caps w:val="0"/>
                <w:smallCaps w:val="0"/>
                <w:sz w:val="21"/>
                <w:szCs w:val="21"/>
                <w:lang w:eastAsia="zh-CN"/>
              </w:rPr>
              <w:t>暖性灌丛</w:t>
            </w:r>
          </w:p>
        </w:tc>
        <w:tc>
          <w:tcPr>
            <w:tcW w:w="1484" w:type="dxa"/>
            <w:tcBorders>
              <w:tl2br w:val="nil"/>
              <w:tr2bl w:val="nil"/>
            </w:tcBorders>
            <w:noWrap w:val="0"/>
            <w:vAlign w:val="center"/>
          </w:tcPr>
          <w:p w14:paraId="6A981563">
            <w:pPr>
              <w:keepNext w:val="0"/>
              <w:keepLines w:val="0"/>
              <w:numPr>
                <w:ilvl w:val="0"/>
                <w:numId w:val="18"/>
              </w:numPr>
              <w:suppressLineNumbers w:val="0"/>
              <w:tabs>
                <w:tab w:val="left" w:pos="317"/>
              </w:tabs>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盐麸木群系</w:t>
            </w:r>
          </w:p>
        </w:tc>
        <w:tc>
          <w:tcPr>
            <w:tcW w:w="1797" w:type="dxa"/>
            <w:tcBorders>
              <w:tl2br w:val="nil"/>
              <w:tr2bl w:val="nil"/>
            </w:tcBorders>
            <w:noWrap w:val="0"/>
            <w:vAlign w:val="center"/>
          </w:tcPr>
          <w:p w14:paraId="392139BF">
            <w:pPr>
              <w:keepNext w:val="0"/>
              <w:keepLines w:val="0"/>
              <w:suppressLineNumbers w:val="0"/>
              <w:snapToGrid w:val="0"/>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eastAsia="zh-CN"/>
              </w:rPr>
              <w:t>评价区内广泛分布</w:t>
            </w:r>
          </w:p>
        </w:tc>
        <w:tc>
          <w:tcPr>
            <w:tcW w:w="981" w:type="dxa"/>
            <w:tcBorders>
              <w:tl2br w:val="nil"/>
              <w:tr2bl w:val="nil"/>
            </w:tcBorders>
            <w:noWrap w:val="0"/>
            <w:vAlign w:val="center"/>
          </w:tcPr>
          <w:p w14:paraId="5C79AEA8">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rPr>
              <w:t>/</w:t>
            </w:r>
          </w:p>
        </w:tc>
        <w:tc>
          <w:tcPr>
            <w:tcW w:w="843" w:type="dxa"/>
            <w:tcBorders>
              <w:tl2br w:val="nil"/>
              <w:tr2bl w:val="nil"/>
            </w:tcBorders>
            <w:noWrap w:val="0"/>
            <w:vAlign w:val="center"/>
          </w:tcPr>
          <w:p w14:paraId="6C80AC5A">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rPr>
              <w:t>/</w:t>
            </w:r>
          </w:p>
        </w:tc>
      </w:tr>
      <w:tr w14:paraId="521C54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6" w:type="dxa"/>
            <w:vMerge w:val="continue"/>
            <w:tcBorders>
              <w:tl2br w:val="nil"/>
              <w:tr2bl w:val="nil"/>
            </w:tcBorders>
            <w:noWrap w:val="0"/>
            <w:vAlign w:val="center"/>
          </w:tcPr>
          <w:p w14:paraId="1496588B">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836" w:type="dxa"/>
            <w:vMerge w:val="continue"/>
            <w:tcBorders>
              <w:tl2br w:val="nil"/>
              <w:tr2bl w:val="nil"/>
            </w:tcBorders>
            <w:noWrap w:val="0"/>
            <w:vAlign w:val="center"/>
          </w:tcPr>
          <w:p w14:paraId="27A81C5C">
            <w:pPr>
              <w:keepNext w:val="0"/>
              <w:keepLines w:val="0"/>
              <w:suppressLineNumbers w:val="0"/>
              <w:tabs>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color w:val="auto"/>
                <w:sz w:val="21"/>
                <w:szCs w:val="24"/>
                <w:highlight w:val="none"/>
                <w:u w:val="none"/>
                <w:lang w:val="en-US" w:eastAsia="zh-CN"/>
              </w:rPr>
            </w:pPr>
          </w:p>
        </w:tc>
        <w:tc>
          <w:tcPr>
            <w:tcW w:w="976" w:type="dxa"/>
            <w:vMerge w:val="continue"/>
            <w:tcBorders>
              <w:tl2br w:val="nil"/>
              <w:tr2bl w:val="nil"/>
            </w:tcBorders>
            <w:noWrap w:val="0"/>
            <w:vAlign w:val="center"/>
          </w:tcPr>
          <w:p w14:paraId="6E66FCFC">
            <w:pPr>
              <w:keepNext w:val="0"/>
              <w:keepLines w:val="0"/>
              <w:numPr>
                <w:ilvl w:val="0"/>
                <w:numId w:val="16"/>
              </w:numPr>
              <w:suppressLineNumbers w:val="0"/>
              <w:tabs>
                <w:tab w:val="left" w:pos="420"/>
                <w:tab w:val="left" w:pos="1021"/>
              </w:tabs>
              <w:spacing w:before="0" w:beforeAutospacing="0" w:after="0" w:afterAutospacing="0" w:line="240" w:lineRule="auto"/>
              <w:ind w:left="0" w:leftChars="0" w:right="0" w:rightChars="0" w:firstLine="0" w:firstLineChars="0"/>
              <w:jc w:val="both"/>
              <w:rPr>
                <w:rFonts w:hint="default" w:ascii="Times New Roman" w:hAnsi="Times New Roman" w:eastAsia="宋体" w:cs="Times New Roman"/>
                <w:caps w:val="0"/>
                <w:smallCaps w:val="0"/>
                <w:color w:val="auto"/>
                <w:sz w:val="21"/>
                <w:szCs w:val="24"/>
                <w:highlight w:val="none"/>
                <w:u w:val="none"/>
                <w:lang w:val="en-US" w:eastAsia="zh-CN"/>
              </w:rPr>
            </w:pPr>
          </w:p>
        </w:tc>
        <w:tc>
          <w:tcPr>
            <w:tcW w:w="1089" w:type="dxa"/>
            <w:vMerge w:val="continue"/>
            <w:tcBorders>
              <w:tl2br w:val="nil"/>
              <w:tr2bl w:val="nil"/>
            </w:tcBorders>
            <w:noWrap w:val="0"/>
            <w:vAlign w:val="center"/>
          </w:tcPr>
          <w:p w14:paraId="773823E5">
            <w:pPr>
              <w:keepNext w:val="0"/>
              <w:keepLines w:val="0"/>
              <w:numPr>
                <w:ilvl w:val="0"/>
                <w:numId w:val="17"/>
              </w:numPr>
              <w:suppressLineNumbers w:val="0"/>
              <w:tabs>
                <w:tab w:val="left" w:pos="317"/>
                <w:tab w:val="left" w:pos="420"/>
                <w:tab w:val="left" w:pos="1021"/>
              </w:tabs>
              <w:spacing w:before="0" w:beforeAutospacing="0" w:after="0" w:afterAutospacing="0" w:line="240" w:lineRule="auto"/>
              <w:ind w:left="0" w:leftChars="0" w:right="0" w:rightChars="0" w:firstLine="0" w:firstLineChars="0"/>
              <w:jc w:val="both"/>
              <w:rPr>
                <w:rFonts w:hint="default" w:ascii="Times New Roman" w:hAnsi="Times New Roman" w:eastAsia="宋体" w:cs="Times New Roman"/>
                <w:caps w:val="0"/>
                <w:smallCaps w:val="0"/>
                <w:sz w:val="21"/>
                <w:szCs w:val="21"/>
                <w:lang w:eastAsia="zh-CN"/>
              </w:rPr>
            </w:pPr>
          </w:p>
        </w:tc>
        <w:tc>
          <w:tcPr>
            <w:tcW w:w="1484" w:type="dxa"/>
            <w:tcBorders>
              <w:tl2br w:val="nil"/>
              <w:tr2bl w:val="nil"/>
            </w:tcBorders>
            <w:noWrap w:val="0"/>
            <w:vAlign w:val="center"/>
          </w:tcPr>
          <w:p w14:paraId="7E71475C">
            <w:pPr>
              <w:keepNext w:val="0"/>
              <w:keepLines w:val="0"/>
              <w:numPr>
                <w:ilvl w:val="0"/>
                <w:numId w:val="18"/>
              </w:numPr>
              <w:suppressLineNumbers w:val="0"/>
              <w:tabs>
                <w:tab w:val="left" w:pos="317"/>
              </w:tabs>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篌竹群系</w:t>
            </w:r>
          </w:p>
        </w:tc>
        <w:tc>
          <w:tcPr>
            <w:tcW w:w="1797" w:type="dxa"/>
            <w:tcBorders>
              <w:tl2br w:val="nil"/>
              <w:tr2bl w:val="nil"/>
            </w:tcBorders>
            <w:noWrap w:val="0"/>
            <w:vAlign w:val="center"/>
          </w:tcPr>
          <w:p w14:paraId="26BE5564">
            <w:pPr>
              <w:keepNext w:val="0"/>
              <w:keepLines w:val="0"/>
              <w:suppressLineNumbers w:val="0"/>
              <w:snapToGrid w:val="0"/>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eastAsia="zh-CN"/>
              </w:rPr>
              <w:t>评价区内广泛分布</w:t>
            </w:r>
          </w:p>
        </w:tc>
        <w:tc>
          <w:tcPr>
            <w:tcW w:w="981" w:type="dxa"/>
            <w:tcBorders>
              <w:tl2br w:val="nil"/>
              <w:tr2bl w:val="nil"/>
            </w:tcBorders>
            <w:noWrap w:val="0"/>
            <w:vAlign w:val="center"/>
          </w:tcPr>
          <w:p w14:paraId="3744EAD2">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rPr>
              <w:t>/</w:t>
            </w:r>
          </w:p>
        </w:tc>
        <w:tc>
          <w:tcPr>
            <w:tcW w:w="843" w:type="dxa"/>
            <w:tcBorders>
              <w:tl2br w:val="nil"/>
              <w:tr2bl w:val="nil"/>
            </w:tcBorders>
            <w:noWrap w:val="0"/>
            <w:vAlign w:val="center"/>
          </w:tcPr>
          <w:p w14:paraId="1E8BC5BD">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rPr>
              <w:t>/</w:t>
            </w:r>
          </w:p>
        </w:tc>
      </w:tr>
      <w:tr w14:paraId="6A3C70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6" w:type="dxa"/>
            <w:vMerge w:val="continue"/>
            <w:tcBorders>
              <w:tl2br w:val="nil"/>
              <w:tr2bl w:val="nil"/>
            </w:tcBorders>
            <w:noWrap w:val="0"/>
            <w:vAlign w:val="center"/>
          </w:tcPr>
          <w:p w14:paraId="5553560E">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836" w:type="dxa"/>
            <w:vMerge w:val="continue"/>
            <w:tcBorders>
              <w:tl2br w:val="nil"/>
              <w:tr2bl w:val="nil"/>
            </w:tcBorders>
            <w:noWrap w:val="0"/>
            <w:vAlign w:val="center"/>
          </w:tcPr>
          <w:p w14:paraId="1C15FF7F">
            <w:pPr>
              <w:keepNext w:val="0"/>
              <w:keepLines w:val="0"/>
              <w:suppressLineNumbers w:val="0"/>
              <w:tabs>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color w:val="auto"/>
                <w:sz w:val="21"/>
                <w:szCs w:val="24"/>
                <w:highlight w:val="none"/>
                <w:u w:val="none"/>
                <w:lang w:val="en-US" w:eastAsia="zh-CN"/>
              </w:rPr>
            </w:pPr>
          </w:p>
        </w:tc>
        <w:tc>
          <w:tcPr>
            <w:tcW w:w="976" w:type="dxa"/>
            <w:vMerge w:val="restart"/>
            <w:tcBorders>
              <w:tl2br w:val="nil"/>
              <w:tr2bl w:val="nil"/>
            </w:tcBorders>
            <w:noWrap w:val="0"/>
            <w:vAlign w:val="center"/>
          </w:tcPr>
          <w:p w14:paraId="6AEB3063">
            <w:pPr>
              <w:keepNext w:val="0"/>
              <w:keepLines w:val="0"/>
              <w:numPr>
                <w:ilvl w:val="0"/>
                <w:numId w:val="16"/>
              </w:numPr>
              <w:suppressLineNumbers w:val="0"/>
              <w:tabs>
                <w:tab w:val="left" w:pos="420"/>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color w:val="auto"/>
                <w:sz w:val="21"/>
                <w:szCs w:val="24"/>
                <w:highlight w:val="none"/>
                <w:u w:val="none"/>
                <w:lang w:val="en-US" w:eastAsia="zh-CN"/>
              </w:rPr>
            </w:pPr>
            <w:r>
              <w:rPr>
                <w:rFonts w:hint="default" w:ascii="Times New Roman" w:hAnsi="Times New Roman" w:eastAsia="宋体" w:cs="Times New Roman"/>
                <w:caps w:val="0"/>
                <w:smallCaps w:val="0"/>
                <w:color w:val="auto"/>
                <w:sz w:val="21"/>
                <w:szCs w:val="24"/>
                <w:highlight w:val="none"/>
                <w:u w:val="none"/>
                <w:lang w:val="en-US" w:eastAsia="zh-CN"/>
              </w:rPr>
              <w:t>灌草丛</w:t>
            </w:r>
          </w:p>
        </w:tc>
        <w:tc>
          <w:tcPr>
            <w:tcW w:w="1089" w:type="dxa"/>
            <w:vMerge w:val="restart"/>
            <w:tcBorders>
              <w:tl2br w:val="nil"/>
              <w:tr2bl w:val="nil"/>
            </w:tcBorders>
            <w:noWrap w:val="0"/>
            <w:vAlign w:val="center"/>
          </w:tcPr>
          <w:p w14:paraId="2A401BBE">
            <w:pPr>
              <w:keepNext w:val="0"/>
              <w:keepLines w:val="0"/>
              <w:numPr>
                <w:ilvl w:val="0"/>
                <w:numId w:val="17"/>
              </w:numPr>
              <w:suppressLineNumbers w:val="0"/>
              <w:tabs>
                <w:tab w:val="left" w:pos="317"/>
                <w:tab w:val="left" w:pos="420"/>
                <w:tab w:val="left" w:pos="1021"/>
              </w:tabs>
              <w:spacing w:before="0" w:beforeAutospacing="0" w:after="0" w:afterAutospacing="0" w:line="240" w:lineRule="auto"/>
              <w:ind w:left="0" w:leftChars="0" w:right="0" w:rightChars="0" w:firstLine="0" w:firstLineChars="0"/>
              <w:jc w:val="both"/>
              <w:rPr>
                <w:rFonts w:hint="default" w:ascii="Times New Roman" w:hAnsi="Times New Roman" w:eastAsia="宋体" w:cs="Times New Roman"/>
                <w:caps w:val="0"/>
                <w:smallCaps w:val="0"/>
                <w:kern w:val="2"/>
                <w:sz w:val="21"/>
                <w:szCs w:val="21"/>
                <w:lang w:val="en-US" w:eastAsia="zh-CN" w:bidi="ar-SA"/>
              </w:rPr>
            </w:pPr>
            <w:r>
              <w:rPr>
                <w:rFonts w:hint="default" w:ascii="Times New Roman" w:hAnsi="Times New Roman" w:eastAsia="宋体" w:cs="Times New Roman"/>
                <w:caps w:val="0"/>
                <w:smallCaps w:val="0"/>
                <w:sz w:val="21"/>
                <w:szCs w:val="21"/>
                <w:lang w:val="en-US" w:eastAsia="zh-CN"/>
              </w:rPr>
              <w:t>暖</w:t>
            </w:r>
            <w:r>
              <w:rPr>
                <w:rFonts w:hint="default" w:ascii="Times New Roman" w:hAnsi="Times New Roman" w:eastAsia="宋体" w:cs="Times New Roman"/>
                <w:caps w:val="0"/>
                <w:smallCaps w:val="0"/>
                <w:sz w:val="21"/>
                <w:szCs w:val="21"/>
                <w:lang w:eastAsia="zh-CN"/>
              </w:rPr>
              <w:t>性灌草丛</w:t>
            </w:r>
          </w:p>
        </w:tc>
        <w:tc>
          <w:tcPr>
            <w:tcW w:w="1484" w:type="dxa"/>
            <w:tcBorders>
              <w:tl2br w:val="nil"/>
              <w:tr2bl w:val="nil"/>
            </w:tcBorders>
            <w:noWrap w:val="0"/>
            <w:vAlign w:val="center"/>
          </w:tcPr>
          <w:p w14:paraId="6515B165">
            <w:pPr>
              <w:keepNext w:val="0"/>
              <w:keepLines w:val="0"/>
              <w:numPr>
                <w:ilvl w:val="0"/>
                <w:numId w:val="18"/>
              </w:numPr>
              <w:suppressLineNumbers w:val="0"/>
              <w:tabs>
                <w:tab w:val="left" w:pos="317"/>
              </w:tabs>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color w:val="auto"/>
                <w:kern w:val="2"/>
                <w:sz w:val="21"/>
                <w:szCs w:val="24"/>
                <w:highlight w:val="none"/>
                <w:u w:val="none"/>
                <w:lang w:val="en-US" w:eastAsia="zh-CN" w:bidi="ar-SA"/>
              </w:rPr>
            </w:pPr>
            <w:r>
              <w:rPr>
                <w:rFonts w:hint="default" w:ascii="Times New Roman" w:hAnsi="Times New Roman" w:eastAsia="宋体" w:cs="Times New Roman"/>
                <w:caps w:val="0"/>
                <w:smallCaps w:val="0"/>
                <w:color w:val="auto"/>
                <w:sz w:val="21"/>
                <w:szCs w:val="24"/>
                <w:highlight w:val="none"/>
                <w:u w:val="none"/>
                <w:lang w:eastAsia="zh-CN"/>
              </w:rPr>
              <w:t>芒群系</w:t>
            </w:r>
          </w:p>
        </w:tc>
        <w:tc>
          <w:tcPr>
            <w:tcW w:w="1797" w:type="dxa"/>
            <w:tcBorders>
              <w:tl2br w:val="nil"/>
              <w:tr2bl w:val="nil"/>
            </w:tcBorders>
            <w:noWrap w:val="0"/>
            <w:vAlign w:val="center"/>
          </w:tcPr>
          <w:p w14:paraId="46787FEC">
            <w:pPr>
              <w:keepNext w:val="0"/>
              <w:keepLines w:val="0"/>
              <w:suppressLineNumbers w:val="0"/>
              <w:snapToGrid w:val="0"/>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color w:val="auto"/>
                <w:kern w:val="2"/>
                <w:sz w:val="21"/>
                <w:szCs w:val="24"/>
                <w:highlight w:val="none"/>
                <w:u w:val="none"/>
                <w:lang w:val="en-US" w:eastAsia="zh-CN" w:bidi="ar-SA"/>
              </w:rPr>
            </w:pPr>
            <w:r>
              <w:rPr>
                <w:rFonts w:hint="default" w:ascii="Times New Roman" w:hAnsi="Times New Roman" w:eastAsia="宋体" w:cs="Times New Roman"/>
                <w:caps w:val="0"/>
                <w:smallCaps w:val="0"/>
                <w:color w:val="auto"/>
                <w:sz w:val="21"/>
                <w:szCs w:val="24"/>
                <w:highlight w:val="none"/>
                <w:u w:val="none"/>
              </w:rPr>
              <w:t>评价区内广泛分布</w:t>
            </w:r>
          </w:p>
        </w:tc>
        <w:tc>
          <w:tcPr>
            <w:tcW w:w="981" w:type="dxa"/>
            <w:tcBorders>
              <w:tl2br w:val="nil"/>
              <w:tr2bl w:val="nil"/>
            </w:tcBorders>
            <w:noWrap w:val="0"/>
            <w:vAlign w:val="center"/>
          </w:tcPr>
          <w:p w14:paraId="0272D1CA">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0.56</w:t>
            </w:r>
          </w:p>
        </w:tc>
        <w:tc>
          <w:tcPr>
            <w:tcW w:w="843" w:type="dxa"/>
            <w:tcBorders>
              <w:tl2br w:val="nil"/>
              <w:tr2bl w:val="nil"/>
            </w:tcBorders>
            <w:noWrap w:val="0"/>
            <w:vAlign w:val="center"/>
          </w:tcPr>
          <w:p w14:paraId="17685907">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50</w:t>
            </w:r>
          </w:p>
        </w:tc>
      </w:tr>
      <w:tr w14:paraId="2292F5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6" w:type="dxa"/>
            <w:vMerge w:val="continue"/>
            <w:tcBorders>
              <w:tl2br w:val="nil"/>
              <w:tr2bl w:val="nil"/>
            </w:tcBorders>
            <w:noWrap w:val="0"/>
            <w:vAlign w:val="center"/>
          </w:tcPr>
          <w:p w14:paraId="1BA3B4AA">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836" w:type="dxa"/>
            <w:vMerge w:val="continue"/>
            <w:tcBorders>
              <w:tl2br w:val="nil"/>
              <w:tr2bl w:val="nil"/>
            </w:tcBorders>
            <w:noWrap w:val="0"/>
            <w:vAlign w:val="center"/>
          </w:tcPr>
          <w:p w14:paraId="050EC356">
            <w:pPr>
              <w:keepNext w:val="0"/>
              <w:keepLines w:val="0"/>
              <w:suppressLineNumbers w:val="0"/>
              <w:tabs>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color w:val="auto"/>
                <w:sz w:val="21"/>
                <w:szCs w:val="24"/>
                <w:highlight w:val="none"/>
                <w:u w:val="none"/>
                <w:lang w:val="en-US" w:eastAsia="zh-CN"/>
              </w:rPr>
            </w:pPr>
          </w:p>
        </w:tc>
        <w:tc>
          <w:tcPr>
            <w:tcW w:w="976" w:type="dxa"/>
            <w:vMerge w:val="continue"/>
            <w:tcBorders>
              <w:tl2br w:val="nil"/>
              <w:tr2bl w:val="nil"/>
            </w:tcBorders>
            <w:noWrap w:val="0"/>
            <w:vAlign w:val="center"/>
          </w:tcPr>
          <w:p w14:paraId="50182534">
            <w:pPr>
              <w:keepNext w:val="0"/>
              <w:keepLines w:val="0"/>
              <w:suppressLineNumbers w:val="0"/>
              <w:tabs>
                <w:tab w:val="left" w:pos="420"/>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color w:val="auto"/>
                <w:sz w:val="21"/>
                <w:szCs w:val="24"/>
                <w:highlight w:val="none"/>
                <w:u w:val="none"/>
                <w:lang w:val="en-US" w:eastAsia="zh-CN"/>
              </w:rPr>
            </w:pPr>
          </w:p>
        </w:tc>
        <w:tc>
          <w:tcPr>
            <w:tcW w:w="1089" w:type="dxa"/>
            <w:vMerge w:val="continue"/>
            <w:tcBorders>
              <w:tl2br w:val="nil"/>
              <w:tr2bl w:val="nil"/>
            </w:tcBorders>
            <w:noWrap w:val="0"/>
            <w:vAlign w:val="center"/>
          </w:tcPr>
          <w:p w14:paraId="1F1880DC">
            <w:pPr>
              <w:keepNext w:val="0"/>
              <w:keepLines w:val="0"/>
              <w:suppressLineNumbers w:val="0"/>
              <w:tabs>
                <w:tab w:val="left" w:pos="317"/>
                <w:tab w:val="left" w:pos="420"/>
                <w:tab w:val="left" w:pos="1021"/>
              </w:tabs>
              <w:spacing w:before="0" w:beforeAutospacing="0" w:after="0" w:afterAutospacing="0" w:line="240" w:lineRule="auto"/>
              <w:ind w:left="0" w:leftChars="0" w:right="0" w:rightChars="0" w:firstLine="0" w:firstLineChars="0"/>
              <w:jc w:val="both"/>
              <w:rPr>
                <w:rFonts w:hint="default" w:ascii="Times New Roman" w:hAnsi="Times New Roman" w:eastAsia="宋体" w:cs="Times New Roman"/>
                <w:caps w:val="0"/>
                <w:smallCaps w:val="0"/>
                <w:sz w:val="21"/>
                <w:szCs w:val="21"/>
                <w:lang w:val="en-US" w:eastAsia="zh-CN"/>
              </w:rPr>
            </w:pPr>
          </w:p>
        </w:tc>
        <w:tc>
          <w:tcPr>
            <w:tcW w:w="1484" w:type="dxa"/>
            <w:tcBorders>
              <w:tl2br w:val="nil"/>
              <w:tr2bl w:val="nil"/>
            </w:tcBorders>
            <w:noWrap w:val="0"/>
            <w:vAlign w:val="center"/>
          </w:tcPr>
          <w:p w14:paraId="59CBD941">
            <w:pPr>
              <w:keepNext w:val="0"/>
              <w:keepLines w:val="0"/>
              <w:numPr>
                <w:ilvl w:val="0"/>
                <w:numId w:val="18"/>
              </w:numPr>
              <w:suppressLineNumbers w:val="0"/>
              <w:tabs>
                <w:tab w:val="left" w:pos="317"/>
              </w:tabs>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color w:val="auto"/>
                <w:sz w:val="21"/>
                <w:szCs w:val="24"/>
                <w:highlight w:val="none"/>
                <w:u w:val="none"/>
                <w:lang w:eastAsia="zh-CN"/>
              </w:rPr>
            </w:pPr>
            <w:r>
              <w:rPr>
                <w:rFonts w:hint="default" w:ascii="Times New Roman" w:hAnsi="Times New Roman" w:eastAsia="宋体" w:cs="Times New Roman"/>
                <w:caps w:val="0"/>
                <w:smallCaps w:val="0"/>
                <w:color w:val="auto"/>
                <w:sz w:val="21"/>
                <w:szCs w:val="24"/>
                <w:highlight w:val="none"/>
                <w:u w:val="none"/>
                <w:lang w:val="en-US" w:eastAsia="zh-CN"/>
              </w:rPr>
              <w:t>艾群系</w:t>
            </w:r>
          </w:p>
        </w:tc>
        <w:tc>
          <w:tcPr>
            <w:tcW w:w="1797" w:type="dxa"/>
            <w:tcBorders>
              <w:tl2br w:val="nil"/>
              <w:tr2bl w:val="nil"/>
            </w:tcBorders>
            <w:noWrap w:val="0"/>
            <w:vAlign w:val="center"/>
          </w:tcPr>
          <w:p w14:paraId="630EEA5D">
            <w:pPr>
              <w:keepNext w:val="0"/>
              <w:keepLines w:val="0"/>
              <w:suppressLineNumbers w:val="0"/>
              <w:snapToGrid w:val="0"/>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color w:val="auto"/>
                <w:sz w:val="21"/>
                <w:szCs w:val="24"/>
                <w:highlight w:val="none"/>
                <w:u w:val="none"/>
              </w:rPr>
            </w:pPr>
            <w:r>
              <w:rPr>
                <w:rFonts w:hint="default" w:ascii="Times New Roman" w:hAnsi="Times New Roman" w:eastAsia="宋体" w:cs="Times New Roman"/>
                <w:caps w:val="0"/>
                <w:smallCaps w:val="0"/>
                <w:color w:val="auto"/>
                <w:sz w:val="21"/>
                <w:szCs w:val="24"/>
                <w:highlight w:val="none"/>
                <w:u w:val="none"/>
              </w:rPr>
              <w:t>评价区内广泛分布</w:t>
            </w:r>
          </w:p>
        </w:tc>
        <w:tc>
          <w:tcPr>
            <w:tcW w:w="981" w:type="dxa"/>
            <w:tcBorders>
              <w:tl2br w:val="nil"/>
              <w:tr2bl w:val="nil"/>
            </w:tcBorders>
            <w:noWrap w:val="0"/>
            <w:vAlign w:val="center"/>
          </w:tcPr>
          <w:p w14:paraId="3931ADB3">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0.34</w:t>
            </w:r>
          </w:p>
        </w:tc>
        <w:tc>
          <w:tcPr>
            <w:tcW w:w="843" w:type="dxa"/>
            <w:tcBorders>
              <w:tl2br w:val="nil"/>
              <w:tr2bl w:val="nil"/>
            </w:tcBorders>
            <w:noWrap w:val="0"/>
            <w:vAlign w:val="center"/>
          </w:tcPr>
          <w:p w14:paraId="6CF551C3">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30.36</w:t>
            </w:r>
          </w:p>
        </w:tc>
      </w:tr>
      <w:tr w14:paraId="223BE6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6" w:type="dxa"/>
            <w:vMerge w:val="continue"/>
            <w:tcBorders>
              <w:tl2br w:val="nil"/>
              <w:tr2bl w:val="nil"/>
            </w:tcBorders>
            <w:noWrap w:val="0"/>
            <w:vAlign w:val="center"/>
          </w:tcPr>
          <w:p w14:paraId="1C88A902">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836" w:type="dxa"/>
            <w:vMerge w:val="continue"/>
            <w:tcBorders>
              <w:tl2br w:val="nil"/>
              <w:tr2bl w:val="nil"/>
            </w:tcBorders>
            <w:noWrap w:val="0"/>
            <w:vAlign w:val="center"/>
          </w:tcPr>
          <w:p w14:paraId="00FED2FA">
            <w:pPr>
              <w:keepNext w:val="0"/>
              <w:keepLines w:val="0"/>
              <w:suppressLineNumbers w:val="0"/>
              <w:tabs>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color w:val="auto"/>
                <w:sz w:val="21"/>
                <w:szCs w:val="24"/>
                <w:highlight w:val="none"/>
                <w:u w:val="none"/>
                <w:lang w:val="en-US" w:eastAsia="zh-CN"/>
              </w:rPr>
            </w:pPr>
          </w:p>
        </w:tc>
        <w:tc>
          <w:tcPr>
            <w:tcW w:w="976" w:type="dxa"/>
            <w:vMerge w:val="continue"/>
            <w:tcBorders>
              <w:tl2br w:val="nil"/>
              <w:tr2bl w:val="nil"/>
            </w:tcBorders>
            <w:noWrap w:val="0"/>
            <w:vAlign w:val="center"/>
          </w:tcPr>
          <w:p w14:paraId="336BA897">
            <w:pPr>
              <w:keepNext w:val="0"/>
              <w:keepLines w:val="0"/>
              <w:suppressLineNumbers w:val="0"/>
              <w:tabs>
                <w:tab w:val="left" w:pos="420"/>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color w:val="auto"/>
                <w:sz w:val="21"/>
                <w:szCs w:val="24"/>
                <w:highlight w:val="none"/>
                <w:u w:val="none"/>
                <w:lang w:val="en-US" w:eastAsia="zh-CN"/>
              </w:rPr>
            </w:pPr>
          </w:p>
        </w:tc>
        <w:tc>
          <w:tcPr>
            <w:tcW w:w="1089" w:type="dxa"/>
            <w:vMerge w:val="continue"/>
            <w:tcBorders>
              <w:tl2br w:val="nil"/>
              <w:tr2bl w:val="nil"/>
            </w:tcBorders>
            <w:noWrap w:val="0"/>
            <w:vAlign w:val="center"/>
          </w:tcPr>
          <w:p w14:paraId="4D2C256C">
            <w:pPr>
              <w:keepNext w:val="0"/>
              <w:keepLines w:val="0"/>
              <w:suppressLineNumbers w:val="0"/>
              <w:tabs>
                <w:tab w:val="left" w:pos="317"/>
                <w:tab w:val="left" w:pos="420"/>
                <w:tab w:val="left" w:pos="1021"/>
              </w:tabs>
              <w:spacing w:before="0" w:beforeAutospacing="0" w:after="0" w:afterAutospacing="0" w:line="240" w:lineRule="auto"/>
              <w:ind w:left="0" w:leftChars="0" w:right="0" w:rightChars="0" w:firstLine="0" w:firstLineChars="0"/>
              <w:jc w:val="both"/>
              <w:rPr>
                <w:rFonts w:hint="default" w:ascii="Times New Roman" w:hAnsi="Times New Roman" w:eastAsia="宋体" w:cs="Times New Roman"/>
                <w:caps w:val="0"/>
                <w:smallCaps w:val="0"/>
                <w:sz w:val="21"/>
                <w:szCs w:val="21"/>
                <w:lang w:val="en-US" w:eastAsia="zh-CN"/>
              </w:rPr>
            </w:pPr>
          </w:p>
        </w:tc>
        <w:tc>
          <w:tcPr>
            <w:tcW w:w="1484" w:type="dxa"/>
            <w:tcBorders>
              <w:tl2br w:val="nil"/>
              <w:tr2bl w:val="nil"/>
            </w:tcBorders>
            <w:noWrap w:val="0"/>
            <w:vAlign w:val="center"/>
          </w:tcPr>
          <w:p w14:paraId="3E08F01E">
            <w:pPr>
              <w:keepNext w:val="0"/>
              <w:keepLines w:val="0"/>
              <w:numPr>
                <w:ilvl w:val="0"/>
                <w:numId w:val="18"/>
              </w:numPr>
              <w:suppressLineNumbers w:val="0"/>
              <w:tabs>
                <w:tab w:val="left" w:pos="317"/>
              </w:tabs>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color w:val="auto"/>
                <w:sz w:val="21"/>
                <w:szCs w:val="24"/>
                <w:highlight w:val="none"/>
                <w:u w:val="none"/>
                <w:lang w:val="en-US" w:eastAsia="zh-CN"/>
              </w:rPr>
            </w:pPr>
            <w:r>
              <w:rPr>
                <w:rFonts w:hint="default" w:ascii="Times New Roman" w:hAnsi="Times New Roman" w:eastAsia="宋体" w:cs="Times New Roman"/>
                <w:caps w:val="0"/>
                <w:smallCaps w:val="0"/>
                <w:color w:val="auto"/>
                <w:sz w:val="21"/>
                <w:szCs w:val="24"/>
                <w:highlight w:val="none"/>
                <w:u w:val="none"/>
                <w:lang w:val="en-US" w:eastAsia="zh-CN"/>
              </w:rPr>
              <w:t>狗牙根群系</w:t>
            </w:r>
          </w:p>
        </w:tc>
        <w:tc>
          <w:tcPr>
            <w:tcW w:w="1797" w:type="dxa"/>
            <w:tcBorders>
              <w:tl2br w:val="nil"/>
              <w:tr2bl w:val="nil"/>
            </w:tcBorders>
            <w:noWrap w:val="0"/>
            <w:vAlign w:val="center"/>
          </w:tcPr>
          <w:p w14:paraId="2C55E5B0">
            <w:pPr>
              <w:keepNext w:val="0"/>
              <w:keepLines w:val="0"/>
              <w:suppressLineNumbers w:val="0"/>
              <w:snapToGrid w:val="0"/>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color w:val="auto"/>
                <w:sz w:val="21"/>
                <w:szCs w:val="24"/>
                <w:highlight w:val="none"/>
                <w:u w:val="none"/>
              </w:rPr>
            </w:pPr>
            <w:r>
              <w:rPr>
                <w:rFonts w:hint="default" w:ascii="Times New Roman" w:hAnsi="Times New Roman" w:eastAsia="宋体" w:cs="Times New Roman"/>
                <w:caps w:val="0"/>
                <w:smallCaps w:val="0"/>
                <w:color w:val="auto"/>
                <w:sz w:val="21"/>
                <w:szCs w:val="24"/>
                <w:highlight w:val="none"/>
                <w:u w:val="none"/>
              </w:rPr>
              <w:t>评价区内广泛分布</w:t>
            </w:r>
          </w:p>
        </w:tc>
        <w:tc>
          <w:tcPr>
            <w:tcW w:w="981" w:type="dxa"/>
            <w:tcBorders>
              <w:tl2br w:val="nil"/>
              <w:tr2bl w:val="nil"/>
            </w:tcBorders>
            <w:noWrap w:val="0"/>
            <w:vAlign w:val="center"/>
          </w:tcPr>
          <w:p w14:paraId="36133207">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0.02</w:t>
            </w:r>
          </w:p>
        </w:tc>
        <w:tc>
          <w:tcPr>
            <w:tcW w:w="843" w:type="dxa"/>
            <w:tcBorders>
              <w:tl2br w:val="nil"/>
              <w:tr2bl w:val="nil"/>
            </w:tcBorders>
            <w:noWrap w:val="0"/>
            <w:vAlign w:val="center"/>
          </w:tcPr>
          <w:p w14:paraId="4BBD928B">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1.79</w:t>
            </w:r>
          </w:p>
        </w:tc>
      </w:tr>
      <w:tr w14:paraId="195BDA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6" w:type="dxa"/>
            <w:vMerge w:val="continue"/>
            <w:tcBorders>
              <w:tl2br w:val="nil"/>
              <w:tr2bl w:val="nil"/>
            </w:tcBorders>
            <w:noWrap w:val="0"/>
            <w:vAlign w:val="center"/>
          </w:tcPr>
          <w:p w14:paraId="2DA184AC">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836" w:type="dxa"/>
            <w:vMerge w:val="continue"/>
            <w:tcBorders>
              <w:tl2br w:val="nil"/>
              <w:tr2bl w:val="nil"/>
            </w:tcBorders>
            <w:noWrap w:val="0"/>
            <w:vAlign w:val="center"/>
          </w:tcPr>
          <w:p w14:paraId="79079394">
            <w:pPr>
              <w:keepNext w:val="0"/>
              <w:keepLines w:val="0"/>
              <w:suppressLineNumbers w:val="0"/>
              <w:tabs>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color w:val="auto"/>
                <w:sz w:val="21"/>
                <w:szCs w:val="24"/>
                <w:highlight w:val="none"/>
                <w:u w:val="none"/>
                <w:lang w:val="en-US" w:eastAsia="zh-CN"/>
              </w:rPr>
            </w:pPr>
          </w:p>
        </w:tc>
        <w:tc>
          <w:tcPr>
            <w:tcW w:w="976" w:type="dxa"/>
            <w:vMerge w:val="continue"/>
            <w:tcBorders>
              <w:tl2br w:val="nil"/>
              <w:tr2bl w:val="nil"/>
            </w:tcBorders>
            <w:noWrap w:val="0"/>
            <w:vAlign w:val="center"/>
          </w:tcPr>
          <w:p w14:paraId="44674CD4">
            <w:pPr>
              <w:keepNext w:val="0"/>
              <w:keepLines w:val="0"/>
              <w:suppressLineNumbers w:val="0"/>
              <w:tabs>
                <w:tab w:val="left" w:pos="420"/>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color w:val="auto"/>
                <w:sz w:val="21"/>
                <w:szCs w:val="24"/>
                <w:highlight w:val="none"/>
                <w:u w:val="none"/>
                <w:lang w:val="en-US" w:eastAsia="zh-CN"/>
              </w:rPr>
            </w:pPr>
          </w:p>
        </w:tc>
        <w:tc>
          <w:tcPr>
            <w:tcW w:w="1089" w:type="dxa"/>
            <w:vMerge w:val="continue"/>
            <w:tcBorders>
              <w:tl2br w:val="nil"/>
              <w:tr2bl w:val="nil"/>
            </w:tcBorders>
            <w:noWrap w:val="0"/>
            <w:vAlign w:val="center"/>
          </w:tcPr>
          <w:p w14:paraId="6CC5A40F">
            <w:pPr>
              <w:keepNext w:val="0"/>
              <w:keepLines w:val="0"/>
              <w:suppressLineNumbers w:val="0"/>
              <w:tabs>
                <w:tab w:val="left" w:pos="317"/>
                <w:tab w:val="left" w:pos="420"/>
                <w:tab w:val="left" w:pos="1021"/>
              </w:tabs>
              <w:spacing w:before="0" w:beforeAutospacing="0" w:after="0" w:afterAutospacing="0" w:line="240" w:lineRule="auto"/>
              <w:ind w:left="0" w:leftChars="0" w:right="0" w:rightChars="0" w:firstLine="0" w:firstLineChars="0"/>
              <w:jc w:val="both"/>
              <w:rPr>
                <w:rFonts w:hint="default" w:ascii="Times New Roman" w:hAnsi="Times New Roman" w:eastAsia="宋体" w:cs="Times New Roman"/>
                <w:caps w:val="0"/>
                <w:smallCaps w:val="0"/>
                <w:sz w:val="21"/>
                <w:szCs w:val="21"/>
                <w:lang w:val="en-US" w:eastAsia="zh-CN"/>
              </w:rPr>
            </w:pPr>
          </w:p>
        </w:tc>
        <w:tc>
          <w:tcPr>
            <w:tcW w:w="1484" w:type="dxa"/>
            <w:tcBorders>
              <w:tl2br w:val="nil"/>
              <w:tr2bl w:val="nil"/>
            </w:tcBorders>
            <w:noWrap w:val="0"/>
            <w:vAlign w:val="center"/>
          </w:tcPr>
          <w:p w14:paraId="7EBF5670">
            <w:pPr>
              <w:keepNext w:val="0"/>
              <w:keepLines w:val="0"/>
              <w:numPr>
                <w:ilvl w:val="0"/>
                <w:numId w:val="18"/>
              </w:numPr>
              <w:suppressLineNumbers w:val="0"/>
              <w:tabs>
                <w:tab w:val="left" w:pos="317"/>
              </w:tabs>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color w:val="auto"/>
                <w:sz w:val="21"/>
                <w:szCs w:val="24"/>
                <w:highlight w:val="none"/>
                <w:u w:val="none"/>
                <w:lang w:val="en-US" w:eastAsia="zh-CN"/>
              </w:rPr>
            </w:pPr>
            <w:r>
              <w:rPr>
                <w:rFonts w:hint="default" w:ascii="Times New Roman" w:hAnsi="Times New Roman" w:eastAsia="宋体" w:cs="Times New Roman"/>
                <w:caps w:val="0"/>
                <w:smallCaps w:val="0"/>
                <w:color w:val="auto"/>
                <w:sz w:val="21"/>
                <w:szCs w:val="24"/>
                <w:highlight w:val="none"/>
                <w:u w:val="none"/>
                <w:lang w:val="en-US" w:eastAsia="zh-CN"/>
              </w:rPr>
              <w:t>灯芯草群系</w:t>
            </w:r>
          </w:p>
        </w:tc>
        <w:tc>
          <w:tcPr>
            <w:tcW w:w="1797" w:type="dxa"/>
            <w:tcBorders>
              <w:tl2br w:val="nil"/>
              <w:tr2bl w:val="nil"/>
            </w:tcBorders>
            <w:noWrap w:val="0"/>
            <w:vAlign w:val="center"/>
          </w:tcPr>
          <w:p w14:paraId="49F764C8">
            <w:pPr>
              <w:keepNext w:val="0"/>
              <w:keepLines w:val="0"/>
              <w:suppressLineNumbers w:val="0"/>
              <w:snapToGrid w:val="0"/>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color w:val="auto"/>
                <w:sz w:val="21"/>
                <w:szCs w:val="24"/>
                <w:highlight w:val="none"/>
                <w:u w:val="none"/>
              </w:rPr>
            </w:pPr>
            <w:r>
              <w:rPr>
                <w:rFonts w:hint="default" w:ascii="Times New Roman" w:hAnsi="Times New Roman" w:eastAsia="宋体" w:cs="Times New Roman"/>
                <w:caps w:val="0"/>
                <w:smallCaps w:val="0"/>
                <w:color w:val="auto"/>
                <w:sz w:val="21"/>
                <w:szCs w:val="24"/>
                <w:highlight w:val="none"/>
                <w:u w:val="none"/>
              </w:rPr>
              <w:t>评价区内广泛分布</w:t>
            </w:r>
          </w:p>
        </w:tc>
        <w:tc>
          <w:tcPr>
            <w:tcW w:w="981" w:type="dxa"/>
            <w:tcBorders>
              <w:tl2br w:val="nil"/>
              <w:tr2bl w:val="nil"/>
            </w:tcBorders>
            <w:noWrap w:val="0"/>
            <w:vAlign w:val="center"/>
          </w:tcPr>
          <w:p w14:paraId="66CB130F">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p>
        </w:tc>
        <w:tc>
          <w:tcPr>
            <w:tcW w:w="843" w:type="dxa"/>
            <w:tcBorders>
              <w:tl2br w:val="nil"/>
              <w:tr2bl w:val="nil"/>
            </w:tcBorders>
            <w:noWrap w:val="0"/>
            <w:vAlign w:val="center"/>
          </w:tcPr>
          <w:p w14:paraId="20CA3123">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p>
        </w:tc>
      </w:tr>
      <w:tr w14:paraId="6AD29C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6" w:type="dxa"/>
            <w:vMerge w:val="continue"/>
            <w:tcBorders>
              <w:tl2br w:val="nil"/>
              <w:tr2bl w:val="nil"/>
            </w:tcBorders>
            <w:noWrap w:val="0"/>
            <w:vAlign w:val="center"/>
          </w:tcPr>
          <w:p w14:paraId="34E00B7C">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836" w:type="dxa"/>
            <w:vMerge w:val="continue"/>
            <w:tcBorders>
              <w:tl2br w:val="nil"/>
              <w:tr2bl w:val="nil"/>
            </w:tcBorders>
            <w:noWrap w:val="0"/>
            <w:vAlign w:val="center"/>
          </w:tcPr>
          <w:p w14:paraId="19CE769E">
            <w:pPr>
              <w:keepNext w:val="0"/>
              <w:keepLines w:val="0"/>
              <w:suppressLineNumbers w:val="0"/>
              <w:tabs>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color w:val="auto"/>
                <w:sz w:val="21"/>
                <w:szCs w:val="24"/>
                <w:highlight w:val="none"/>
                <w:u w:val="none"/>
                <w:lang w:val="en-US" w:eastAsia="zh-CN"/>
              </w:rPr>
            </w:pPr>
          </w:p>
        </w:tc>
        <w:tc>
          <w:tcPr>
            <w:tcW w:w="976" w:type="dxa"/>
            <w:vMerge w:val="continue"/>
            <w:tcBorders>
              <w:tl2br w:val="nil"/>
              <w:tr2bl w:val="nil"/>
            </w:tcBorders>
            <w:noWrap w:val="0"/>
            <w:vAlign w:val="center"/>
          </w:tcPr>
          <w:p w14:paraId="4D18D6C0">
            <w:pPr>
              <w:keepNext w:val="0"/>
              <w:keepLines w:val="0"/>
              <w:suppressLineNumbers w:val="0"/>
              <w:tabs>
                <w:tab w:val="left" w:pos="420"/>
                <w:tab w:val="left" w:pos="1021"/>
              </w:tabs>
              <w:spacing w:before="0" w:beforeAutospacing="0" w:after="0" w:afterAutospacing="0" w:line="240" w:lineRule="auto"/>
              <w:ind w:left="0" w:leftChars="0" w:right="0" w:firstLine="0" w:firstLineChars="0"/>
              <w:jc w:val="both"/>
              <w:rPr>
                <w:rFonts w:hint="default" w:ascii="Times New Roman" w:hAnsi="Times New Roman" w:eastAsia="宋体" w:cs="Times New Roman"/>
                <w:caps w:val="0"/>
                <w:smallCaps w:val="0"/>
                <w:color w:val="auto"/>
                <w:sz w:val="21"/>
                <w:szCs w:val="24"/>
                <w:highlight w:val="none"/>
                <w:u w:val="none"/>
                <w:lang w:val="en-US" w:eastAsia="zh-CN"/>
              </w:rPr>
            </w:pPr>
          </w:p>
        </w:tc>
        <w:tc>
          <w:tcPr>
            <w:tcW w:w="1089" w:type="dxa"/>
            <w:vMerge w:val="continue"/>
            <w:tcBorders>
              <w:tl2br w:val="nil"/>
              <w:tr2bl w:val="nil"/>
            </w:tcBorders>
            <w:noWrap w:val="0"/>
            <w:vAlign w:val="center"/>
          </w:tcPr>
          <w:p w14:paraId="16081C0F">
            <w:pPr>
              <w:keepNext w:val="0"/>
              <w:keepLines w:val="0"/>
              <w:suppressLineNumbers w:val="0"/>
              <w:tabs>
                <w:tab w:val="left" w:pos="317"/>
                <w:tab w:val="left" w:pos="420"/>
                <w:tab w:val="left" w:pos="1021"/>
              </w:tabs>
              <w:spacing w:before="0" w:beforeAutospacing="0" w:after="0" w:afterAutospacing="0" w:line="240" w:lineRule="auto"/>
              <w:ind w:left="0" w:leftChars="0" w:right="0" w:rightChars="0" w:firstLine="0" w:firstLineChars="0"/>
              <w:jc w:val="both"/>
              <w:rPr>
                <w:rFonts w:hint="default" w:ascii="Times New Roman" w:hAnsi="Times New Roman" w:eastAsia="宋体" w:cs="Times New Roman"/>
                <w:caps w:val="0"/>
                <w:smallCaps w:val="0"/>
                <w:sz w:val="21"/>
                <w:szCs w:val="21"/>
                <w:lang w:val="en-US" w:eastAsia="zh-CN"/>
              </w:rPr>
            </w:pPr>
          </w:p>
        </w:tc>
        <w:tc>
          <w:tcPr>
            <w:tcW w:w="1484" w:type="dxa"/>
            <w:tcBorders>
              <w:tl2br w:val="nil"/>
              <w:tr2bl w:val="nil"/>
            </w:tcBorders>
            <w:noWrap w:val="0"/>
            <w:vAlign w:val="center"/>
          </w:tcPr>
          <w:p w14:paraId="40A95980">
            <w:pPr>
              <w:keepNext w:val="0"/>
              <w:keepLines w:val="0"/>
              <w:numPr>
                <w:ilvl w:val="0"/>
                <w:numId w:val="18"/>
              </w:numPr>
              <w:suppressLineNumbers w:val="0"/>
              <w:tabs>
                <w:tab w:val="left" w:pos="317"/>
              </w:tabs>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color w:val="auto"/>
                <w:sz w:val="21"/>
                <w:szCs w:val="24"/>
                <w:highlight w:val="none"/>
                <w:u w:val="none"/>
                <w:lang w:eastAsia="zh-CN"/>
              </w:rPr>
            </w:pPr>
            <w:r>
              <w:rPr>
                <w:rFonts w:hint="default" w:ascii="Times New Roman" w:hAnsi="Times New Roman" w:eastAsia="宋体" w:cs="Times New Roman"/>
                <w:caps w:val="0"/>
                <w:smallCaps w:val="0"/>
                <w:color w:val="auto"/>
                <w:sz w:val="21"/>
                <w:szCs w:val="24"/>
                <w:highlight w:val="none"/>
                <w:u w:val="none"/>
                <w:lang w:val="en-US" w:eastAsia="zh-CN"/>
              </w:rPr>
              <w:t>小蓬草群系</w:t>
            </w:r>
          </w:p>
        </w:tc>
        <w:tc>
          <w:tcPr>
            <w:tcW w:w="1797" w:type="dxa"/>
            <w:tcBorders>
              <w:tl2br w:val="nil"/>
              <w:tr2bl w:val="nil"/>
            </w:tcBorders>
            <w:noWrap w:val="0"/>
            <w:vAlign w:val="center"/>
          </w:tcPr>
          <w:p w14:paraId="4D999435">
            <w:pPr>
              <w:keepNext w:val="0"/>
              <w:keepLines w:val="0"/>
              <w:suppressLineNumbers w:val="0"/>
              <w:snapToGrid w:val="0"/>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color w:val="auto"/>
                <w:sz w:val="21"/>
                <w:szCs w:val="24"/>
                <w:highlight w:val="none"/>
                <w:u w:val="none"/>
              </w:rPr>
            </w:pPr>
            <w:r>
              <w:rPr>
                <w:rFonts w:hint="default" w:ascii="Times New Roman" w:hAnsi="Times New Roman" w:eastAsia="宋体" w:cs="Times New Roman"/>
                <w:caps w:val="0"/>
                <w:smallCaps w:val="0"/>
                <w:color w:val="auto"/>
                <w:sz w:val="21"/>
                <w:szCs w:val="24"/>
                <w:highlight w:val="none"/>
                <w:u w:val="none"/>
              </w:rPr>
              <w:t>评价区内广泛分布</w:t>
            </w:r>
          </w:p>
        </w:tc>
        <w:tc>
          <w:tcPr>
            <w:tcW w:w="981" w:type="dxa"/>
            <w:tcBorders>
              <w:tl2br w:val="nil"/>
              <w:tr2bl w:val="nil"/>
            </w:tcBorders>
            <w:noWrap w:val="0"/>
            <w:vAlign w:val="center"/>
          </w:tcPr>
          <w:p w14:paraId="7A02A3BE">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0.11</w:t>
            </w:r>
          </w:p>
        </w:tc>
        <w:tc>
          <w:tcPr>
            <w:tcW w:w="843" w:type="dxa"/>
            <w:tcBorders>
              <w:tl2br w:val="nil"/>
              <w:tr2bl w:val="nil"/>
            </w:tcBorders>
            <w:noWrap w:val="0"/>
            <w:vAlign w:val="center"/>
          </w:tcPr>
          <w:p w14:paraId="4D2789F1">
            <w:pPr>
              <w:keepNext w:val="0"/>
              <w:keepLines w:val="0"/>
              <w:suppressLineNumbers w:val="0"/>
              <w:tabs>
                <w:tab w:val="left" w:pos="317"/>
                <w:tab w:val="left" w:pos="1021"/>
              </w:tabs>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9.82</w:t>
            </w:r>
          </w:p>
        </w:tc>
      </w:tr>
      <w:tr w14:paraId="3BFE8D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6" w:type="dxa"/>
            <w:vMerge w:val="restart"/>
            <w:tcBorders>
              <w:tl2br w:val="nil"/>
              <w:tr2bl w:val="nil"/>
            </w:tcBorders>
            <w:noWrap w:val="0"/>
            <w:vAlign w:val="center"/>
          </w:tcPr>
          <w:p w14:paraId="45E890B4">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rPr>
              <w:t>栽培植被</w:t>
            </w:r>
          </w:p>
        </w:tc>
        <w:tc>
          <w:tcPr>
            <w:tcW w:w="836" w:type="dxa"/>
            <w:vMerge w:val="restart"/>
            <w:tcBorders>
              <w:tl2br w:val="nil"/>
              <w:tr2bl w:val="nil"/>
            </w:tcBorders>
            <w:noWrap w:val="0"/>
            <w:vAlign w:val="center"/>
          </w:tcPr>
          <w:p w14:paraId="26EE67A9">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rPr>
              <w:t>经济林</w:t>
            </w:r>
          </w:p>
        </w:tc>
        <w:tc>
          <w:tcPr>
            <w:tcW w:w="976" w:type="dxa"/>
            <w:tcBorders>
              <w:tl2br w:val="nil"/>
              <w:tr2bl w:val="nil"/>
            </w:tcBorders>
            <w:noWrap w:val="0"/>
            <w:vAlign w:val="center"/>
          </w:tcPr>
          <w:p w14:paraId="5EB56FAC">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rPr>
              <w:t>经济果木</w:t>
            </w:r>
          </w:p>
        </w:tc>
        <w:tc>
          <w:tcPr>
            <w:tcW w:w="2573" w:type="dxa"/>
            <w:gridSpan w:val="2"/>
            <w:tcBorders>
              <w:tl2br w:val="nil"/>
              <w:tr2bl w:val="nil"/>
            </w:tcBorders>
            <w:noWrap w:val="0"/>
            <w:vAlign w:val="center"/>
          </w:tcPr>
          <w:p w14:paraId="17A90634">
            <w:pPr>
              <w:keepNext w:val="0"/>
              <w:keepLines w:val="0"/>
              <w:suppressLineNumbers w:val="0"/>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color w:val="auto"/>
                <w:sz w:val="21"/>
                <w:szCs w:val="24"/>
                <w:highlight w:val="none"/>
                <w:u w:val="none"/>
              </w:rPr>
              <w:t>油茶</w:t>
            </w:r>
            <w:r>
              <w:rPr>
                <w:rFonts w:hint="default" w:ascii="Times New Roman" w:hAnsi="Times New Roman" w:eastAsia="宋体" w:cs="Times New Roman"/>
                <w:caps w:val="0"/>
                <w:smallCaps w:val="0"/>
                <w:color w:val="auto"/>
                <w:sz w:val="21"/>
                <w:szCs w:val="24"/>
                <w:highlight w:val="none"/>
                <w:u w:val="none"/>
                <w:lang w:eastAsia="zh-CN"/>
              </w:rPr>
              <w:t>、</w:t>
            </w:r>
            <w:r>
              <w:rPr>
                <w:rFonts w:hint="default" w:ascii="Times New Roman" w:hAnsi="Times New Roman" w:eastAsia="宋体" w:cs="Times New Roman"/>
                <w:caps w:val="0"/>
                <w:smallCaps w:val="0"/>
                <w:color w:val="auto"/>
                <w:sz w:val="21"/>
                <w:szCs w:val="24"/>
                <w:highlight w:val="none"/>
                <w:u w:val="none"/>
                <w:lang w:val="en-US" w:eastAsia="zh-CN"/>
              </w:rPr>
              <w:t>木犀</w:t>
            </w:r>
            <w:r>
              <w:rPr>
                <w:rFonts w:hint="default" w:ascii="Times New Roman" w:hAnsi="Times New Roman" w:eastAsia="宋体" w:cs="Times New Roman"/>
                <w:caps w:val="0"/>
                <w:smallCaps w:val="0"/>
                <w:color w:val="auto"/>
                <w:sz w:val="21"/>
                <w:szCs w:val="24"/>
                <w:highlight w:val="none"/>
                <w:u w:val="none"/>
              </w:rPr>
              <w:t>等</w:t>
            </w:r>
          </w:p>
        </w:tc>
        <w:tc>
          <w:tcPr>
            <w:tcW w:w="1797" w:type="dxa"/>
            <w:vMerge w:val="restart"/>
            <w:tcBorders>
              <w:tl2br w:val="nil"/>
              <w:tr2bl w:val="nil"/>
            </w:tcBorders>
            <w:noWrap w:val="0"/>
            <w:vAlign w:val="center"/>
          </w:tcPr>
          <w:p w14:paraId="2E6A4097">
            <w:pPr>
              <w:keepNext w:val="0"/>
              <w:keepLines w:val="0"/>
              <w:suppressLineNumbers w:val="0"/>
              <w:tabs>
                <w:tab w:val="left" w:pos="1021"/>
              </w:tabs>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rPr>
              <w:t>评价区村落附近分布</w:t>
            </w:r>
          </w:p>
        </w:tc>
        <w:tc>
          <w:tcPr>
            <w:tcW w:w="981" w:type="dxa"/>
            <w:tcBorders>
              <w:tl2br w:val="nil"/>
              <w:tr2bl w:val="nil"/>
            </w:tcBorders>
            <w:noWrap w:val="0"/>
            <w:vAlign w:val="center"/>
          </w:tcPr>
          <w:p w14:paraId="5E1E40EF">
            <w:pPr>
              <w:keepNext w:val="0"/>
              <w:keepLines w:val="0"/>
              <w:suppressLineNumbers w:val="0"/>
              <w:tabs>
                <w:tab w:val="left" w:pos="317"/>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0.09</w:t>
            </w:r>
          </w:p>
        </w:tc>
        <w:tc>
          <w:tcPr>
            <w:tcW w:w="843" w:type="dxa"/>
            <w:tcBorders>
              <w:tl2br w:val="nil"/>
              <w:tr2bl w:val="nil"/>
            </w:tcBorders>
            <w:noWrap w:val="0"/>
            <w:vAlign w:val="center"/>
          </w:tcPr>
          <w:p w14:paraId="7154D818">
            <w:pPr>
              <w:keepNext w:val="0"/>
              <w:keepLines w:val="0"/>
              <w:suppressLineNumbers w:val="0"/>
              <w:tabs>
                <w:tab w:val="left" w:pos="317"/>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8.03</w:t>
            </w:r>
          </w:p>
        </w:tc>
      </w:tr>
      <w:tr w14:paraId="0FB18C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6" w:type="dxa"/>
            <w:vMerge w:val="continue"/>
            <w:tcBorders>
              <w:tl2br w:val="nil"/>
              <w:tr2bl w:val="nil"/>
            </w:tcBorders>
            <w:noWrap w:val="0"/>
            <w:vAlign w:val="center"/>
          </w:tcPr>
          <w:p w14:paraId="0B4A6B4F">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836" w:type="dxa"/>
            <w:vMerge w:val="continue"/>
            <w:tcBorders>
              <w:tl2br w:val="nil"/>
              <w:tr2bl w:val="nil"/>
            </w:tcBorders>
            <w:noWrap w:val="0"/>
            <w:vAlign w:val="center"/>
          </w:tcPr>
          <w:p w14:paraId="7AB660A4">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976" w:type="dxa"/>
            <w:tcBorders>
              <w:tl2br w:val="nil"/>
              <w:tr2bl w:val="nil"/>
            </w:tcBorders>
            <w:noWrap w:val="0"/>
            <w:vAlign w:val="center"/>
          </w:tcPr>
          <w:p w14:paraId="3E69F64C">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rPr>
              <w:t>用材树种</w:t>
            </w:r>
          </w:p>
        </w:tc>
        <w:tc>
          <w:tcPr>
            <w:tcW w:w="2573" w:type="dxa"/>
            <w:gridSpan w:val="2"/>
            <w:tcBorders>
              <w:tl2br w:val="nil"/>
              <w:tr2bl w:val="nil"/>
            </w:tcBorders>
            <w:noWrap w:val="0"/>
            <w:vAlign w:val="center"/>
          </w:tcPr>
          <w:p w14:paraId="41F5478C">
            <w:pPr>
              <w:keepNext w:val="0"/>
              <w:keepLines w:val="0"/>
              <w:suppressLineNumbers w:val="0"/>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color w:val="auto"/>
                <w:sz w:val="21"/>
                <w:szCs w:val="24"/>
                <w:highlight w:val="none"/>
                <w:u w:val="none"/>
                <w:lang w:val="en-US" w:eastAsia="zh-CN"/>
              </w:rPr>
              <w:t>杉木、</w:t>
            </w:r>
            <w:r>
              <w:rPr>
                <w:rFonts w:hint="default" w:ascii="Times New Roman" w:hAnsi="Times New Roman" w:eastAsia="宋体" w:cs="Times New Roman"/>
                <w:caps w:val="0"/>
                <w:smallCaps w:val="0"/>
                <w:color w:val="auto"/>
                <w:sz w:val="21"/>
                <w:szCs w:val="24"/>
                <w:highlight w:val="none"/>
                <w:u w:val="none"/>
              </w:rPr>
              <w:t>马尾松等</w:t>
            </w:r>
          </w:p>
        </w:tc>
        <w:tc>
          <w:tcPr>
            <w:tcW w:w="1797" w:type="dxa"/>
            <w:vMerge w:val="continue"/>
            <w:tcBorders>
              <w:tl2br w:val="nil"/>
              <w:tr2bl w:val="nil"/>
            </w:tcBorders>
            <w:noWrap w:val="0"/>
            <w:vAlign w:val="center"/>
          </w:tcPr>
          <w:p w14:paraId="7F73393C">
            <w:pPr>
              <w:keepNext w:val="0"/>
              <w:keepLines w:val="0"/>
              <w:suppressLineNumbers w:val="0"/>
              <w:tabs>
                <w:tab w:val="left" w:pos="317"/>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981" w:type="dxa"/>
            <w:tcBorders>
              <w:tl2br w:val="nil"/>
              <w:tr2bl w:val="nil"/>
            </w:tcBorders>
            <w:noWrap w:val="0"/>
            <w:vAlign w:val="center"/>
          </w:tcPr>
          <w:p w14:paraId="165140FC">
            <w:pPr>
              <w:keepNext w:val="0"/>
              <w:keepLines w:val="0"/>
              <w:suppressLineNumbers w:val="0"/>
              <w:tabs>
                <w:tab w:val="left" w:pos="317"/>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rPr>
              <w:t>/</w:t>
            </w:r>
          </w:p>
        </w:tc>
        <w:tc>
          <w:tcPr>
            <w:tcW w:w="843" w:type="dxa"/>
            <w:tcBorders>
              <w:tl2br w:val="nil"/>
              <w:tr2bl w:val="nil"/>
            </w:tcBorders>
            <w:noWrap w:val="0"/>
            <w:vAlign w:val="center"/>
          </w:tcPr>
          <w:p w14:paraId="48928183">
            <w:pPr>
              <w:keepNext w:val="0"/>
              <w:keepLines w:val="0"/>
              <w:suppressLineNumbers w:val="0"/>
              <w:tabs>
                <w:tab w:val="left" w:pos="317"/>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rPr>
              <w:t>/</w:t>
            </w:r>
          </w:p>
        </w:tc>
      </w:tr>
      <w:tr w14:paraId="4249B7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6" w:type="dxa"/>
            <w:vMerge w:val="continue"/>
            <w:tcBorders>
              <w:tl2br w:val="nil"/>
              <w:tr2bl w:val="nil"/>
            </w:tcBorders>
            <w:noWrap w:val="0"/>
            <w:vAlign w:val="center"/>
          </w:tcPr>
          <w:p w14:paraId="379224CA">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836" w:type="dxa"/>
            <w:vMerge w:val="restart"/>
            <w:tcBorders>
              <w:tl2br w:val="nil"/>
              <w:tr2bl w:val="nil"/>
            </w:tcBorders>
            <w:noWrap w:val="0"/>
            <w:vAlign w:val="center"/>
          </w:tcPr>
          <w:p w14:paraId="40944A1B">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rPr>
              <w:t>农作物</w:t>
            </w:r>
          </w:p>
        </w:tc>
        <w:tc>
          <w:tcPr>
            <w:tcW w:w="976" w:type="dxa"/>
            <w:tcBorders>
              <w:tl2br w:val="nil"/>
              <w:tr2bl w:val="nil"/>
            </w:tcBorders>
            <w:noWrap w:val="0"/>
            <w:vAlign w:val="center"/>
          </w:tcPr>
          <w:p w14:paraId="683732B2">
            <w:pPr>
              <w:keepNext w:val="0"/>
              <w:keepLines w:val="0"/>
              <w:suppressLineNumbers w:val="0"/>
              <w:tabs>
                <w:tab w:val="left" w:pos="1021"/>
              </w:tabs>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rPr>
              <w:t>粮食作物</w:t>
            </w:r>
          </w:p>
        </w:tc>
        <w:tc>
          <w:tcPr>
            <w:tcW w:w="2573" w:type="dxa"/>
            <w:gridSpan w:val="2"/>
            <w:tcBorders>
              <w:tl2br w:val="nil"/>
              <w:tr2bl w:val="nil"/>
            </w:tcBorders>
            <w:noWrap w:val="0"/>
            <w:vAlign w:val="center"/>
          </w:tcPr>
          <w:p w14:paraId="155922C7">
            <w:pPr>
              <w:keepNext w:val="0"/>
              <w:keepLines w:val="0"/>
              <w:suppressLineNumbers w:val="0"/>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color w:val="auto"/>
                <w:sz w:val="21"/>
                <w:szCs w:val="24"/>
                <w:highlight w:val="none"/>
                <w:u w:val="none"/>
              </w:rPr>
              <w:t>水稻、薯类等</w:t>
            </w:r>
          </w:p>
        </w:tc>
        <w:tc>
          <w:tcPr>
            <w:tcW w:w="1797" w:type="dxa"/>
            <w:vMerge w:val="continue"/>
            <w:tcBorders>
              <w:tl2br w:val="nil"/>
              <w:tr2bl w:val="nil"/>
            </w:tcBorders>
            <w:noWrap w:val="0"/>
            <w:vAlign w:val="center"/>
          </w:tcPr>
          <w:p w14:paraId="606DD2AF">
            <w:pPr>
              <w:keepNext w:val="0"/>
              <w:keepLines w:val="0"/>
              <w:suppressLineNumbers w:val="0"/>
              <w:tabs>
                <w:tab w:val="left" w:pos="1021"/>
              </w:tabs>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981" w:type="dxa"/>
            <w:tcBorders>
              <w:tl2br w:val="nil"/>
              <w:tr2bl w:val="nil"/>
            </w:tcBorders>
            <w:noWrap w:val="0"/>
            <w:vAlign w:val="center"/>
          </w:tcPr>
          <w:p w14:paraId="5A679075">
            <w:pPr>
              <w:keepNext w:val="0"/>
              <w:keepLines w:val="0"/>
              <w:suppressLineNumbers w:val="0"/>
              <w:tabs>
                <w:tab w:val="left" w:pos="1021"/>
              </w:tabs>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rPr>
              <w:t>/</w:t>
            </w:r>
          </w:p>
        </w:tc>
        <w:tc>
          <w:tcPr>
            <w:tcW w:w="843" w:type="dxa"/>
            <w:tcBorders>
              <w:tl2br w:val="nil"/>
              <w:tr2bl w:val="nil"/>
            </w:tcBorders>
            <w:noWrap w:val="0"/>
            <w:vAlign w:val="center"/>
          </w:tcPr>
          <w:p w14:paraId="7D862D5F">
            <w:pPr>
              <w:keepNext w:val="0"/>
              <w:keepLines w:val="0"/>
              <w:suppressLineNumbers w:val="0"/>
              <w:tabs>
                <w:tab w:val="left" w:pos="1021"/>
              </w:tabs>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rPr>
              <w:t>/</w:t>
            </w:r>
          </w:p>
        </w:tc>
      </w:tr>
      <w:tr w14:paraId="5DA76A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6" w:type="dxa"/>
            <w:vMerge w:val="continue"/>
            <w:tcBorders>
              <w:tl2br w:val="nil"/>
              <w:tr2bl w:val="nil"/>
            </w:tcBorders>
            <w:noWrap w:val="0"/>
            <w:vAlign w:val="center"/>
          </w:tcPr>
          <w:p w14:paraId="3E558655">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836" w:type="dxa"/>
            <w:vMerge w:val="continue"/>
            <w:tcBorders>
              <w:tl2br w:val="nil"/>
              <w:tr2bl w:val="nil"/>
            </w:tcBorders>
            <w:noWrap w:val="0"/>
            <w:vAlign w:val="center"/>
          </w:tcPr>
          <w:p w14:paraId="598A45E0">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976" w:type="dxa"/>
            <w:tcBorders>
              <w:tl2br w:val="nil"/>
              <w:tr2bl w:val="nil"/>
            </w:tcBorders>
            <w:noWrap w:val="0"/>
            <w:vAlign w:val="center"/>
          </w:tcPr>
          <w:p w14:paraId="546B7374">
            <w:pPr>
              <w:keepNext w:val="0"/>
              <w:keepLines w:val="0"/>
              <w:suppressLineNumbers w:val="0"/>
              <w:tabs>
                <w:tab w:val="left" w:pos="1021"/>
              </w:tabs>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rPr>
              <w:t>经济作物</w:t>
            </w:r>
          </w:p>
        </w:tc>
        <w:tc>
          <w:tcPr>
            <w:tcW w:w="2573" w:type="dxa"/>
            <w:gridSpan w:val="2"/>
            <w:tcBorders>
              <w:tl2br w:val="nil"/>
              <w:tr2bl w:val="nil"/>
            </w:tcBorders>
            <w:noWrap w:val="0"/>
            <w:vAlign w:val="center"/>
          </w:tcPr>
          <w:p w14:paraId="42FA84BC">
            <w:pPr>
              <w:keepNext w:val="0"/>
              <w:keepLines w:val="0"/>
              <w:suppressLineNumbers w:val="0"/>
              <w:spacing w:before="0" w:beforeAutospacing="0" w:after="0" w:afterAutospacing="0" w:line="240" w:lineRule="auto"/>
              <w:ind w:left="0" w:leftChars="0" w:right="0" w:rightChars="0" w:firstLine="0" w:firstLineChars="0"/>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color w:val="auto"/>
                <w:sz w:val="21"/>
                <w:szCs w:val="24"/>
                <w:highlight w:val="none"/>
                <w:u w:val="none"/>
              </w:rPr>
              <w:t>豆类、</w:t>
            </w:r>
            <w:r>
              <w:rPr>
                <w:rFonts w:hint="default" w:ascii="Times New Roman" w:hAnsi="Times New Roman" w:eastAsia="宋体" w:cs="Times New Roman"/>
                <w:caps w:val="0"/>
                <w:smallCaps w:val="0"/>
                <w:color w:val="auto"/>
                <w:sz w:val="21"/>
                <w:szCs w:val="24"/>
                <w:highlight w:val="none"/>
                <w:u w:val="none"/>
                <w:lang w:val="en-US" w:eastAsia="zh-CN"/>
              </w:rPr>
              <w:t>花生</w:t>
            </w:r>
            <w:r>
              <w:rPr>
                <w:rFonts w:hint="default" w:ascii="Times New Roman" w:hAnsi="Times New Roman" w:eastAsia="宋体" w:cs="Times New Roman"/>
                <w:caps w:val="0"/>
                <w:smallCaps w:val="0"/>
                <w:color w:val="auto"/>
                <w:sz w:val="21"/>
                <w:szCs w:val="24"/>
                <w:highlight w:val="none"/>
                <w:u w:val="none"/>
              </w:rPr>
              <w:t>等</w:t>
            </w:r>
          </w:p>
        </w:tc>
        <w:tc>
          <w:tcPr>
            <w:tcW w:w="1797" w:type="dxa"/>
            <w:vMerge w:val="continue"/>
            <w:tcBorders>
              <w:tl2br w:val="nil"/>
              <w:tr2bl w:val="nil"/>
            </w:tcBorders>
            <w:noWrap w:val="0"/>
            <w:vAlign w:val="center"/>
          </w:tcPr>
          <w:p w14:paraId="55953194">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p>
        </w:tc>
        <w:tc>
          <w:tcPr>
            <w:tcW w:w="981" w:type="dxa"/>
            <w:tcBorders>
              <w:tl2br w:val="nil"/>
              <w:tr2bl w:val="nil"/>
            </w:tcBorders>
            <w:noWrap w:val="0"/>
            <w:vAlign w:val="center"/>
          </w:tcPr>
          <w:p w14:paraId="676D0B52">
            <w:pPr>
              <w:keepNext w:val="0"/>
              <w:keepLines w:val="0"/>
              <w:suppressLineNumbers w:val="0"/>
              <w:tabs>
                <w:tab w:val="left" w:pos="1021"/>
              </w:tabs>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w:t>
            </w:r>
          </w:p>
        </w:tc>
        <w:tc>
          <w:tcPr>
            <w:tcW w:w="843" w:type="dxa"/>
            <w:tcBorders>
              <w:tl2br w:val="nil"/>
              <w:tr2bl w:val="nil"/>
            </w:tcBorders>
            <w:noWrap w:val="0"/>
            <w:vAlign w:val="center"/>
          </w:tcPr>
          <w:p w14:paraId="71111B1D">
            <w:pPr>
              <w:keepNext w:val="0"/>
              <w:keepLines w:val="0"/>
              <w:suppressLineNumbers w:val="0"/>
              <w:tabs>
                <w:tab w:val="left" w:pos="1021"/>
              </w:tabs>
              <w:adjustRightIn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w:t>
            </w:r>
          </w:p>
        </w:tc>
      </w:tr>
    </w:tbl>
    <w:p w14:paraId="0D15D0DB">
      <w:pPr>
        <w:bidi w:val="0"/>
        <w:spacing w:line="360" w:lineRule="auto"/>
        <w:ind w:firstLine="480" w:firstLineChars="200"/>
        <w:rPr>
          <w:rFonts w:hint="default" w:ascii="Times New Roman" w:hAnsi="Times New Roman" w:eastAsia="宋体" w:cs="Times New Roman"/>
          <w:caps w:val="0"/>
          <w:smallCaps w:val="0"/>
          <w:sz w:val="24"/>
          <w:szCs w:val="21"/>
        </w:rPr>
      </w:pPr>
      <w:r>
        <w:rPr>
          <w:rFonts w:hint="default" w:ascii="Times New Roman" w:hAnsi="Times New Roman" w:eastAsia="宋体" w:cs="Times New Roman"/>
          <w:caps w:val="0"/>
          <w:smallCaps w:val="0"/>
          <w:sz w:val="24"/>
          <w:szCs w:val="21"/>
        </w:rPr>
        <w:t>主要</w:t>
      </w:r>
      <w:r>
        <w:rPr>
          <w:rFonts w:hint="default" w:ascii="Times New Roman" w:hAnsi="Times New Roman" w:eastAsia="宋体" w:cs="Times New Roman"/>
          <w:caps w:val="0"/>
          <w:smallCaps w:val="0"/>
          <w:sz w:val="24"/>
          <w:szCs w:val="21"/>
          <w:lang w:val="en-US" w:eastAsia="zh-CN"/>
        </w:rPr>
        <w:t>植物群落</w:t>
      </w:r>
      <w:r>
        <w:rPr>
          <w:rFonts w:hint="default" w:ascii="Times New Roman" w:hAnsi="Times New Roman" w:eastAsia="宋体" w:cs="Times New Roman"/>
          <w:caps w:val="0"/>
          <w:smallCaps w:val="0"/>
          <w:sz w:val="24"/>
          <w:szCs w:val="21"/>
        </w:rPr>
        <w:t>描述</w:t>
      </w:r>
    </w:p>
    <w:p w14:paraId="5B6154CF">
      <w:pPr>
        <w:spacing w:line="360" w:lineRule="auto"/>
        <w:ind w:firstLine="480" w:firstLineChars="200"/>
        <w:rPr>
          <w:rFonts w:hint="default" w:ascii="Times New Roman" w:hAnsi="Times New Roman" w:eastAsia="宋体" w:cs="Times New Roman"/>
          <w:caps w:val="0"/>
          <w:smallCaps w:val="0"/>
          <w:sz w:val="24"/>
          <w:szCs w:val="21"/>
          <w:u w:val="none"/>
          <w:lang w:eastAsia="zh-CN"/>
        </w:rPr>
      </w:pPr>
      <w:r>
        <w:rPr>
          <w:rFonts w:hint="default" w:ascii="Times New Roman" w:hAnsi="Times New Roman" w:eastAsia="宋体" w:cs="Times New Roman"/>
          <w:caps w:val="0"/>
          <w:smallCaps w:val="0"/>
          <w:sz w:val="24"/>
          <w:szCs w:val="21"/>
          <w:u w:val="none"/>
        </w:rPr>
        <w:t>参照《中国植被》、《湖南植被》的分类原则</w:t>
      </w:r>
      <w:r>
        <w:rPr>
          <w:rFonts w:hint="default" w:ascii="Times New Roman" w:hAnsi="Times New Roman" w:eastAsia="宋体" w:cs="Times New Roman"/>
          <w:caps w:val="0"/>
          <w:smallCaps w:val="0"/>
          <w:sz w:val="24"/>
          <w:szCs w:val="21"/>
          <w:u w:val="none"/>
          <w:lang w:eastAsia="zh-CN"/>
        </w:rPr>
        <w:t>，</w:t>
      </w:r>
      <w:r>
        <w:rPr>
          <w:rFonts w:hint="default" w:ascii="Times New Roman" w:hAnsi="Times New Roman" w:eastAsia="宋体" w:cs="Times New Roman"/>
          <w:caps w:val="0"/>
          <w:smallCaps w:val="0"/>
          <w:sz w:val="24"/>
          <w:szCs w:val="21"/>
          <w:u w:val="none"/>
          <w:lang w:val="en-US" w:eastAsia="zh-CN"/>
        </w:rPr>
        <w:t>根据样方调查结果，</w:t>
      </w:r>
      <w:r>
        <w:rPr>
          <w:rFonts w:hint="default" w:ascii="Times New Roman" w:hAnsi="Times New Roman" w:eastAsia="宋体" w:cs="Times New Roman"/>
          <w:caps w:val="0"/>
          <w:smallCaps w:val="0"/>
          <w:sz w:val="24"/>
          <w:szCs w:val="21"/>
          <w:u w:val="none"/>
        </w:rPr>
        <w:t>对评价区植被中主要植物群落的分布及特征进行描述。</w:t>
      </w:r>
    </w:p>
    <w:p w14:paraId="03B9DE5A">
      <w:pPr>
        <w:widowControl/>
        <w:numPr>
          <w:ilvl w:val="0"/>
          <w:numId w:val="19"/>
        </w:numPr>
        <w:spacing w:before="100" w:beforeAutospacing="1" w:line="360" w:lineRule="auto"/>
        <w:ind w:firstLine="482" w:firstLineChars="200"/>
        <w:contextualSpacing/>
        <w:jc w:val="left"/>
        <w:rPr>
          <w:rFonts w:hint="default" w:ascii="Times New Roman" w:hAnsi="Times New Roman" w:eastAsia="宋体" w:cs="Times New Roman"/>
          <w:b/>
          <w:bCs/>
          <w:caps w:val="0"/>
          <w:smallCaps w:val="0"/>
          <w:sz w:val="24"/>
          <w:szCs w:val="21"/>
          <w:lang w:val="en-US" w:eastAsia="zh-CN"/>
        </w:rPr>
      </w:pPr>
      <w:bookmarkStart w:id="229" w:name="_Toc31411"/>
      <w:bookmarkStart w:id="230" w:name="_Toc22311"/>
      <w:bookmarkStart w:id="231" w:name="_Toc24846"/>
      <w:r>
        <w:rPr>
          <w:rFonts w:hint="default" w:ascii="Times New Roman" w:hAnsi="Times New Roman" w:eastAsia="宋体" w:cs="Times New Roman"/>
          <w:b/>
          <w:bCs/>
          <w:caps w:val="0"/>
          <w:smallCaps w:val="0"/>
          <w:sz w:val="24"/>
          <w:szCs w:val="21"/>
          <w:lang w:val="en-US" w:eastAsia="zh-CN"/>
        </w:rPr>
        <w:t>阔叶林</w:t>
      </w:r>
    </w:p>
    <w:bookmarkEnd w:id="229"/>
    <w:bookmarkEnd w:id="230"/>
    <w:bookmarkEnd w:id="231"/>
    <w:p w14:paraId="397ED02B">
      <w:pPr>
        <w:widowControl w:val="0"/>
        <w:spacing w:line="360" w:lineRule="auto"/>
        <w:ind w:firstLine="482" w:firstLineChars="200"/>
        <w:jc w:val="both"/>
        <w:rPr>
          <w:rFonts w:hint="default" w:ascii="Times New Roman" w:hAnsi="Times New Roman" w:eastAsia="宋体" w:cs="Times New Roman"/>
          <w:b/>
          <w:bCs/>
          <w:kern w:val="2"/>
          <w:sz w:val="24"/>
          <w:szCs w:val="21"/>
          <w:lang w:val="en-US" w:eastAsia="zh-CN" w:bidi="ar-SA"/>
        </w:rPr>
      </w:pPr>
      <w:bookmarkStart w:id="232" w:name="_Toc25395"/>
      <w:bookmarkStart w:id="233" w:name="_Toc24548"/>
      <w:bookmarkStart w:id="234" w:name="_Toc21566"/>
      <w:bookmarkStart w:id="235" w:name="_Toc8715"/>
      <w:r>
        <w:rPr>
          <w:rFonts w:hint="default" w:ascii="Times New Roman" w:hAnsi="Times New Roman" w:eastAsia="宋体" w:cs="Times New Roman"/>
          <w:b/>
          <w:bCs/>
          <w:kern w:val="2"/>
          <w:sz w:val="24"/>
          <w:szCs w:val="21"/>
          <w:lang w:val="en-US" w:eastAsia="zh-CN" w:bidi="ar-SA"/>
        </w:rPr>
        <w:t>1.锥栗群系</w:t>
      </w:r>
    </w:p>
    <w:p w14:paraId="2448F0D7">
      <w:pPr>
        <w:spacing w:line="360" w:lineRule="auto"/>
        <w:ind w:firstLine="480" w:firstLineChars="200"/>
        <w:rPr>
          <w:rFonts w:hint="default" w:ascii="Times New Roman" w:hAnsi="Times New Roman" w:eastAsia="宋体" w:cs="Times New Roman"/>
          <w:b w:val="0"/>
          <w:bCs w:val="0"/>
          <w:sz w:val="24"/>
          <w:szCs w:val="21"/>
          <w:lang w:eastAsia="zh-CN"/>
        </w:rPr>
      </w:pPr>
      <w:r>
        <w:rPr>
          <w:rFonts w:hint="default" w:ascii="Times New Roman" w:hAnsi="Times New Roman" w:eastAsia="宋体" w:cs="Times New Roman"/>
          <w:b w:val="0"/>
          <w:bCs w:val="0"/>
          <w:sz w:val="24"/>
          <w:szCs w:val="21"/>
          <w:lang w:val="en-US" w:eastAsia="zh-CN"/>
        </w:rPr>
        <w:t>锥栗</w:t>
      </w:r>
      <w:r>
        <w:rPr>
          <w:rFonts w:hint="default" w:ascii="Times New Roman" w:hAnsi="Times New Roman" w:eastAsia="宋体" w:cs="Times New Roman"/>
          <w:b w:val="0"/>
          <w:bCs w:val="0"/>
          <w:sz w:val="24"/>
          <w:szCs w:val="21"/>
          <w:lang w:eastAsia="zh-CN"/>
        </w:rPr>
        <w:t>(</w:t>
      </w:r>
      <w:r>
        <w:rPr>
          <w:rFonts w:hint="default" w:ascii="Times New Roman" w:hAnsi="Times New Roman" w:eastAsia="宋体" w:cs="Times New Roman"/>
          <w:b w:val="0"/>
          <w:bCs w:val="0"/>
          <w:i/>
          <w:iCs/>
          <w:sz w:val="24"/>
          <w:szCs w:val="21"/>
          <w:lang w:eastAsia="zh-CN"/>
        </w:rPr>
        <w:t>Castanea henryi</w:t>
      </w:r>
      <w:r>
        <w:rPr>
          <w:rFonts w:hint="default" w:ascii="Times New Roman" w:hAnsi="Times New Roman" w:eastAsia="宋体" w:cs="Times New Roman"/>
          <w:b w:val="0"/>
          <w:bCs w:val="0"/>
          <w:i w:val="0"/>
          <w:iCs w:val="0"/>
          <w:sz w:val="24"/>
          <w:szCs w:val="21"/>
          <w:lang w:eastAsia="zh-CN"/>
        </w:rPr>
        <w:t>(Skan) Rehder &amp; E. H. Wilson</w:t>
      </w:r>
      <w:r>
        <w:rPr>
          <w:rFonts w:hint="default" w:ascii="Times New Roman" w:hAnsi="Times New Roman" w:eastAsia="宋体" w:cs="Times New Roman"/>
          <w:b w:val="0"/>
          <w:bCs w:val="0"/>
          <w:sz w:val="24"/>
          <w:szCs w:val="21"/>
          <w:lang w:eastAsia="zh-CN"/>
        </w:rPr>
        <w:t>)，壳斗科、</w:t>
      </w:r>
      <w:r>
        <w:rPr>
          <w:rFonts w:hint="default" w:ascii="Times New Roman" w:hAnsi="Times New Roman" w:eastAsia="宋体" w:cs="Times New Roman"/>
          <w:b w:val="0"/>
          <w:bCs w:val="0"/>
          <w:sz w:val="24"/>
          <w:szCs w:val="21"/>
          <w:lang w:val="en-US" w:eastAsia="zh-CN"/>
        </w:rPr>
        <w:t>栗</w:t>
      </w:r>
      <w:r>
        <w:rPr>
          <w:rFonts w:hint="default" w:ascii="Times New Roman" w:hAnsi="Times New Roman" w:eastAsia="宋体" w:cs="Times New Roman"/>
          <w:b w:val="0"/>
          <w:bCs w:val="0"/>
          <w:sz w:val="24"/>
          <w:szCs w:val="21"/>
          <w:lang w:eastAsia="zh-CN"/>
        </w:rPr>
        <w:t>属常绿大乔木，在中国广布于秦岭南坡以南、五岭以北各地，但台湾及海南不产。</w:t>
      </w:r>
      <w:r>
        <w:rPr>
          <w:rFonts w:hint="default" w:ascii="Times New Roman" w:hAnsi="Times New Roman" w:eastAsia="宋体" w:cs="Times New Roman"/>
          <w:b w:val="0"/>
          <w:bCs w:val="0"/>
          <w:sz w:val="24"/>
          <w:szCs w:val="21"/>
          <w:lang w:val="en-US" w:eastAsia="zh-CN"/>
        </w:rPr>
        <w:t>锥栗</w:t>
      </w:r>
      <w:r>
        <w:rPr>
          <w:rFonts w:hint="default" w:ascii="Times New Roman" w:hAnsi="Times New Roman" w:eastAsia="宋体" w:cs="Times New Roman"/>
          <w:b w:val="0"/>
          <w:bCs w:val="0"/>
          <w:sz w:val="24"/>
          <w:szCs w:val="21"/>
          <w:lang w:eastAsia="zh-CN"/>
        </w:rPr>
        <w:t>常生于海拔100-1800米的丘陵与山地。在评价区内大量分布，也与其他树种混交，</w:t>
      </w:r>
      <w:r>
        <w:rPr>
          <w:rFonts w:hint="default" w:ascii="Times New Roman" w:hAnsi="Times New Roman" w:eastAsia="宋体" w:cs="Times New Roman"/>
          <w:caps w:val="0"/>
          <w:smallCaps w:val="0"/>
          <w:color w:val="auto"/>
          <w:kern w:val="0"/>
          <w:sz w:val="24"/>
          <w:szCs w:val="24"/>
          <w:u w:val="none"/>
        </w:rPr>
        <w:t>群落外貌绿色，林下土壤为黄壤，林冠整齐，群落结构及种类组成较简单。</w:t>
      </w:r>
    </w:p>
    <w:p w14:paraId="530B6DF2">
      <w:pPr>
        <w:widowControl w:val="0"/>
        <w:spacing w:line="360" w:lineRule="auto"/>
        <w:ind w:firstLine="480" w:firstLineChars="200"/>
        <w:jc w:val="both"/>
        <w:rPr>
          <w:rFonts w:hint="default" w:ascii="Times New Roman" w:hAnsi="Times New Roman" w:eastAsia="宋体" w:cs="Times New Roman"/>
          <w:kern w:val="2"/>
          <w:sz w:val="24"/>
          <w:szCs w:val="21"/>
          <w:lang w:val="en-US" w:eastAsia="zh-CN" w:bidi="ar-SA"/>
        </w:rPr>
      </w:pPr>
      <w:r>
        <w:rPr>
          <w:rFonts w:hint="default" w:ascii="Times New Roman" w:hAnsi="Times New Roman" w:eastAsia="宋体" w:cs="Times New Roman"/>
          <w:b w:val="0"/>
          <w:bCs w:val="0"/>
          <w:kern w:val="2"/>
          <w:sz w:val="24"/>
          <w:szCs w:val="21"/>
          <w:lang w:val="en-US" w:eastAsia="zh-CN" w:bidi="ar-SA"/>
        </w:rPr>
        <w:t>乔木层郁闭度0.85，层均高12m，优势种为锥栗(</w:t>
      </w:r>
      <w:r>
        <w:rPr>
          <w:rFonts w:hint="default" w:ascii="Times New Roman" w:hAnsi="Times New Roman" w:eastAsia="宋体" w:cs="Times New Roman"/>
          <w:b w:val="0"/>
          <w:bCs w:val="0"/>
          <w:i/>
          <w:iCs/>
          <w:kern w:val="2"/>
          <w:sz w:val="24"/>
          <w:szCs w:val="21"/>
          <w:lang w:val="en-US" w:eastAsia="zh-CN" w:bidi="ar-SA"/>
        </w:rPr>
        <w:t>Castanea henryi</w:t>
      </w:r>
      <w:r>
        <w:rPr>
          <w:rFonts w:hint="default" w:ascii="Times New Roman" w:hAnsi="Times New Roman" w:eastAsia="宋体" w:cs="Times New Roman"/>
          <w:b w:val="0"/>
          <w:bCs w:val="0"/>
          <w:i w:val="0"/>
          <w:iCs w:val="0"/>
          <w:kern w:val="2"/>
          <w:sz w:val="24"/>
          <w:szCs w:val="21"/>
          <w:lang w:val="en-US" w:eastAsia="zh-CN" w:bidi="ar-SA"/>
        </w:rPr>
        <w:t>(Skan) Rehder &amp; E. H. Wilson</w:t>
      </w:r>
      <w:r>
        <w:rPr>
          <w:rFonts w:hint="default" w:ascii="Times New Roman" w:hAnsi="Times New Roman" w:eastAsia="宋体" w:cs="Times New Roman"/>
          <w:kern w:val="2"/>
          <w:sz w:val="24"/>
          <w:szCs w:val="22"/>
          <w:lang w:val="en-US" w:eastAsia="zh-CN" w:bidi="ar-SA"/>
        </w:rPr>
        <w:t>)，高9-15m，胸径25-40cm，其他主要物种有</w:t>
      </w:r>
      <w:r>
        <w:rPr>
          <w:rFonts w:hint="default" w:ascii="Times New Roman" w:hAnsi="Times New Roman" w:eastAsia="宋体" w:cs="Times New Roman"/>
          <w:kern w:val="2"/>
          <w:sz w:val="24"/>
          <w:szCs w:val="21"/>
          <w:lang w:val="en-US" w:eastAsia="zh-CN" w:bidi="ar-SA"/>
        </w:rPr>
        <w:t>毛竹(</w:t>
      </w:r>
      <w:r>
        <w:rPr>
          <w:rFonts w:hint="default" w:ascii="Times New Roman" w:hAnsi="Times New Roman" w:eastAsia="宋体" w:cs="Times New Roman"/>
          <w:i/>
          <w:iCs/>
          <w:kern w:val="2"/>
          <w:sz w:val="24"/>
          <w:szCs w:val="21"/>
          <w:lang w:val="en-US" w:eastAsia="zh-CN" w:bidi="ar-SA"/>
        </w:rPr>
        <w:t>Phyllostachys edulis</w:t>
      </w:r>
      <w:r>
        <w:rPr>
          <w:rFonts w:hint="default" w:ascii="Times New Roman" w:hAnsi="Times New Roman" w:eastAsia="宋体" w:cs="Times New Roman"/>
          <w:kern w:val="2"/>
          <w:sz w:val="24"/>
          <w:szCs w:val="21"/>
          <w:lang w:val="en-US" w:eastAsia="zh-CN" w:bidi="ar-SA"/>
        </w:rPr>
        <w:t xml:space="preserve"> (Carrière) J. Houz.)</w:t>
      </w:r>
      <w:r>
        <w:rPr>
          <w:rFonts w:hint="default" w:ascii="Times New Roman" w:hAnsi="Times New Roman" w:eastAsia="宋体" w:cs="Times New Roman"/>
          <w:kern w:val="2"/>
          <w:sz w:val="24"/>
          <w:szCs w:val="22"/>
          <w:lang w:val="en-US" w:eastAsia="zh-CN" w:bidi="ar-SA"/>
        </w:rPr>
        <w:t>、樟(Camphora officinarum Nees)、檫木(</w:t>
      </w:r>
      <w:r>
        <w:rPr>
          <w:rFonts w:hint="default" w:ascii="Times New Roman" w:hAnsi="Times New Roman" w:eastAsia="宋体" w:cs="Times New Roman"/>
          <w:i/>
          <w:iCs/>
          <w:kern w:val="2"/>
          <w:sz w:val="24"/>
          <w:szCs w:val="22"/>
          <w:lang w:val="en-US" w:eastAsia="zh-CN" w:bidi="ar-SA"/>
        </w:rPr>
        <w:t xml:space="preserve">Sassafras tzumu </w:t>
      </w:r>
      <w:r>
        <w:rPr>
          <w:rFonts w:hint="default" w:ascii="Times New Roman" w:hAnsi="Times New Roman" w:eastAsia="宋体" w:cs="Times New Roman"/>
          <w:i w:val="0"/>
          <w:iCs w:val="0"/>
          <w:kern w:val="2"/>
          <w:sz w:val="24"/>
          <w:szCs w:val="22"/>
          <w:lang w:val="en-US" w:eastAsia="zh-CN" w:bidi="ar-SA"/>
        </w:rPr>
        <w:t>(Hemsl.) Hemsl.</w:t>
      </w:r>
      <w:r>
        <w:rPr>
          <w:rFonts w:hint="default" w:ascii="Times New Roman" w:hAnsi="Times New Roman" w:eastAsia="宋体" w:cs="Times New Roman"/>
          <w:kern w:val="2"/>
          <w:sz w:val="24"/>
          <w:szCs w:val="22"/>
          <w:lang w:val="en-US" w:eastAsia="zh-CN" w:bidi="ar-SA"/>
        </w:rPr>
        <w:t>)、构树(</w:t>
      </w:r>
      <w:r>
        <w:rPr>
          <w:rFonts w:hint="default" w:ascii="Times New Roman" w:hAnsi="Times New Roman" w:eastAsia="宋体" w:cs="Times New Roman"/>
          <w:i/>
          <w:iCs/>
          <w:kern w:val="2"/>
          <w:sz w:val="24"/>
          <w:szCs w:val="22"/>
          <w:lang w:val="en-US" w:eastAsia="zh-CN" w:bidi="ar-SA"/>
        </w:rPr>
        <w:t xml:space="preserve">Broussonetia papyrifera </w:t>
      </w:r>
      <w:r>
        <w:rPr>
          <w:rFonts w:hint="default" w:ascii="Times New Roman" w:hAnsi="Times New Roman" w:eastAsia="宋体" w:cs="Times New Roman"/>
          <w:i w:val="0"/>
          <w:iCs w:val="0"/>
          <w:kern w:val="2"/>
          <w:sz w:val="24"/>
          <w:szCs w:val="22"/>
          <w:lang w:val="en-US" w:eastAsia="zh-CN" w:bidi="ar-SA"/>
        </w:rPr>
        <w:t>(L.) L'Hér. ex Vent.</w:t>
      </w:r>
      <w:r>
        <w:rPr>
          <w:rFonts w:hint="default" w:ascii="Times New Roman" w:hAnsi="Times New Roman" w:eastAsia="宋体" w:cs="Times New Roman"/>
          <w:kern w:val="2"/>
          <w:sz w:val="24"/>
          <w:szCs w:val="22"/>
          <w:lang w:val="en-US" w:eastAsia="zh-CN" w:bidi="ar-SA"/>
        </w:rPr>
        <w:t>)等；林下灌木层盖度35%，层均高1.5m，优势种为篌竹(</w:t>
      </w:r>
      <w:r>
        <w:rPr>
          <w:rFonts w:hint="default" w:ascii="Times New Roman" w:hAnsi="Times New Roman" w:eastAsia="宋体" w:cs="Times New Roman"/>
          <w:i/>
          <w:iCs/>
          <w:kern w:val="2"/>
          <w:sz w:val="24"/>
          <w:szCs w:val="22"/>
          <w:lang w:val="en-US" w:eastAsia="zh-CN" w:bidi="ar-SA"/>
        </w:rPr>
        <w:t>Phyllostachys nidularia</w:t>
      </w:r>
      <w:r>
        <w:rPr>
          <w:rFonts w:hint="default" w:ascii="Times New Roman" w:hAnsi="Times New Roman" w:eastAsia="宋体" w:cs="Times New Roman"/>
          <w:kern w:val="2"/>
          <w:sz w:val="24"/>
          <w:szCs w:val="22"/>
          <w:lang w:val="en-US" w:eastAsia="zh-CN" w:bidi="ar-SA"/>
        </w:rPr>
        <w:t xml:space="preserve"> Munro)高1.2-2.5m，地径0.2-0.7cm、刺槐(</w:t>
      </w:r>
      <w:r>
        <w:rPr>
          <w:rFonts w:hint="default" w:ascii="Times New Roman" w:hAnsi="Times New Roman" w:eastAsia="宋体" w:cs="Times New Roman"/>
          <w:i/>
          <w:iCs/>
          <w:kern w:val="2"/>
          <w:sz w:val="24"/>
          <w:szCs w:val="22"/>
          <w:lang w:val="en-US" w:eastAsia="zh-CN" w:bidi="ar-SA"/>
        </w:rPr>
        <w:t xml:space="preserve">Robinia pseudoacacia </w:t>
      </w:r>
      <w:r>
        <w:rPr>
          <w:rFonts w:hint="default" w:ascii="Times New Roman" w:hAnsi="Times New Roman" w:eastAsia="宋体" w:cs="Times New Roman"/>
          <w:kern w:val="2"/>
          <w:sz w:val="24"/>
          <w:szCs w:val="22"/>
          <w:lang w:val="en-US" w:eastAsia="zh-CN" w:bidi="ar-SA"/>
        </w:rPr>
        <w:t>L.)，高3.0-4.5m，其他主要物种有盐麸木(</w:t>
      </w:r>
      <w:r>
        <w:rPr>
          <w:rFonts w:hint="default" w:ascii="Times New Roman" w:hAnsi="Times New Roman" w:eastAsia="宋体" w:cs="Times New Roman"/>
          <w:i/>
          <w:iCs/>
          <w:kern w:val="2"/>
          <w:sz w:val="24"/>
          <w:szCs w:val="22"/>
          <w:lang w:val="en-US" w:eastAsia="zh-CN" w:bidi="ar-SA"/>
        </w:rPr>
        <w:t>Rhus chinensis</w:t>
      </w:r>
      <w:r>
        <w:rPr>
          <w:rFonts w:hint="default" w:ascii="Times New Roman" w:hAnsi="Times New Roman" w:eastAsia="宋体" w:cs="Times New Roman"/>
          <w:kern w:val="2"/>
          <w:sz w:val="24"/>
          <w:szCs w:val="22"/>
          <w:lang w:val="en-US" w:eastAsia="zh-CN" w:bidi="ar-SA"/>
        </w:rPr>
        <w:t xml:space="preserve"> Mill.)、乌桕(</w:t>
      </w:r>
      <w:r>
        <w:rPr>
          <w:rFonts w:hint="default" w:ascii="Times New Roman" w:hAnsi="Times New Roman" w:eastAsia="宋体" w:cs="Times New Roman"/>
          <w:i/>
          <w:iCs/>
          <w:kern w:val="2"/>
          <w:sz w:val="24"/>
          <w:szCs w:val="22"/>
          <w:lang w:val="en-US" w:eastAsia="zh-CN" w:bidi="ar-SA"/>
        </w:rPr>
        <w:t xml:space="preserve">Triadica sebifera </w:t>
      </w:r>
      <w:r>
        <w:rPr>
          <w:rFonts w:hint="default" w:ascii="Times New Roman" w:hAnsi="Times New Roman" w:eastAsia="宋体" w:cs="Times New Roman"/>
          <w:i w:val="0"/>
          <w:iCs w:val="0"/>
          <w:kern w:val="2"/>
          <w:sz w:val="24"/>
          <w:szCs w:val="22"/>
          <w:lang w:val="en-US" w:eastAsia="zh-CN" w:bidi="ar-SA"/>
        </w:rPr>
        <w:t>(L.) Small</w:t>
      </w:r>
      <w:r>
        <w:rPr>
          <w:rFonts w:hint="default" w:ascii="Times New Roman" w:hAnsi="Times New Roman" w:eastAsia="宋体" w:cs="Times New Roman"/>
          <w:kern w:val="2"/>
          <w:sz w:val="24"/>
          <w:szCs w:val="22"/>
          <w:lang w:val="en-US" w:eastAsia="zh-CN" w:bidi="ar-SA"/>
        </w:rPr>
        <w:t>)、白背叶(</w:t>
      </w:r>
      <w:r>
        <w:rPr>
          <w:rFonts w:hint="default" w:ascii="Times New Roman" w:hAnsi="Times New Roman" w:eastAsia="宋体" w:cs="Times New Roman"/>
          <w:i/>
          <w:iCs/>
          <w:kern w:val="2"/>
          <w:sz w:val="24"/>
          <w:szCs w:val="22"/>
          <w:lang w:val="en-US" w:eastAsia="zh-CN" w:bidi="ar-SA"/>
        </w:rPr>
        <w:t xml:space="preserve">Mallotus tenuifolius </w:t>
      </w:r>
      <w:r>
        <w:rPr>
          <w:rFonts w:hint="default" w:ascii="Times New Roman" w:hAnsi="Times New Roman" w:eastAsia="宋体" w:cs="Times New Roman"/>
          <w:i w:val="0"/>
          <w:iCs w:val="0"/>
          <w:kern w:val="2"/>
          <w:sz w:val="24"/>
          <w:szCs w:val="22"/>
          <w:lang w:val="en-US" w:eastAsia="zh-CN" w:bidi="ar-SA"/>
        </w:rPr>
        <w:t>Pax.</w:t>
      </w:r>
      <w:r>
        <w:rPr>
          <w:rFonts w:hint="default" w:ascii="Times New Roman" w:hAnsi="Times New Roman" w:eastAsia="宋体" w:cs="Times New Roman"/>
          <w:kern w:val="2"/>
          <w:sz w:val="24"/>
          <w:szCs w:val="22"/>
          <w:lang w:val="en-US" w:eastAsia="zh-CN" w:bidi="ar-SA"/>
        </w:rPr>
        <w:t>)、灰白毛莓(</w:t>
      </w:r>
      <w:r>
        <w:rPr>
          <w:rFonts w:hint="default" w:ascii="Times New Roman" w:hAnsi="Times New Roman" w:eastAsia="宋体" w:cs="Times New Roman"/>
          <w:i/>
          <w:iCs/>
          <w:kern w:val="2"/>
          <w:sz w:val="24"/>
          <w:szCs w:val="22"/>
          <w:lang w:val="en-US" w:eastAsia="zh-CN" w:bidi="ar-SA"/>
        </w:rPr>
        <w:t>Rubus tephrodes</w:t>
      </w:r>
      <w:r>
        <w:rPr>
          <w:rFonts w:hint="default" w:ascii="Times New Roman" w:hAnsi="Times New Roman" w:eastAsia="宋体" w:cs="Times New Roman"/>
          <w:i w:val="0"/>
          <w:iCs w:val="0"/>
          <w:kern w:val="2"/>
          <w:sz w:val="24"/>
          <w:szCs w:val="22"/>
          <w:lang w:val="en-US" w:eastAsia="zh-CN" w:bidi="ar-SA"/>
        </w:rPr>
        <w:t xml:space="preserve"> Hance.</w:t>
      </w:r>
      <w:r>
        <w:rPr>
          <w:rFonts w:hint="default" w:ascii="Times New Roman" w:hAnsi="Times New Roman" w:eastAsia="宋体" w:cs="Times New Roman"/>
          <w:kern w:val="2"/>
          <w:sz w:val="24"/>
          <w:szCs w:val="22"/>
          <w:lang w:val="en-US" w:eastAsia="zh-CN" w:bidi="ar-SA"/>
        </w:rPr>
        <w:t>)、小果蔷薇(</w:t>
      </w:r>
      <w:r>
        <w:rPr>
          <w:rFonts w:hint="default" w:ascii="Times New Roman" w:hAnsi="Times New Roman" w:eastAsia="宋体" w:cs="Times New Roman"/>
          <w:i/>
          <w:iCs/>
          <w:kern w:val="2"/>
          <w:sz w:val="24"/>
          <w:szCs w:val="22"/>
          <w:lang w:val="en-US" w:eastAsia="zh-CN" w:bidi="ar-SA"/>
        </w:rPr>
        <w:t>Rubus tephrodes</w:t>
      </w:r>
      <w:r>
        <w:rPr>
          <w:rFonts w:hint="default" w:ascii="Times New Roman" w:hAnsi="Times New Roman" w:eastAsia="宋体" w:cs="Times New Roman"/>
          <w:i w:val="0"/>
          <w:iCs w:val="0"/>
          <w:kern w:val="2"/>
          <w:sz w:val="24"/>
          <w:szCs w:val="22"/>
          <w:lang w:val="en-US" w:eastAsia="zh-CN" w:bidi="ar-SA"/>
        </w:rPr>
        <w:t xml:space="preserve"> Hance.</w:t>
      </w:r>
      <w:r>
        <w:rPr>
          <w:rFonts w:hint="default" w:ascii="Times New Roman" w:hAnsi="Times New Roman" w:eastAsia="宋体" w:cs="Times New Roman"/>
          <w:kern w:val="2"/>
          <w:sz w:val="24"/>
          <w:szCs w:val="22"/>
          <w:lang w:val="en-US" w:eastAsia="zh-CN" w:bidi="ar-SA"/>
        </w:rPr>
        <w:t>)、苎麻(</w:t>
      </w:r>
      <w:r>
        <w:rPr>
          <w:rFonts w:hint="default" w:ascii="Times New Roman" w:hAnsi="Times New Roman" w:eastAsia="宋体" w:cs="Times New Roman"/>
          <w:i/>
          <w:iCs/>
          <w:kern w:val="2"/>
          <w:sz w:val="24"/>
          <w:szCs w:val="22"/>
          <w:lang w:val="en-US" w:eastAsia="zh-CN" w:bidi="ar-SA"/>
        </w:rPr>
        <w:t>Boehmeria nivea</w:t>
      </w:r>
      <w:r>
        <w:rPr>
          <w:rFonts w:hint="default" w:ascii="Times New Roman" w:hAnsi="Times New Roman" w:eastAsia="宋体" w:cs="Times New Roman"/>
          <w:i w:val="0"/>
          <w:iCs w:val="0"/>
          <w:kern w:val="2"/>
          <w:sz w:val="24"/>
          <w:szCs w:val="22"/>
          <w:lang w:val="en-US" w:eastAsia="zh-CN" w:bidi="ar-SA"/>
        </w:rPr>
        <w:t xml:space="preserve"> (L.) Gaudich</w:t>
      </w:r>
      <w:r>
        <w:rPr>
          <w:rFonts w:hint="default" w:ascii="Times New Roman" w:hAnsi="Times New Roman" w:eastAsia="宋体" w:cs="Times New Roman"/>
          <w:kern w:val="2"/>
          <w:sz w:val="24"/>
          <w:szCs w:val="22"/>
          <w:lang w:val="en-US" w:eastAsia="zh-CN" w:bidi="ar-SA"/>
        </w:rPr>
        <w:t>)等；草本层盖度25%，层均高1m，优势种为芒(</w:t>
      </w:r>
      <w:r>
        <w:rPr>
          <w:rFonts w:hint="default" w:ascii="Times New Roman" w:hAnsi="Times New Roman" w:eastAsia="宋体" w:cs="Times New Roman"/>
          <w:i/>
          <w:iCs/>
          <w:kern w:val="2"/>
          <w:sz w:val="24"/>
          <w:szCs w:val="22"/>
          <w:lang w:val="en-US" w:eastAsia="zh-CN" w:bidi="ar-SA"/>
        </w:rPr>
        <w:t>Miscanthus sinensis</w:t>
      </w:r>
      <w:r>
        <w:rPr>
          <w:rFonts w:hint="default" w:ascii="Times New Roman" w:hAnsi="Times New Roman" w:eastAsia="宋体" w:cs="Times New Roman"/>
          <w:kern w:val="2"/>
          <w:sz w:val="24"/>
          <w:szCs w:val="22"/>
          <w:lang w:val="en-US" w:eastAsia="zh-CN" w:bidi="ar-SA"/>
        </w:rPr>
        <w:t xml:space="preserve"> Andersson)，高0.7-1.7m其他主要物种有野艾蒿(</w:t>
      </w:r>
      <w:r>
        <w:rPr>
          <w:rFonts w:hint="default" w:ascii="Times New Roman" w:hAnsi="Times New Roman" w:eastAsia="宋体" w:cs="Times New Roman"/>
          <w:i/>
          <w:iCs/>
          <w:kern w:val="2"/>
          <w:sz w:val="24"/>
          <w:szCs w:val="22"/>
          <w:lang w:val="en-US" w:eastAsia="zh-CN" w:bidi="ar-SA"/>
        </w:rPr>
        <w:t>Artemisia lavandulifolia</w:t>
      </w:r>
      <w:r>
        <w:rPr>
          <w:rFonts w:hint="default" w:ascii="Times New Roman" w:hAnsi="Times New Roman" w:eastAsia="宋体" w:cs="Times New Roman"/>
          <w:kern w:val="2"/>
          <w:sz w:val="24"/>
          <w:szCs w:val="22"/>
          <w:lang w:val="en-US" w:eastAsia="zh-CN" w:bidi="ar-SA"/>
        </w:rPr>
        <w:t xml:space="preserve"> DC.)、蕨(</w:t>
      </w:r>
      <w:r>
        <w:rPr>
          <w:rFonts w:hint="default" w:ascii="Times New Roman" w:hAnsi="Times New Roman" w:eastAsia="宋体" w:cs="Times New Roman"/>
          <w:i/>
          <w:iCs/>
          <w:kern w:val="2"/>
          <w:sz w:val="24"/>
          <w:szCs w:val="22"/>
          <w:lang w:val="en-US" w:eastAsia="zh-CN" w:bidi="ar-SA"/>
        </w:rPr>
        <w:t>Pteridium aquilinum</w:t>
      </w:r>
      <w:r>
        <w:rPr>
          <w:rFonts w:hint="default" w:ascii="Times New Roman" w:hAnsi="Times New Roman" w:eastAsia="宋体" w:cs="Times New Roman"/>
          <w:kern w:val="2"/>
          <w:sz w:val="24"/>
          <w:szCs w:val="22"/>
          <w:lang w:val="en-US" w:eastAsia="zh-CN" w:bidi="ar-SA"/>
        </w:rPr>
        <w:t xml:space="preserve"> var. </w:t>
      </w:r>
      <w:r>
        <w:rPr>
          <w:rFonts w:hint="default" w:ascii="Times New Roman" w:hAnsi="Times New Roman" w:eastAsia="宋体" w:cs="Times New Roman"/>
          <w:i/>
          <w:iCs/>
          <w:kern w:val="2"/>
          <w:sz w:val="24"/>
          <w:szCs w:val="22"/>
          <w:lang w:val="en-US" w:eastAsia="zh-CN" w:bidi="ar-SA"/>
        </w:rPr>
        <w:t>latiusculum</w:t>
      </w:r>
      <w:r>
        <w:rPr>
          <w:rFonts w:hint="default" w:ascii="Times New Roman" w:hAnsi="Times New Roman" w:eastAsia="宋体" w:cs="Times New Roman"/>
          <w:kern w:val="2"/>
          <w:sz w:val="24"/>
          <w:szCs w:val="22"/>
          <w:lang w:val="en-US" w:eastAsia="zh-CN" w:bidi="ar-SA"/>
        </w:rPr>
        <w:t xml:space="preserve"> (Desv.) Underw. ex A. Heller)、垂序商陆(</w:t>
      </w:r>
      <w:r>
        <w:rPr>
          <w:rFonts w:hint="default" w:ascii="Times New Roman" w:hAnsi="Times New Roman" w:eastAsia="宋体" w:cs="Times New Roman"/>
          <w:i/>
          <w:iCs/>
          <w:kern w:val="2"/>
          <w:sz w:val="24"/>
          <w:szCs w:val="22"/>
          <w:lang w:val="en-US" w:eastAsia="zh-CN" w:bidi="ar-SA"/>
        </w:rPr>
        <w:t xml:space="preserve">Phytolacca americana </w:t>
      </w:r>
      <w:r>
        <w:rPr>
          <w:rFonts w:hint="default" w:ascii="Times New Roman" w:hAnsi="Times New Roman" w:eastAsia="宋体" w:cs="Times New Roman"/>
          <w:i w:val="0"/>
          <w:iCs w:val="0"/>
          <w:kern w:val="2"/>
          <w:sz w:val="24"/>
          <w:szCs w:val="22"/>
          <w:lang w:val="en-US" w:eastAsia="zh-CN" w:bidi="ar-SA"/>
        </w:rPr>
        <w:t>L.</w:t>
      </w:r>
      <w:r>
        <w:rPr>
          <w:rFonts w:hint="default" w:ascii="Times New Roman" w:hAnsi="Times New Roman" w:eastAsia="宋体" w:cs="Times New Roman"/>
          <w:kern w:val="2"/>
          <w:sz w:val="24"/>
          <w:szCs w:val="22"/>
          <w:lang w:val="en-US" w:eastAsia="zh-CN" w:bidi="ar-SA"/>
        </w:rPr>
        <w:t>)、博落回(</w:t>
      </w:r>
      <w:r>
        <w:rPr>
          <w:rFonts w:hint="default" w:ascii="Times New Roman" w:hAnsi="Times New Roman" w:eastAsia="宋体" w:cs="Times New Roman"/>
          <w:i/>
          <w:iCs/>
          <w:kern w:val="2"/>
          <w:sz w:val="24"/>
          <w:szCs w:val="22"/>
          <w:lang w:val="en-US" w:eastAsia="zh-CN" w:bidi="ar-SA"/>
        </w:rPr>
        <w:t xml:space="preserve">Macleaya cordata </w:t>
      </w:r>
      <w:r>
        <w:rPr>
          <w:rFonts w:hint="default" w:ascii="Times New Roman" w:hAnsi="Times New Roman" w:eastAsia="宋体" w:cs="Times New Roman"/>
          <w:i w:val="0"/>
          <w:iCs w:val="0"/>
          <w:kern w:val="2"/>
          <w:sz w:val="24"/>
          <w:szCs w:val="22"/>
          <w:lang w:val="en-US" w:eastAsia="zh-CN" w:bidi="ar-SA"/>
        </w:rPr>
        <w:t>(Willd.) R. Br</w:t>
      </w:r>
      <w:r>
        <w:rPr>
          <w:rFonts w:hint="default" w:ascii="Times New Roman" w:hAnsi="Times New Roman" w:eastAsia="宋体" w:cs="Times New Roman"/>
          <w:kern w:val="2"/>
          <w:sz w:val="24"/>
          <w:szCs w:val="22"/>
          <w:lang w:val="en-US" w:eastAsia="zh-CN" w:bidi="ar-SA"/>
        </w:rPr>
        <w:t>)、楼梯草(</w:t>
      </w:r>
      <w:r>
        <w:rPr>
          <w:rFonts w:hint="default" w:ascii="Times New Roman" w:hAnsi="Times New Roman" w:eastAsia="宋体" w:cs="Times New Roman"/>
          <w:i/>
          <w:iCs/>
          <w:kern w:val="2"/>
          <w:sz w:val="24"/>
          <w:szCs w:val="22"/>
          <w:lang w:val="en-US" w:eastAsia="zh-CN" w:bidi="ar-SA"/>
        </w:rPr>
        <w:t xml:space="preserve">Elatostema involucratum </w:t>
      </w:r>
      <w:r>
        <w:rPr>
          <w:rFonts w:hint="default" w:ascii="Times New Roman" w:hAnsi="Times New Roman" w:eastAsia="宋体" w:cs="Times New Roman"/>
          <w:kern w:val="2"/>
          <w:sz w:val="24"/>
          <w:szCs w:val="22"/>
          <w:lang w:val="en-US" w:eastAsia="zh-CN" w:bidi="ar-SA"/>
        </w:rPr>
        <w:t>Franch. &amp; Sav.)、酸模叶蓼(Persicaria lapathifolia (L.) Delarbre)、白车轴草(</w:t>
      </w:r>
      <w:r>
        <w:rPr>
          <w:rFonts w:hint="default" w:ascii="Times New Roman" w:hAnsi="Times New Roman" w:eastAsia="宋体" w:cs="Times New Roman"/>
          <w:i/>
          <w:iCs/>
          <w:kern w:val="2"/>
          <w:sz w:val="24"/>
          <w:szCs w:val="22"/>
          <w:lang w:val="en-US" w:eastAsia="zh-CN" w:bidi="ar-SA"/>
        </w:rPr>
        <w:t xml:space="preserve">Trifolium repens </w:t>
      </w:r>
      <w:r>
        <w:rPr>
          <w:rFonts w:hint="default" w:ascii="Times New Roman" w:hAnsi="Times New Roman" w:eastAsia="宋体" w:cs="Times New Roman"/>
          <w:i w:val="0"/>
          <w:iCs w:val="0"/>
          <w:kern w:val="2"/>
          <w:sz w:val="24"/>
          <w:szCs w:val="22"/>
          <w:lang w:val="en-US" w:eastAsia="zh-CN" w:bidi="ar-SA"/>
        </w:rPr>
        <w:t>L</w:t>
      </w:r>
      <w:r>
        <w:rPr>
          <w:rFonts w:hint="default" w:ascii="Times New Roman" w:hAnsi="Times New Roman" w:eastAsia="宋体" w:cs="Times New Roman"/>
          <w:i/>
          <w:iCs/>
          <w:kern w:val="2"/>
          <w:sz w:val="24"/>
          <w:szCs w:val="22"/>
          <w:lang w:val="en-US" w:eastAsia="zh-CN" w:bidi="ar-SA"/>
        </w:rPr>
        <w:t>.</w:t>
      </w:r>
      <w:r>
        <w:rPr>
          <w:rFonts w:hint="default" w:ascii="Times New Roman" w:hAnsi="Times New Roman" w:eastAsia="宋体" w:cs="Times New Roman"/>
          <w:kern w:val="2"/>
          <w:sz w:val="24"/>
          <w:szCs w:val="22"/>
          <w:lang w:val="en-US" w:eastAsia="zh-CN" w:bidi="ar-SA"/>
        </w:rPr>
        <w:t>)、一年蓬(</w:t>
      </w:r>
      <w:r>
        <w:rPr>
          <w:rFonts w:hint="default" w:ascii="Times New Roman" w:hAnsi="Times New Roman" w:eastAsia="宋体" w:cs="Times New Roman"/>
          <w:i/>
          <w:iCs/>
          <w:kern w:val="2"/>
          <w:sz w:val="24"/>
          <w:szCs w:val="22"/>
          <w:lang w:val="en-US" w:eastAsia="zh-CN" w:bidi="ar-SA"/>
        </w:rPr>
        <w:t xml:space="preserve">Erigeron annuus </w:t>
      </w:r>
      <w:r>
        <w:rPr>
          <w:rFonts w:hint="default" w:ascii="Times New Roman" w:hAnsi="Times New Roman" w:eastAsia="宋体" w:cs="Times New Roman"/>
          <w:i w:val="0"/>
          <w:iCs w:val="0"/>
          <w:kern w:val="2"/>
          <w:sz w:val="24"/>
          <w:szCs w:val="22"/>
          <w:lang w:val="en-US" w:eastAsia="zh-CN" w:bidi="ar-SA"/>
        </w:rPr>
        <w:t>(L.) Pers.</w:t>
      </w:r>
      <w:r>
        <w:rPr>
          <w:rFonts w:hint="default" w:ascii="Times New Roman" w:hAnsi="Times New Roman" w:eastAsia="宋体" w:cs="Times New Roman"/>
          <w:kern w:val="2"/>
          <w:sz w:val="24"/>
          <w:szCs w:val="22"/>
          <w:lang w:val="en-US" w:eastAsia="zh-CN" w:bidi="ar-SA"/>
        </w:rPr>
        <w:t>)、小蓬草(</w:t>
      </w:r>
      <w:r>
        <w:rPr>
          <w:rFonts w:hint="default" w:ascii="Times New Roman" w:hAnsi="Times New Roman" w:eastAsia="宋体" w:cs="Times New Roman"/>
          <w:i/>
          <w:iCs/>
          <w:kern w:val="2"/>
          <w:sz w:val="24"/>
          <w:szCs w:val="22"/>
          <w:lang w:val="en-US" w:eastAsia="zh-CN" w:bidi="ar-SA"/>
        </w:rPr>
        <w:t xml:space="preserve">Erigeron canadensis </w:t>
      </w:r>
      <w:r>
        <w:rPr>
          <w:rFonts w:hint="default" w:ascii="Times New Roman" w:hAnsi="Times New Roman" w:eastAsia="宋体" w:cs="Times New Roman"/>
          <w:i w:val="0"/>
          <w:iCs w:val="0"/>
          <w:kern w:val="2"/>
          <w:sz w:val="24"/>
          <w:szCs w:val="22"/>
          <w:lang w:val="en-US" w:eastAsia="zh-CN" w:bidi="ar-SA"/>
        </w:rPr>
        <w:t>L</w:t>
      </w:r>
      <w:r>
        <w:rPr>
          <w:rFonts w:hint="default" w:ascii="Times New Roman" w:hAnsi="Times New Roman" w:eastAsia="宋体" w:cs="Times New Roman"/>
          <w:kern w:val="2"/>
          <w:sz w:val="24"/>
          <w:szCs w:val="22"/>
          <w:lang w:val="en-US" w:eastAsia="zh-CN" w:bidi="ar-SA"/>
        </w:rPr>
        <w:t>)等。</w:t>
      </w:r>
    </w:p>
    <w:p w14:paraId="4B78EC94">
      <w:pPr>
        <w:widowControl w:val="0"/>
        <w:spacing w:line="360" w:lineRule="auto"/>
        <w:ind w:firstLine="482" w:firstLineChars="200"/>
        <w:jc w:val="both"/>
        <w:rPr>
          <w:rFonts w:hint="default" w:ascii="Times New Roman" w:hAnsi="Times New Roman" w:eastAsia="宋体" w:cs="Times New Roman"/>
          <w:b/>
          <w:bCs/>
          <w:kern w:val="2"/>
          <w:sz w:val="24"/>
          <w:szCs w:val="21"/>
          <w:lang w:val="en-US" w:eastAsia="zh-CN" w:bidi="ar-SA"/>
        </w:rPr>
      </w:pPr>
      <w:r>
        <w:rPr>
          <w:rFonts w:hint="default" w:ascii="Times New Roman" w:hAnsi="Times New Roman" w:eastAsia="宋体" w:cs="Times New Roman"/>
          <w:b/>
          <w:bCs/>
          <w:kern w:val="2"/>
          <w:sz w:val="24"/>
          <w:szCs w:val="21"/>
          <w:lang w:val="en-US" w:eastAsia="zh-CN" w:bidi="ar-SA"/>
        </w:rPr>
        <w:t>2.构树群系</w:t>
      </w:r>
    </w:p>
    <w:p w14:paraId="22D545D8">
      <w:pPr>
        <w:spacing w:line="360" w:lineRule="auto"/>
        <w:ind w:firstLine="480" w:firstLineChars="200"/>
        <w:rPr>
          <w:rFonts w:hint="default" w:ascii="Times New Roman" w:hAnsi="Times New Roman" w:eastAsia="宋体" w:cs="Times New Roman"/>
          <w:sz w:val="24"/>
          <w:szCs w:val="21"/>
          <w:lang w:eastAsia="zh-CN"/>
        </w:rPr>
      </w:pPr>
      <w:r>
        <w:rPr>
          <w:rFonts w:hint="default" w:ascii="Times New Roman" w:hAnsi="Times New Roman" w:eastAsia="宋体" w:cs="Times New Roman"/>
          <w:sz w:val="24"/>
          <w:szCs w:val="22"/>
          <w:lang w:val="en-US" w:eastAsia="zh-CN"/>
        </w:rPr>
        <w:t>构树</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Broussonetia papyrifera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 L'Hér. ex Vent.</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1"/>
          <w:lang w:eastAsia="zh-CN"/>
        </w:rPr>
        <w:t>，</w:t>
      </w:r>
      <w:r>
        <w:rPr>
          <w:rFonts w:hint="default" w:ascii="Times New Roman" w:hAnsi="Times New Roman" w:eastAsia="宋体" w:cs="Times New Roman"/>
          <w:color w:val="auto"/>
          <w:sz w:val="24"/>
          <w:szCs w:val="32"/>
          <w:lang w:val="en-US" w:eastAsia="zh-CN"/>
        </w:rPr>
        <w:t>桑科构属植物，是评价区最为常见的乔木之一，群落外貌呈嫩绿色，林下土壤为黄壤，群落结构及种类组成较简单。</w:t>
      </w:r>
    </w:p>
    <w:p w14:paraId="1A0C2759">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b w:val="0"/>
          <w:bCs w:val="0"/>
          <w:kern w:val="2"/>
          <w:sz w:val="24"/>
          <w:szCs w:val="21"/>
          <w:lang w:val="en-US" w:eastAsia="zh-CN" w:bidi="ar-SA"/>
        </w:rPr>
        <w:t>乔木层郁闭度0.85，层均高8m，优势种为</w:t>
      </w:r>
      <w:r>
        <w:rPr>
          <w:rFonts w:hint="default" w:ascii="Times New Roman" w:hAnsi="Times New Roman" w:eastAsia="宋体" w:cs="Times New Roman"/>
          <w:sz w:val="24"/>
          <w:szCs w:val="22"/>
          <w:lang w:val="en-US" w:eastAsia="zh-CN"/>
        </w:rPr>
        <w:t>构树</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Broussonetia papyrifera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 L'Hér. ex Vent.</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rPr>
        <w:t>，高</w:t>
      </w:r>
      <w:r>
        <w:rPr>
          <w:rFonts w:hint="default" w:ascii="Times New Roman" w:hAnsi="Times New Roman" w:eastAsia="宋体" w:cs="Times New Roman"/>
          <w:sz w:val="24"/>
          <w:szCs w:val="22"/>
          <w:lang w:val="en-US" w:eastAsia="zh-CN"/>
        </w:rPr>
        <w:t>6-13</w:t>
      </w:r>
      <w:r>
        <w:rPr>
          <w:rFonts w:hint="default" w:ascii="Times New Roman" w:hAnsi="Times New Roman" w:eastAsia="宋体" w:cs="Times New Roman"/>
          <w:sz w:val="24"/>
          <w:szCs w:val="22"/>
        </w:rPr>
        <w:t>m，胸径</w:t>
      </w:r>
      <w:r>
        <w:rPr>
          <w:rFonts w:hint="default" w:ascii="Times New Roman" w:hAnsi="Times New Roman" w:eastAsia="宋体" w:cs="Times New Roman"/>
          <w:sz w:val="24"/>
          <w:szCs w:val="22"/>
          <w:lang w:val="en-US" w:eastAsia="zh-CN"/>
        </w:rPr>
        <w:t>9-17</w:t>
      </w:r>
      <w:r>
        <w:rPr>
          <w:rFonts w:hint="default" w:ascii="Times New Roman" w:hAnsi="Times New Roman" w:eastAsia="宋体" w:cs="Times New Roman"/>
          <w:sz w:val="24"/>
          <w:szCs w:val="22"/>
        </w:rPr>
        <w:t>cm，其他主要物种有</w:t>
      </w:r>
      <w:r>
        <w:rPr>
          <w:rFonts w:hint="default" w:ascii="Times New Roman" w:hAnsi="Times New Roman" w:eastAsia="宋体" w:cs="Times New Roman"/>
          <w:sz w:val="24"/>
          <w:szCs w:val="21"/>
          <w:lang w:eastAsia="zh-CN"/>
        </w:rPr>
        <w:t>毛竹(</w:t>
      </w:r>
      <w:r>
        <w:rPr>
          <w:rFonts w:hint="default" w:ascii="Times New Roman" w:hAnsi="Times New Roman" w:eastAsia="宋体" w:cs="Times New Roman"/>
          <w:i/>
          <w:iCs/>
          <w:sz w:val="24"/>
          <w:szCs w:val="21"/>
          <w:lang w:eastAsia="zh-CN"/>
        </w:rPr>
        <w:t>Phyllostachys edulis</w:t>
      </w:r>
      <w:r>
        <w:rPr>
          <w:rFonts w:hint="default" w:ascii="Times New Roman" w:hAnsi="Times New Roman" w:eastAsia="宋体" w:cs="Times New Roman"/>
          <w:sz w:val="24"/>
          <w:szCs w:val="21"/>
          <w:lang w:eastAsia="zh-CN"/>
        </w:rPr>
        <w:t xml:space="preserve"> (Carrière) J. Houz.)</w:t>
      </w:r>
      <w:r>
        <w:rPr>
          <w:rFonts w:hint="default" w:ascii="Times New Roman" w:hAnsi="Times New Roman" w:eastAsia="宋体" w:cs="Times New Roman"/>
          <w:sz w:val="24"/>
          <w:szCs w:val="22"/>
          <w:lang w:val="en-US" w:eastAsia="zh-CN"/>
        </w:rPr>
        <w:t>、樟(Camphora officinarum Nees)</w:t>
      </w:r>
      <w:r>
        <w:rPr>
          <w:rFonts w:hint="default" w:ascii="Times New Roman" w:hAnsi="Times New Roman" w:eastAsia="宋体" w:cs="Times New Roman"/>
          <w:sz w:val="24"/>
          <w:szCs w:val="22"/>
        </w:rPr>
        <w:t>、</w:t>
      </w:r>
      <w:r>
        <w:rPr>
          <w:rFonts w:hint="default" w:ascii="Times New Roman" w:hAnsi="Times New Roman" w:eastAsia="宋体" w:cs="Times New Roman"/>
          <w:sz w:val="24"/>
          <w:szCs w:val="22"/>
          <w:lang w:val="en-US" w:eastAsia="zh-CN"/>
        </w:rPr>
        <w:t>檫木</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Sassafras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tzumu</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(Hemsl.) Hemsl.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b w:val="0"/>
          <w:bCs w:val="0"/>
          <w:sz w:val="24"/>
          <w:szCs w:val="21"/>
          <w:lang w:val="en-US" w:eastAsia="zh-CN"/>
        </w:rPr>
        <w:t>锥栗</w:t>
      </w:r>
      <w:r>
        <w:rPr>
          <w:rFonts w:hint="default" w:ascii="Times New Roman" w:hAnsi="Times New Roman" w:eastAsia="宋体" w:cs="Times New Roman"/>
          <w:b w:val="0"/>
          <w:bCs w:val="0"/>
          <w:sz w:val="24"/>
          <w:szCs w:val="21"/>
          <w:lang w:eastAsia="zh-CN"/>
        </w:rPr>
        <w:t>(</w:t>
      </w:r>
      <w:r>
        <w:rPr>
          <w:rFonts w:hint="default" w:ascii="Times New Roman" w:hAnsi="Times New Roman" w:eastAsia="宋体" w:cs="Times New Roman"/>
          <w:b w:val="0"/>
          <w:bCs w:val="0"/>
          <w:i/>
          <w:iCs/>
          <w:sz w:val="24"/>
          <w:szCs w:val="21"/>
          <w:lang w:eastAsia="zh-CN"/>
        </w:rPr>
        <w:t>Castanea henryi</w:t>
      </w:r>
      <w:r>
        <w:rPr>
          <w:rFonts w:hint="default" w:ascii="Times New Roman" w:hAnsi="Times New Roman" w:eastAsia="宋体" w:cs="Times New Roman"/>
          <w:b w:val="0"/>
          <w:bCs w:val="0"/>
          <w:i w:val="0"/>
          <w:iCs w:val="0"/>
          <w:sz w:val="24"/>
          <w:szCs w:val="21"/>
          <w:lang w:eastAsia="zh-CN"/>
        </w:rPr>
        <w:t>(Skan) Rehder &amp; E. H. Wilson</w:t>
      </w:r>
      <w:r>
        <w:rPr>
          <w:rFonts w:hint="default" w:ascii="Times New Roman" w:hAnsi="Times New Roman" w:eastAsia="宋体" w:cs="Times New Roman"/>
          <w:b w:val="0"/>
          <w:bCs w:val="0"/>
          <w:sz w:val="24"/>
          <w:szCs w:val="21"/>
          <w:lang w:eastAsia="zh-CN"/>
        </w:rPr>
        <w:t>)</w:t>
      </w:r>
      <w:r>
        <w:rPr>
          <w:rFonts w:hint="default" w:ascii="Times New Roman" w:hAnsi="Times New Roman" w:eastAsia="宋体" w:cs="Times New Roman"/>
          <w:sz w:val="24"/>
          <w:szCs w:val="22"/>
          <w:lang w:eastAsia="zh-CN"/>
        </w:rPr>
        <w:t>等；林下</w:t>
      </w:r>
      <w:r>
        <w:rPr>
          <w:rFonts w:hint="default" w:ascii="Times New Roman" w:hAnsi="Times New Roman" w:eastAsia="宋体" w:cs="Times New Roman"/>
          <w:sz w:val="24"/>
          <w:szCs w:val="22"/>
        </w:rPr>
        <w:t>灌木层</w:t>
      </w:r>
      <w:r>
        <w:rPr>
          <w:rFonts w:hint="default" w:ascii="Times New Roman" w:hAnsi="Times New Roman" w:eastAsia="宋体" w:cs="Times New Roman"/>
          <w:sz w:val="24"/>
          <w:szCs w:val="22"/>
          <w:lang w:eastAsia="zh-CN"/>
        </w:rPr>
        <w:t>盖度</w:t>
      </w:r>
      <w:r>
        <w:rPr>
          <w:rFonts w:hint="default" w:ascii="Times New Roman" w:hAnsi="Times New Roman" w:eastAsia="宋体" w:cs="Times New Roman"/>
          <w:sz w:val="24"/>
          <w:szCs w:val="22"/>
          <w:lang w:val="en-US" w:eastAsia="zh-CN"/>
        </w:rPr>
        <w:t>40%，层均高1.5m，</w:t>
      </w:r>
      <w:r>
        <w:rPr>
          <w:rFonts w:hint="default" w:ascii="Times New Roman" w:hAnsi="Times New Roman" w:eastAsia="宋体" w:cs="Times New Roman"/>
          <w:sz w:val="24"/>
          <w:szCs w:val="22"/>
        </w:rPr>
        <w:t>优势种为</w:t>
      </w:r>
      <w:r>
        <w:rPr>
          <w:rFonts w:hint="default" w:ascii="Times New Roman" w:hAnsi="Times New Roman" w:eastAsia="宋体" w:cs="Times New Roman"/>
          <w:sz w:val="24"/>
          <w:szCs w:val="22"/>
          <w:lang w:val="en-US" w:eastAsia="zh-CN"/>
        </w:rPr>
        <w:t>苎麻</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Boehmeria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nivea</w:t>
      </w:r>
      <w:r>
        <w:rPr>
          <w:rFonts w:hint="default" w:ascii="Times New Roman" w:hAnsi="Times New Roman" w:eastAsia="宋体" w:cs="Times New Roman"/>
          <w:i w:val="0"/>
          <w:iCs w:val="0"/>
          <w:sz w:val="24"/>
          <w:szCs w:val="22"/>
          <w:lang w:eastAsia="zh-CN"/>
        </w:rPr>
        <w:t xml:space="preserve"> (L.) Gaudich</w:t>
      </w:r>
      <w:r>
        <w:rPr>
          <w:rFonts w:hint="default" w:ascii="Times New Roman" w:hAnsi="Times New Roman" w:eastAsia="宋体" w:cs="Times New Roman"/>
          <w:sz w:val="24"/>
          <w:szCs w:val="22"/>
          <w:lang w:eastAsia="zh-CN"/>
        </w:rPr>
        <w:t>)，高</w:t>
      </w:r>
      <w:r>
        <w:rPr>
          <w:rFonts w:hint="default" w:ascii="Times New Roman" w:hAnsi="Times New Roman" w:eastAsia="宋体" w:cs="Times New Roman"/>
          <w:sz w:val="24"/>
          <w:szCs w:val="22"/>
          <w:lang w:val="en-US" w:eastAsia="zh-CN"/>
        </w:rPr>
        <w:t>1.3</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2</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5</w:t>
      </w:r>
      <w:r>
        <w:rPr>
          <w:rFonts w:hint="default" w:ascii="Times New Roman" w:hAnsi="Times New Roman" w:eastAsia="宋体" w:cs="Times New Roman"/>
          <w:sz w:val="24"/>
          <w:szCs w:val="22"/>
          <w:lang w:eastAsia="zh-CN"/>
        </w:rPr>
        <w:t>m、其他主要物种有盐麸木(</w:t>
      </w:r>
      <w:r>
        <w:rPr>
          <w:rFonts w:hint="default" w:ascii="Times New Roman" w:hAnsi="Times New Roman" w:eastAsia="宋体" w:cs="Times New Roman"/>
          <w:i/>
          <w:iCs/>
          <w:sz w:val="24"/>
          <w:szCs w:val="22"/>
          <w:lang w:eastAsia="zh-CN"/>
        </w:rPr>
        <w:t>Rhus chinensis</w:t>
      </w:r>
      <w:r>
        <w:rPr>
          <w:rFonts w:hint="default" w:ascii="Times New Roman" w:hAnsi="Times New Roman" w:eastAsia="宋体" w:cs="Times New Roman"/>
          <w:sz w:val="24"/>
          <w:szCs w:val="22"/>
          <w:lang w:eastAsia="zh-CN"/>
        </w:rPr>
        <w:t xml:space="preserve"> Mill.)、</w:t>
      </w:r>
      <w:r>
        <w:rPr>
          <w:rFonts w:hint="default" w:ascii="Times New Roman" w:hAnsi="Times New Roman" w:eastAsia="宋体" w:cs="Times New Roman"/>
          <w:sz w:val="24"/>
          <w:szCs w:val="22"/>
          <w:lang w:val="en-US" w:eastAsia="zh-CN"/>
        </w:rPr>
        <w:t>乌桕</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Triadica sebifera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 Small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白背叶</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 xml:space="preserve">Mallotus tenuifolius </w:t>
      </w:r>
      <w:r>
        <w:rPr>
          <w:rFonts w:hint="default" w:ascii="Times New Roman" w:hAnsi="Times New Roman" w:eastAsia="宋体" w:cs="Times New Roman"/>
          <w:i w:val="0"/>
          <w:iCs w:val="0"/>
          <w:sz w:val="24"/>
          <w:szCs w:val="22"/>
          <w:lang w:eastAsia="zh-CN"/>
        </w:rPr>
        <w:t>Pax.</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小果蔷薇</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Rubus tephrodes</w:t>
      </w:r>
      <w:r>
        <w:rPr>
          <w:rFonts w:hint="default" w:ascii="Times New Roman" w:hAnsi="Times New Roman" w:eastAsia="宋体" w:cs="Times New Roman"/>
          <w:i w:val="0"/>
          <w:iCs w:val="0"/>
          <w:sz w:val="24"/>
          <w:szCs w:val="22"/>
          <w:lang w:val="en-US" w:eastAsia="zh-CN"/>
        </w:rPr>
        <w:t xml:space="preserve"> </w:t>
      </w:r>
      <w:r>
        <w:rPr>
          <w:rFonts w:hint="default" w:ascii="Times New Roman" w:hAnsi="Times New Roman" w:eastAsia="宋体" w:cs="Times New Roman"/>
          <w:i w:val="0"/>
          <w:iCs w:val="0"/>
          <w:sz w:val="24"/>
          <w:szCs w:val="22"/>
          <w:lang w:eastAsia="zh-CN"/>
        </w:rPr>
        <w:t>Hance.</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刺槐(</w:t>
      </w:r>
      <w:r>
        <w:rPr>
          <w:rFonts w:hint="default" w:ascii="Times New Roman" w:hAnsi="Times New Roman" w:eastAsia="宋体" w:cs="Times New Roman"/>
          <w:i/>
          <w:iCs/>
          <w:sz w:val="24"/>
          <w:szCs w:val="22"/>
          <w:lang w:val="en-US" w:eastAsia="zh-CN"/>
        </w:rPr>
        <w:t xml:space="preserve">Robinia pseudoacacia </w:t>
      </w:r>
      <w:r>
        <w:rPr>
          <w:rFonts w:hint="default" w:ascii="Times New Roman" w:hAnsi="Times New Roman" w:eastAsia="宋体" w:cs="Times New Roman"/>
          <w:sz w:val="24"/>
          <w:szCs w:val="22"/>
          <w:lang w:val="en-US" w:eastAsia="zh-CN"/>
        </w:rPr>
        <w:t>L.)、灰白毛莓</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Rubus tephrodes</w:t>
      </w:r>
      <w:r>
        <w:rPr>
          <w:rFonts w:hint="default" w:ascii="Times New Roman" w:hAnsi="Times New Roman" w:eastAsia="宋体" w:cs="Times New Roman"/>
          <w:i w:val="0"/>
          <w:iCs w:val="0"/>
          <w:sz w:val="24"/>
          <w:szCs w:val="22"/>
          <w:lang w:val="en-US" w:eastAsia="zh-CN"/>
        </w:rPr>
        <w:t xml:space="preserve"> </w:t>
      </w:r>
      <w:r>
        <w:rPr>
          <w:rFonts w:hint="default" w:ascii="Times New Roman" w:hAnsi="Times New Roman" w:eastAsia="宋体" w:cs="Times New Roman"/>
          <w:i w:val="0"/>
          <w:iCs w:val="0"/>
          <w:sz w:val="24"/>
          <w:szCs w:val="22"/>
          <w:lang w:eastAsia="zh-CN"/>
        </w:rPr>
        <w:t>Hance.</w:t>
      </w:r>
      <w:r>
        <w:rPr>
          <w:rFonts w:hint="default" w:ascii="Times New Roman" w:hAnsi="Times New Roman" w:eastAsia="宋体" w:cs="Times New Roman"/>
          <w:sz w:val="24"/>
          <w:szCs w:val="22"/>
          <w:lang w:eastAsia="zh-CN"/>
        </w:rPr>
        <w:t>)、篌竹(Phyllostachys nidularia Munro)等</w:t>
      </w:r>
      <w:r>
        <w:rPr>
          <w:rFonts w:hint="default" w:ascii="Times New Roman" w:hAnsi="Times New Roman" w:eastAsia="宋体" w:cs="Times New Roman"/>
          <w:sz w:val="24"/>
          <w:szCs w:val="22"/>
        </w:rPr>
        <w:t>；草本层</w:t>
      </w:r>
      <w:r>
        <w:rPr>
          <w:rFonts w:hint="default" w:ascii="Times New Roman" w:hAnsi="Times New Roman" w:eastAsia="宋体" w:cs="Times New Roman"/>
          <w:sz w:val="24"/>
          <w:szCs w:val="22"/>
          <w:lang w:eastAsia="zh-CN"/>
        </w:rPr>
        <w:t>盖度</w:t>
      </w:r>
      <w:r>
        <w:rPr>
          <w:rFonts w:hint="default" w:ascii="Times New Roman" w:hAnsi="Times New Roman" w:eastAsia="宋体" w:cs="Times New Roman"/>
          <w:sz w:val="24"/>
          <w:szCs w:val="22"/>
          <w:lang w:val="en-US" w:eastAsia="zh-CN"/>
        </w:rPr>
        <w:t>30%，层均高1m，</w:t>
      </w:r>
      <w:r>
        <w:rPr>
          <w:rFonts w:hint="default" w:ascii="Times New Roman" w:hAnsi="Times New Roman" w:eastAsia="宋体" w:cs="Times New Roman"/>
          <w:sz w:val="24"/>
          <w:szCs w:val="22"/>
        </w:rPr>
        <w:t>优势种为</w:t>
      </w:r>
      <w:r>
        <w:rPr>
          <w:rFonts w:hint="default" w:ascii="Times New Roman" w:hAnsi="Times New Roman" w:eastAsia="宋体" w:cs="Times New Roman"/>
          <w:sz w:val="24"/>
          <w:szCs w:val="22"/>
          <w:lang w:val="en-US" w:eastAsia="zh-CN"/>
        </w:rPr>
        <w:t>小蓬</w:t>
      </w:r>
      <w:r>
        <w:rPr>
          <w:rFonts w:hint="default" w:ascii="Times New Roman" w:hAnsi="Times New Roman" w:eastAsia="宋体" w:cs="Times New Roman"/>
          <w:sz w:val="24"/>
          <w:szCs w:val="22"/>
          <w:lang w:eastAsia="zh-CN"/>
        </w:rPr>
        <w:t>草(</w:t>
      </w:r>
      <w:r>
        <w:rPr>
          <w:rFonts w:hint="default" w:ascii="Times New Roman" w:hAnsi="Times New Roman" w:eastAsia="宋体" w:cs="Times New Roman"/>
          <w:i/>
          <w:iCs/>
          <w:sz w:val="24"/>
          <w:szCs w:val="22"/>
          <w:lang w:eastAsia="zh-CN"/>
        </w:rPr>
        <w:t>Erigeron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canadensis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rPr>
        <w:t>，</w:t>
      </w:r>
      <w:r>
        <w:rPr>
          <w:rFonts w:hint="default" w:ascii="Times New Roman" w:hAnsi="Times New Roman" w:eastAsia="宋体" w:cs="Times New Roman"/>
          <w:sz w:val="24"/>
          <w:szCs w:val="22"/>
          <w:lang w:eastAsia="zh-CN"/>
        </w:rPr>
        <w:t>高</w:t>
      </w:r>
      <w:r>
        <w:rPr>
          <w:rFonts w:hint="default" w:ascii="Times New Roman" w:hAnsi="Times New Roman" w:eastAsia="宋体" w:cs="Times New Roman"/>
          <w:sz w:val="24"/>
          <w:szCs w:val="22"/>
          <w:lang w:val="en-US" w:eastAsia="zh-CN"/>
        </w:rPr>
        <w:t>0.2-0.5m，</w:t>
      </w:r>
      <w:r>
        <w:rPr>
          <w:rFonts w:hint="default" w:ascii="Times New Roman" w:hAnsi="Times New Roman" w:eastAsia="宋体" w:cs="Times New Roman"/>
          <w:sz w:val="24"/>
          <w:szCs w:val="22"/>
        </w:rPr>
        <w:t>其他主要物种有</w:t>
      </w:r>
      <w:r>
        <w:rPr>
          <w:rFonts w:hint="default" w:ascii="Times New Roman" w:hAnsi="Times New Roman" w:eastAsia="宋体" w:cs="Times New Roman"/>
          <w:sz w:val="24"/>
          <w:szCs w:val="22"/>
          <w:lang w:eastAsia="zh-CN"/>
        </w:rPr>
        <w:t>野艾蒿(</w:t>
      </w:r>
      <w:r>
        <w:rPr>
          <w:rFonts w:hint="default" w:ascii="Times New Roman" w:hAnsi="Times New Roman" w:eastAsia="宋体" w:cs="Times New Roman"/>
          <w:i/>
          <w:iCs/>
          <w:sz w:val="24"/>
          <w:szCs w:val="22"/>
          <w:lang w:eastAsia="zh-CN"/>
        </w:rPr>
        <w:t>Artemisia lavandulifolia</w:t>
      </w:r>
      <w:r>
        <w:rPr>
          <w:rFonts w:hint="default" w:ascii="Times New Roman" w:hAnsi="Times New Roman" w:eastAsia="宋体" w:cs="Times New Roman"/>
          <w:sz w:val="24"/>
          <w:szCs w:val="22"/>
          <w:lang w:eastAsia="zh-CN"/>
        </w:rPr>
        <w:t xml:space="preserve"> DC.)、蕨(</w:t>
      </w:r>
      <w:r>
        <w:rPr>
          <w:rFonts w:hint="default" w:ascii="Times New Roman" w:hAnsi="Times New Roman" w:eastAsia="宋体" w:cs="Times New Roman"/>
          <w:i/>
          <w:iCs/>
          <w:sz w:val="24"/>
          <w:szCs w:val="22"/>
          <w:lang w:eastAsia="zh-CN"/>
        </w:rPr>
        <w:t>Pteridium aquilinum</w:t>
      </w:r>
      <w:r>
        <w:rPr>
          <w:rFonts w:hint="default" w:ascii="Times New Roman" w:hAnsi="Times New Roman" w:eastAsia="宋体" w:cs="Times New Roman"/>
          <w:sz w:val="24"/>
          <w:szCs w:val="22"/>
          <w:lang w:eastAsia="zh-CN"/>
        </w:rPr>
        <w:t xml:space="preserve"> var. </w:t>
      </w:r>
      <w:r>
        <w:rPr>
          <w:rFonts w:hint="default" w:ascii="Times New Roman" w:hAnsi="Times New Roman" w:eastAsia="宋体" w:cs="Times New Roman"/>
          <w:i/>
          <w:iCs/>
          <w:sz w:val="24"/>
          <w:szCs w:val="22"/>
          <w:lang w:eastAsia="zh-CN"/>
        </w:rPr>
        <w:t>latiusculum</w:t>
      </w:r>
      <w:r>
        <w:rPr>
          <w:rFonts w:hint="default" w:ascii="Times New Roman" w:hAnsi="Times New Roman" w:eastAsia="宋体" w:cs="Times New Roman"/>
          <w:sz w:val="24"/>
          <w:szCs w:val="22"/>
          <w:lang w:eastAsia="zh-CN"/>
        </w:rPr>
        <w:t xml:space="preserve"> (Desv.) Underw. ex A. Heller)、</w:t>
      </w:r>
      <w:r>
        <w:rPr>
          <w:rFonts w:hint="default" w:ascii="Times New Roman" w:hAnsi="Times New Roman" w:eastAsia="宋体" w:cs="Times New Roman"/>
          <w:sz w:val="24"/>
          <w:szCs w:val="22"/>
          <w:lang w:val="en-US" w:eastAsia="zh-CN"/>
        </w:rPr>
        <w:t>垂序商陆</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Phytolacca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americana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酸模叶蓼(Persicaria lapathifolia (L.) Delarbre)、白车轴草(</w:t>
      </w:r>
      <w:r>
        <w:rPr>
          <w:rFonts w:hint="default" w:ascii="Times New Roman" w:hAnsi="Times New Roman" w:eastAsia="宋体" w:cs="Times New Roman"/>
          <w:i/>
          <w:iCs/>
          <w:sz w:val="24"/>
          <w:szCs w:val="22"/>
          <w:lang w:val="en-US" w:eastAsia="zh-CN"/>
        </w:rPr>
        <w:t xml:space="preserve">Trifolium repens </w:t>
      </w:r>
      <w:r>
        <w:rPr>
          <w:rFonts w:hint="default" w:ascii="Times New Roman" w:hAnsi="Times New Roman" w:eastAsia="宋体" w:cs="Times New Roman"/>
          <w:i w:val="0"/>
          <w:iCs w:val="0"/>
          <w:sz w:val="24"/>
          <w:szCs w:val="22"/>
          <w:lang w:val="en-US" w:eastAsia="zh-CN"/>
        </w:rPr>
        <w:t>L</w:t>
      </w:r>
      <w:r>
        <w:rPr>
          <w:rFonts w:hint="default" w:ascii="Times New Roman" w:hAnsi="Times New Roman" w:eastAsia="宋体" w:cs="Times New Roman"/>
          <w:i/>
          <w:iCs/>
          <w:sz w:val="24"/>
          <w:szCs w:val="22"/>
          <w:lang w:val="en-US" w:eastAsia="zh-CN"/>
        </w:rPr>
        <w:t>.</w:t>
      </w:r>
      <w:r>
        <w:rPr>
          <w:rFonts w:hint="default" w:ascii="Times New Roman" w:hAnsi="Times New Roman" w:eastAsia="宋体" w:cs="Times New Roman"/>
          <w:sz w:val="24"/>
          <w:szCs w:val="22"/>
          <w:lang w:val="en-US" w:eastAsia="zh-CN"/>
        </w:rPr>
        <w:t>)、一年蓬(</w:t>
      </w:r>
      <w:r>
        <w:rPr>
          <w:rFonts w:hint="default" w:ascii="Times New Roman" w:hAnsi="Times New Roman" w:eastAsia="宋体" w:cs="Times New Roman"/>
          <w:i/>
          <w:iCs/>
          <w:sz w:val="24"/>
          <w:szCs w:val="22"/>
          <w:lang w:val="en-US" w:eastAsia="zh-CN"/>
        </w:rPr>
        <w:t xml:space="preserve">Erigeron annuus </w:t>
      </w:r>
      <w:r>
        <w:rPr>
          <w:rFonts w:hint="default" w:ascii="Times New Roman" w:hAnsi="Times New Roman" w:eastAsia="宋体" w:cs="Times New Roman"/>
          <w:i w:val="0"/>
          <w:iCs w:val="0"/>
          <w:sz w:val="24"/>
          <w:szCs w:val="22"/>
          <w:lang w:val="en-US" w:eastAsia="zh-CN"/>
        </w:rPr>
        <w:t>(L.) Pers.</w:t>
      </w:r>
      <w:r>
        <w:rPr>
          <w:rFonts w:hint="default" w:ascii="Times New Roman" w:hAnsi="Times New Roman" w:eastAsia="宋体" w:cs="Times New Roman"/>
          <w:sz w:val="24"/>
          <w:szCs w:val="22"/>
          <w:lang w:val="en-US" w:eastAsia="zh-CN"/>
        </w:rPr>
        <w:t>)等</w:t>
      </w:r>
      <w:r>
        <w:rPr>
          <w:rFonts w:hint="default" w:ascii="Times New Roman" w:hAnsi="Times New Roman" w:eastAsia="宋体" w:cs="Times New Roman"/>
          <w:sz w:val="24"/>
          <w:szCs w:val="22"/>
        </w:rPr>
        <w:t>。</w:t>
      </w:r>
    </w:p>
    <w:p w14:paraId="6FDA4474">
      <w:pPr>
        <w:spacing w:line="360" w:lineRule="auto"/>
        <w:ind w:firstLine="482" w:firstLineChars="200"/>
        <w:rPr>
          <w:rFonts w:hint="default" w:ascii="Times New Roman" w:hAnsi="Times New Roman" w:eastAsia="宋体" w:cs="Times New Roman"/>
          <w:b/>
          <w:bCs/>
          <w:sz w:val="24"/>
          <w:szCs w:val="21"/>
          <w:lang w:val="en-US" w:eastAsia="zh-CN"/>
        </w:rPr>
      </w:pPr>
      <w:r>
        <w:rPr>
          <w:rFonts w:hint="default" w:ascii="Times New Roman" w:hAnsi="Times New Roman" w:eastAsia="宋体" w:cs="Times New Roman"/>
          <w:b/>
          <w:bCs/>
          <w:sz w:val="24"/>
          <w:szCs w:val="21"/>
          <w:lang w:val="en-US" w:eastAsia="zh-CN"/>
        </w:rPr>
        <w:t>3.毛竹群系</w:t>
      </w:r>
    </w:p>
    <w:p w14:paraId="7C5C5187">
      <w:pPr>
        <w:widowControl w:val="0"/>
        <w:spacing w:line="360" w:lineRule="auto"/>
        <w:ind w:firstLine="480" w:firstLineChars="200"/>
        <w:jc w:val="both"/>
        <w:rPr>
          <w:rFonts w:hint="default" w:ascii="Times New Roman" w:hAnsi="Times New Roman" w:eastAsia="宋体" w:cs="Times New Roman"/>
          <w:kern w:val="2"/>
          <w:sz w:val="24"/>
          <w:szCs w:val="21"/>
          <w:lang w:val="en-US" w:eastAsia="zh-CN" w:bidi="ar-SA"/>
        </w:rPr>
      </w:pPr>
      <w:r>
        <w:rPr>
          <w:rFonts w:hint="default" w:ascii="Times New Roman" w:hAnsi="Times New Roman" w:eastAsia="宋体" w:cs="Times New Roman"/>
          <w:kern w:val="2"/>
          <w:sz w:val="24"/>
          <w:szCs w:val="21"/>
          <w:lang w:val="en-US" w:eastAsia="zh-CN" w:bidi="ar-SA"/>
        </w:rPr>
        <w:t>毛竹(</w:t>
      </w:r>
      <w:r>
        <w:rPr>
          <w:rFonts w:hint="default" w:ascii="Times New Roman" w:hAnsi="Times New Roman" w:eastAsia="宋体" w:cs="Times New Roman"/>
          <w:i/>
          <w:iCs/>
          <w:kern w:val="2"/>
          <w:sz w:val="24"/>
          <w:szCs w:val="21"/>
          <w:lang w:val="en-US" w:eastAsia="zh-CN" w:bidi="ar-SA"/>
        </w:rPr>
        <w:t>Phyllostachys edulis</w:t>
      </w:r>
      <w:r>
        <w:rPr>
          <w:rFonts w:hint="default" w:ascii="Times New Roman" w:hAnsi="Times New Roman" w:eastAsia="宋体" w:cs="Times New Roman"/>
          <w:kern w:val="2"/>
          <w:sz w:val="24"/>
          <w:szCs w:val="21"/>
          <w:lang w:val="en-US" w:eastAsia="zh-CN" w:bidi="ar-SA"/>
        </w:rPr>
        <w:t xml:space="preserve"> (Carrière) J. Houz.)，</w:t>
      </w:r>
      <w:r>
        <w:rPr>
          <w:rFonts w:hint="default" w:ascii="Times New Roman" w:hAnsi="Times New Roman" w:eastAsia="宋体" w:cs="Times New Roman"/>
          <w:color w:val="auto"/>
          <w:kern w:val="2"/>
          <w:sz w:val="24"/>
          <w:szCs w:val="32"/>
          <w:lang w:val="en-US" w:eastAsia="zh-CN" w:bidi="ar-SA"/>
        </w:rPr>
        <w:t>禾本科刚竹属植物，适应性、抗逆性强，无性繁殖力强，是评价区内常见的竹类之一，常呈片状或条带状分布，群落外貌翠绿色，林冠整齐，林下土壤为黄壤</w:t>
      </w:r>
      <w:r>
        <w:rPr>
          <w:rFonts w:hint="default" w:ascii="Times New Roman" w:hAnsi="Times New Roman" w:eastAsia="宋体" w:cs="Times New Roman"/>
          <w:i w:val="0"/>
          <w:iCs w:val="0"/>
          <w:color w:val="auto"/>
          <w:kern w:val="2"/>
          <w:sz w:val="24"/>
          <w:szCs w:val="32"/>
          <w:u w:val="none"/>
          <w:lang w:val="en-US" w:eastAsia="zh-CN" w:bidi="ar-SA"/>
        </w:rPr>
        <w:t>，群落结构及种类组成较简单</w:t>
      </w:r>
      <w:r>
        <w:rPr>
          <w:rFonts w:hint="default" w:ascii="Times New Roman" w:hAnsi="Times New Roman" w:eastAsia="宋体" w:cs="Times New Roman"/>
          <w:color w:val="auto"/>
          <w:kern w:val="2"/>
          <w:sz w:val="24"/>
          <w:szCs w:val="32"/>
          <w:lang w:val="en-US" w:eastAsia="zh-CN" w:bidi="ar-SA"/>
        </w:rPr>
        <w:t>。</w:t>
      </w:r>
    </w:p>
    <w:p w14:paraId="29FA1207">
      <w:pPr>
        <w:spacing w:line="360" w:lineRule="auto"/>
        <w:ind w:firstLine="480" w:firstLineChars="200"/>
        <w:rPr>
          <w:rFonts w:hint="default" w:ascii="Times New Roman" w:hAnsi="Times New Roman" w:eastAsia="宋体" w:cs="Times New Roman"/>
          <w:sz w:val="24"/>
          <w:szCs w:val="21"/>
          <w:lang w:eastAsia="zh-CN"/>
        </w:rPr>
      </w:pPr>
      <w:r>
        <w:rPr>
          <w:rFonts w:hint="default" w:ascii="Times New Roman" w:hAnsi="Times New Roman" w:eastAsia="宋体" w:cs="Times New Roman"/>
          <w:sz w:val="24"/>
          <w:szCs w:val="22"/>
        </w:rPr>
        <w:t>乔木层郁闭度</w:t>
      </w:r>
      <w:r>
        <w:rPr>
          <w:rFonts w:hint="default" w:ascii="Times New Roman" w:hAnsi="Times New Roman" w:eastAsia="宋体" w:cs="Times New Roman"/>
          <w:sz w:val="24"/>
          <w:szCs w:val="22"/>
          <w:lang w:val="en-US" w:eastAsia="zh-CN"/>
        </w:rPr>
        <w:t>0.86</w:t>
      </w:r>
      <w:r>
        <w:rPr>
          <w:rFonts w:hint="default" w:ascii="Times New Roman" w:hAnsi="Times New Roman" w:eastAsia="宋体" w:cs="Times New Roman"/>
          <w:sz w:val="24"/>
          <w:szCs w:val="22"/>
        </w:rPr>
        <w:t>，层均高</w:t>
      </w:r>
      <w:r>
        <w:rPr>
          <w:rFonts w:hint="default" w:ascii="Times New Roman" w:hAnsi="Times New Roman" w:eastAsia="宋体" w:cs="Times New Roman"/>
          <w:sz w:val="24"/>
          <w:szCs w:val="22"/>
          <w:lang w:val="en-US" w:eastAsia="zh-CN"/>
        </w:rPr>
        <w:t>9.5</w:t>
      </w:r>
      <w:r>
        <w:rPr>
          <w:rFonts w:hint="default" w:ascii="Times New Roman" w:hAnsi="Times New Roman" w:eastAsia="宋体" w:cs="Times New Roman"/>
          <w:sz w:val="24"/>
          <w:szCs w:val="22"/>
        </w:rPr>
        <w:t>m，优势种为</w:t>
      </w:r>
      <w:r>
        <w:rPr>
          <w:rFonts w:hint="default" w:ascii="Times New Roman" w:hAnsi="Times New Roman" w:eastAsia="宋体" w:cs="Times New Roman"/>
          <w:sz w:val="24"/>
          <w:szCs w:val="22"/>
          <w:lang w:eastAsia="zh-CN"/>
        </w:rPr>
        <w:t>毛竹(</w:t>
      </w:r>
      <w:r>
        <w:rPr>
          <w:rFonts w:hint="default" w:ascii="Times New Roman" w:hAnsi="Times New Roman" w:eastAsia="宋体" w:cs="Times New Roman"/>
          <w:i/>
          <w:iCs/>
          <w:sz w:val="24"/>
          <w:szCs w:val="22"/>
          <w:lang w:eastAsia="zh-CN"/>
        </w:rPr>
        <w:t>Phyllostachys edulis</w:t>
      </w:r>
      <w:r>
        <w:rPr>
          <w:rFonts w:hint="default" w:ascii="Times New Roman" w:hAnsi="Times New Roman" w:eastAsia="宋体" w:cs="Times New Roman"/>
          <w:sz w:val="24"/>
          <w:szCs w:val="22"/>
          <w:lang w:eastAsia="zh-CN"/>
        </w:rPr>
        <w:t xml:space="preserve"> (Carrière) J. Houz.)</w:t>
      </w:r>
      <w:r>
        <w:rPr>
          <w:rFonts w:hint="default" w:ascii="Times New Roman" w:hAnsi="Times New Roman" w:eastAsia="宋体" w:cs="Times New Roman"/>
          <w:sz w:val="24"/>
          <w:szCs w:val="22"/>
        </w:rPr>
        <w:t>，高</w:t>
      </w:r>
      <w:r>
        <w:rPr>
          <w:rFonts w:hint="default" w:ascii="Times New Roman" w:hAnsi="Times New Roman" w:eastAsia="宋体" w:cs="Times New Roman"/>
          <w:sz w:val="24"/>
          <w:szCs w:val="22"/>
          <w:lang w:val="en-US" w:eastAsia="zh-CN"/>
        </w:rPr>
        <w:t>7-12</w:t>
      </w:r>
      <w:r>
        <w:rPr>
          <w:rFonts w:hint="default" w:ascii="Times New Roman" w:hAnsi="Times New Roman" w:eastAsia="宋体" w:cs="Times New Roman"/>
          <w:sz w:val="24"/>
          <w:szCs w:val="22"/>
        </w:rPr>
        <w:t>m，胸径</w:t>
      </w:r>
      <w:r>
        <w:rPr>
          <w:rFonts w:hint="default" w:ascii="Times New Roman" w:hAnsi="Times New Roman" w:eastAsia="宋体" w:cs="Times New Roman"/>
          <w:sz w:val="24"/>
          <w:szCs w:val="22"/>
          <w:lang w:val="en-US" w:eastAsia="zh-CN"/>
        </w:rPr>
        <w:t>9-13</w:t>
      </w:r>
      <w:r>
        <w:rPr>
          <w:rFonts w:hint="default" w:ascii="Times New Roman" w:hAnsi="Times New Roman" w:eastAsia="宋体" w:cs="Times New Roman"/>
          <w:sz w:val="24"/>
          <w:szCs w:val="22"/>
        </w:rPr>
        <w:t>cm，其他主要物种有</w:t>
      </w:r>
      <w:r>
        <w:rPr>
          <w:rFonts w:hint="default" w:ascii="Times New Roman" w:hAnsi="Times New Roman" w:eastAsia="宋体" w:cs="Times New Roman"/>
          <w:sz w:val="24"/>
          <w:szCs w:val="22"/>
          <w:lang w:eastAsia="zh-CN"/>
        </w:rPr>
        <w:t>樟(</w:t>
      </w:r>
      <w:r>
        <w:rPr>
          <w:rFonts w:hint="default" w:ascii="Times New Roman" w:hAnsi="Times New Roman" w:eastAsia="宋体" w:cs="Times New Roman"/>
          <w:i/>
          <w:iCs/>
          <w:sz w:val="24"/>
          <w:szCs w:val="22"/>
          <w:lang w:eastAsia="zh-CN"/>
        </w:rPr>
        <w:t>Camphora officinarum</w:t>
      </w:r>
      <w:r>
        <w:rPr>
          <w:rFonts w:hint="default" w:ascii="Times New Roman" w:hAnsi="Times New Roman" w:eastAsia="宋体" w:cs="Times New Roman"/>
          <w:sz w:val="24"/>
          <w:szCs w:val="22"/>
          <w:lang w:eastAsia="zh-CN"/>
        </w:rPr>
        <w:t xml:space="preserve"> Nees)</w:t>
      </w:r>
      <w:r>
        <w:rPr>
          <w:rFonts w:hint="default" w:ascii="Times New Roman" w:hAnsi="Times New Roman" w:eastAsia="宋体" w:cs="Times New Roman"/>
          <w:sz w:val="24"/>
          <w:szCs w:val="22"/>
        </w:rPr>
        <w:t>、</w:t>
      </w:r>
      <w:r>
        <w:rPr>
          <w:rFonts w:hint="default" w:ascii="Times New Roman" w:hAnsi="Times New Roman" w:eastAsia="宋体" w:cs="Times New Roman"/>
          <w:sz w:val="24"/>
          <w:szCs w:val="22"/>
          <w:lang w:val="en-US" w:eastAsia="zh-CN"/>
        </w:rPr>
        <w:t>构树</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Broussonetia papyrifera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 L'Hér. ex Vent.</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b w:val="0"/>
          <w:bCs w:val="0"/>
          <w:sz w:val="24"/>
          <w:szCs w:val="21"/>
          <w:lang w:val="en-US" w:eastAsia="zh-CN"/>
        </w:rPr>
        <w:t>锥栗</w:t>
      </w:r>
      <w:r>
        <w:rPr>
          <w:rFonts w:hint="default" w:ascii="Times New Roman" w:hAnsi="Times New Roman" w:eastAsia="宋体" w:cs="Times New Roman"/>
          <w:b w:val="0"/>
          <w:bCs w:val="0"/>
          <w:sz w:val="24"/>
          <w:szCs w:val="21"/>
          <w:lang w:eastAsia="zh-CN"/>
        </w:rPr>
        <w:t>(</w:t>
      </w:r>
      <w:r>
        <w:rPr>
          <w:rFonts w:hint="default" w:ascii="Times New Roman" w:hAnsi="Times New Roman" w:eastAsia="宋体" w:cs="Times New Roman"/>
          <w:b w:val="0"/>
          <w:bCs w:val="0"/>
          <w:i/>
          <w:iCs/>
          <w:sz w:val="24"/>
          <w:szCs w:val="21"/>
          <w:lang w:eastAsia="zh-CN"/>
        </w:rPr>
        <w:t>Castanea henryi</w:t>
      </w:r>
      <w:r>
        <w:rPr>
          <w:rFonts w:hint="default" w:ascii="Times New Roman" w:hAnsi="Times New Roman" w:eastAsia="宋体" w:cs="Times New Roman"/>
          <w:b w:val="0"/>
          <w:bCs w:val="0"/>
          <w:i w:val="0"/>
          <w:iCs w:val="0"/>
          <w:sz w:val="24"/>
          <w:szCs w:val="21"/>
          <w:lang w:eastAsia="zh-CN"/>
        </w:rPr>
        <w:t>(Skan) Rehder &amp; E. H. Wilson</w:t>
      </w:r>
      <w:r>
        <w:rPr>
          <w:rFonts w:hint="default" w:ascii="Times New Roman" w:hAnsi="Times New Roman" w:eastAsia="宋体" w:cs="Times New Roman"/>
          <w:b w:val="0"/>
          <w:bCs w:val="0"/>
          <w:sz w:val="24"/>
          <w:szCs w:val="21"/>
          <w:lang w:eastAsia="zh-CN"/>
        </w:rPr>
        <w:t>)、</w:t>
      </w:r>
      <w:r>
        <w:rPr>
          <w:rFonts w:hint="default" w:ascii="Times New Roman" w:hAnsi="Times New Roman" w:eastAsia="宋体" w:cs="Times New Roman"/>
          <w:sz w:val="24"/>
          <w:szCs w:val="22"/>
          <w:lang w:val="en-US" w:eastAsia="zh-CN"/>
        </w:rPr>
        <w:t>檫木</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Sassafras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tzumu</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(Hemsl.) Hemsl.</w:t>
      </w:r>
      <w:r>
        <w:rPr>
          <w:rFonts w:hint="default" w:ascii="Times New Roman" w:hAnsi="Times New Roman" w:eastAsia="宋体" w:cs="Times New Roman"/>
          <w:sz w:val="24"/>
          <w:szCs w:val="22"/>
          <w:lang w:eastAsia="zh-CN"/>
        </w:rPr>
        <w:t>)等；林下</w:t>
      </w:r>
      <w:r>
        <w:rPr>
          <w:rFonts w:hint="default" w:ascii="Times New Roman" w:hAnsi="Times New Roman" w:eastAsia="宋体" w:cs="Times New Roman"/>
          <w:sz w:val="24"/>
          <w:szCs w:val="22"/>
        </w:rPr>
        <w:t>灌木层</w:t>
      </w:r>
      <w:r>
        <w:rPr>
          <w:rFonts w:hint="default" w:ascii="Times New Roman" w:hAnsi="Times New Roman" w:eastAsia="宋体" w:cs="Times New Roman"/>
          <w:sz w:val="24"/>
          <w:szCs w:val="22"/>
          <w:lang w:eastAsia="zh-CN"/>
        </w:rPr>
        <w:t>盖度</w:t>
      </w:r>
      <w:r>
        <w:rPr>
          <w:rFonts w:hint="default" w:ascii="Times New Roman" w:hAnsi="Times New Roman" w:eastAsia="宋体" w:cs="Times New Roman"/>
          <w:sz w:val="24"/>
          <w:szCs w:val="22"/>
          <w:lang w:val="en-US" w:eastAsia="zh-CN"/>
        </w:rPr>
        <w:t>30%，层均高1.3m，无明显</w:t>
      </w:r>
      <w:r>
        <w:rPr>
          <w:rFonts w:hint="default" w:ascii="Times New Roman" w:hAnsi="Times New Roman" w:eastAsia="宋体" w:cs="Times New Roman"/>
          <w:sz w:val="24"/>
          <w:szCs w:val="22"/>
        </w:rPr>
        <w:t>优势种</w:t>
      </w:r>
      <w:r>
        <w:rPr>
          <w:rFonts w:hint="default" w:ascii="Times New Roman" w:hAnsi="Times New Roman" w:eastAsia="宋体" w:cs="Times New Roman"/>
          <w:sz w:val="24"/>
          <w:szCs w:val="22"/>
          <w:lang w:eastAsia="zh-CN"/>
        </w:rPr>
        <w:t>，主要物种有篌竹(</w:t>
      </w:r>
      <w:r>
        <w:rPr>
          <w:rFonts w:hint="default" w:ascii="Times New Roman" w:hAnsi="Times New Roman" w:eastAsia="宋体" w:cs="Times New Roman"/>
          <w:i/>
          <w:iCs/>
          <w:sz w:val="24"/>
          <w:szCs w:val="22"/>
          <w:lang w:eastAsia="zh-CN"/>
        </w:rPr>
        <w:t>Phyllostachys nidularia</w:t>
      </w:r>
      <w:r>
        <w:rPr>
          <w:rFonts w:hint="default" w:ascii="Times New Roman" w:hAnsi="Times New Roman" w:eastAsia="宋体" w:cs="Times New Roman"/>
          <w:sz w:val="24"/>
          <w:szCs w:val="22"/>
          <w:lang w:eastAsia="zh-CN"/>
        </w:rPr>
        <w:t xml:space="preserve"> Munro)、</w:t>
      </w:r>
      <w:r>
        <w:rPr>
          <w:rFonts w:hint="default" w:ascii="Times New Roman" w:hAnsi="Times New Roman" w:eastAsia="宋体" w:cs="Times New Roman"/>
          <w:sz w:val="24"/>
          <w:szCs w:val="22"/>
          <w:lang w:val="en-US" w:eastAsia="zh-CN"/>
        </w:rPr>
        <w:t>刺槐(</w:t>
      </w:r>
      <w:r>
        <w:rPr>
          <w:rFonts w:hint="default" w:ascii="Times New Roman" w:hAnsi="Times New Roman" w:eastAsia="宋体" w:cs="Times New Roman"/>
          <w:i/>
          <w:iCs/>
          <w:sz w:val="24"/>
          <w:szCs w:val="22"/>
          <w:lang w:val="en-US" w:eastAsia="zh-CN"/>
        </w:rPr>
        <w:t xml:space="preserve">Robinia pseudoacacia </w:t>
      </w:r>
      <w:r>
        <w:rPr>
          <w:rFonts w:hint="default" w:ascii="Times New Roman" w:hAnsi="Times New Roman" w:eastAsia="宋体" w:cs="Times New Roman"/>
          <w:sz w:val="24"/>
          <w:szCs w:val="22"/>
          <w:lang w:val="en-US" w:eastAsia="zh-CN"/>
        </w:rPr>
        <w:t>L.)、盐麸木(Rhus chinensis Mill.)、小果蔷薇(Rubus tephrodes Hance.)、苎麻(Boehmeria nivea (L.) Gaudich)、灰白毛莓(Rubus tephrodes Hance.)</w:t>
      </w:r>
      <w:r>
        <w:rPr>
          <w:rFonts w:hint="default" w:ascii="Times New Roman" w:hAnsi="Times New Roman" w:eastAsia="宋体" w:cs="Times New Roman"/>
          <w:sz w:val="24"/>
          <w:szCs w:val="22"/>
          <w:lang w:eastAsia="zh-CN"/>
        </w:rPr>
        <w:t>等</w:t>
      </w:r>
      <w:r>
        <w:rPr>
          <w:rFonts w:hint="default" w:ascii="Times New Roman" w:hAnsi="Times New Roman" w:eastAsia="宋体" w:cs="Times New Roman"/>
          <w:sz w:val="24"/>
          <w:szCs w:val="22"/>
        </w:rPr>
        <w:t>；草本层</w:t>
      </w:r>
      <w:r>
        <w:rPr>
          <w:rFonts w:hint="default" w:ascii="Times New Roman" w:hAnsi="Times New Roman" w:eastAsia="宋体" w:cs="Times New Roman"/>
          <w:sz w:val="24"/>
          <w:szCs w:val="22"/>
          <w:lang w:eastAsia="zh-CN"/>
        </w:rPr>
        <w:t>盖度</w:t>
      </w:r>
      <w:r>
        <w:rPr>
          <w:rFonts w:hint="default" w:ascii="Times New Roman" w:hAnsi="Times New Roman" w:eastAsia="宋体" w:cs="Times New Roman"/>
          <w:sz w:val="24"/>
          <w:szCs w:val="22"/>
          <w:lang w:val="en-US" w:eastAsia="zh-CN"/>
        </w:rPr>
        <w:t>15%，层均高0.2m，无明显</w:t>
      </w:r>
      <w:r>
        <w:rPr>
          <w:rFonts w:hint="default" w:ascii="Times New Roman" w:hAnsi="Times New Roman" w:eastAsia="宋体" w:cs="Times New Roman"/>
          <w:sz w:val="24"/>
          <w:szCs w:val="22"/>
        </w:rPr>
        <w:t>优势种</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rPr>
        <w:t>主要物种有</w:t>
      </w:r>
      <w:r>
        <w:rPr>
          <w:rFonts w:hint="default" w:ascii="Times New Roman" w:hAnsi="Times New Roman" w:eastAsia="宋体" w:cs="Times New Roman"/>
          <w:sz w:val="24"/>
          <w:szCs w:val="22"/>
          <w:lang w:eastAsia="zh-CN"/>
        </w:rPr>
        <w:t>野艾蒿(</w:t>
      </w:r>
      <w:r>
        <w:rPr>
          <w:rFonts w:hint="default" w:ascii="Times New Roman" w:hAnsi="Times New Roman" w:eastAsia="宋体" w:cs="Times New Roman"/>
          <w:i/>
          <w:iCs/>
          <w:sz w:val="24"/>
          <w:szCs w:val="22"/>
          <w:lang w:eastAsia="zh-CN"/>
        </w:rPr>
        <w:t>Artemisia lavandulifolia</w:t>
      </w:r>
      <w:r>
        <w:rPr>
          <w:rFonts w:hint="default" w:ascii="Times New Roman" w:hAnsi="Times New Roman" w:eastAsia="宋体" w:cs="Times New Roman"/>
          <w:sz w:val="24"/>
          <w:szCs w:val="22"/>
          <w:lang w:eastAsia="zh-CN"/>
        </w:rPr>
        <w:t xml:space="preserve"> DC.)</w:t>
      </w:r>
      <w:r>
        <w:rPr>
          <w:rFonts w:hint="default" w:ascii="Times New Roman" w:hAnsi="Times New Roman" w:eastAsia="宋体" w:cs="Times New Roman"/>
          <w:sz w:val="24"/>
          <w:szCs w:val="22"/>
        </w:rPr>
        <w:t>、</w:t>
      </w:r>
      <w:r>
        <w:rPr>
          <w:rFonts w:hint="default" w:ascii="Times New Roman" w:hAnsi="Times New Roman" w:eastAsia="宋体" w:cs="Times New Roman"/>
          <w:sz w:val="24"/>
          <w:szCs w:val="22"/>
          <w:lang w:val="en-US" w:eastAsia="zh-CN"/>
        </w:rPr>
        <w:t>垂序商陆</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Phytolacca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americana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博落回</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Macleaya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cordata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(Willd.) R. Br</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小蓬</w:t>
      </w:r>
      <w:r>
        <w:rPr>
          <w:rFonts w:hint="default" w:ascii="Times New Roman" w:hAnsi="Times New Roman" w:eastAsia="宋体" w:cs="Times New Roman"/>
          <w:sz w:val="24"/>
          <w:szCs w:val="22"/>
          <w:lang w:eastAsia="zh-CN"/>
        </w:rPr>
        <w:t>草(</w:t>
      </w:r>
      <w:r>
        <w:rPr>
          <w:rFonts w:hint="default" w:ascii="Times New Roman" w:hAnsi="Times New Roman" w:eastAsia="宋体" w:cs="Times New Roman"/>
          <w:i/>
          <w:iCs/>
          <w:sz w:val="24"/>
          <w:szCs w:val="22"/>
          <w:lang w:eastAsia="zh-CN"/>
        </w:rPr>
        <w:t>Erigeron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canadensis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酸模叶蓼(Persicaria lapathifolia (L.) Delarbre)、白车轴草(Trifolium repens L.)、一年蓬(</w:t>
      </w:r>
      <w:r>
        <w:rPr>
          <w:rFonts w:hint="default" w:ascii="Times New Roman" w:hAnsi="Times New Roman" w:eastAsia="宋体" w:cs="Times New Roman"/>
          <w:i/>
          <w:iCs/>
          <w:sz w:val="24"/>
          <w:szCs w:val="22"/>
          <w:lang w:val="en-US" w:eastAsia="zh-CN"/>
        </w:rPr>
        <w:t xml:space="preserve">Erigeron annuus </w:t>
      </w:r>
      <w:r>
        <w:rPr>
          <w:rFonts w:hint="default" w:ascii="Times New Roman" w:hAnsi="Times New Roman" w:eastAsia="宋体" w:cs="Times New Roman"/>
          <w:i w:val="0"/>
          <w:iCs w:val="0"/>
          <w:sz w:val="24"/>
          <w:szCs w:val="22"/>
          <w:lang w:val="en-US" w:eastAsia="zh-CN"/>
        </w:rPr>
        <w:t>(L.) Pers.</w:t>
      </w:r>
      <w:r>
        <w:rPr>
          <w:rFonts w:hint="default" w:ascii="Times New Roman" w:hAnsi="Times New Roman" w:eastAsia="宋体" w:cs="Times New Roman"/>
          <w:sz w:val="24"/>
          <w:szCs w:val="22"/>
          <w:lang w:val="en-US" w:eastAsia="zh-CN"/>
        </w:rPr>
        <w:t>)</w:t>
      </w:r>
      <w:r>
        <w:rPr>
          <w:rFonts w:hint="default" w:ascii="Times New Roman" w:hAnsi="Times New Roman" w:eastAsia="宋体" w:cs="Times New Roman"/>
          <w:sz w:val="24"/>
          <w:szCs w:val="22"/>
        </w:rPr>
        <w:t>等。</w:t>
      </w:r>
    </w:p>
    <w:p w14:paraId="3C6548A0">
      <w:pPr>
        <w:widowControl/>
        <w:numPr>
          <w:ilvl w:val="0"/>
          <w:numId w:val="19"/>
        </w:numPr>
        <w:spacing w:before="100" w:beforeAutospacing="1" w:line="360" w:lineRule="auto"/>
        <w:ind w:firstLine="482" w:firstLineChars="200"/>
        <w:contextualSpacing/>
        <w:jc w:val="left"/>
        <w:rPr>
          <w:rFonts w:hint="default" w:ascii="Times New Roman" w:hAnsi="Times New Roman" w:eastAsia="宋体" w:cs="Times New Roman"/>
          <w:b/>
          <w:bCs/>
          <w:caps w:val="0"/>
          <w:smallCaps w:val="0"/>
          <w:kern w:val="0"/>
          <w:sz w:val="24"/>
          <w:szCs w:val="21"/>
        </w:rPr>
      </w:pPr>
      <w:r>
        <w:rPr>
          <w:rFonts w:hint="default" w:ascii="Times New Roman" w:hAnsi="Times New Roman" w:eastAsia="宋体" w:cs="Times New Roman"/>
          <w:b/>
          <w:bCs/>
          <w:caps w:val="0"/>
          <w:smallCaps w:val="0"/>
          <w:sz w:val="24"/>
          <w:szCs w:val="21"/>
        </w:rPr>
        <w:t>灌丛</w:t>
      </w:r>
      <w:r>
        <w:rPr>
          <w:rFonts w:hint="default" w:ascii="Times New Roman" w:hAnsi="Times New Roman" w:eastAsia="宋体" w:cs="Times New Roman"/>
          <w:b/>
          <w:bCs/>
          <w:caps w:val="0"/>
          <w:smallCaps w:val="0"/>
          <w:sz w:val="24"/>
          <w:szCs w:val="21"/>
          <w:lang w:eastAsia="zh-CN"/>
        </w:rPr>
        <w:t>和灌草丛</w:t>
      </w:r>
    </w:p>
    <w:p w14:paraId="4F643C22">
      <w:pPr>
        <w:widowControl/>
        <w:numPr>
          <w:ilvl w:val="0"/>
          <w:numId w:val="0"/>
        </w:numPr>
        <w:tabs>
          <w:tab w:val="left" w:pos="1021"/>
        </w:tabs>
        <w:spacing w:line="360" w:lineRule="auto"/>
        <w:ind w:firstLine="482" w:firstLineChars="200"/>
        <w:rPr>
          <w:rFonts w:hint="default" w:ascii="Times New Roman" w:hAnsi="Times New Roman" w:eastAsia="宋体" w:cs="Times New Roman"/>
          <w:b/>
          <w:caps w:val="0"/>
          <w:smallCaps w:val="0"/>
          <w:kern w:val="0"/>
          <w:sz w:val="24"/>
          <w:szCs w:val="24"/>
        </w:rPr>
      </w:pPr>
      <w:r>
        <w:rPr>
          <w:rFonts w:hint="default" w:ascii="Times New Roman" w:hAnsi="Times New Roman" w:eastAsia="宋体" w:cs="Times New Roman"/>
          <w:b/>
          <w:caps w:val="0"/>
          <w:smallCaps w:val="0"/>
          <w:kern w:val="0"/>
          <w:sz w:val="24"/>
          <w:szCs w:val="24"/>
          <w:lang w:val="en-US" w:eastAsia="zh-CN"/>
        </w:rPr>
        <w:t>4.盐麸木</w:t>
      </w:r>
      <w:r>
        <w:rPr>
          <w:rFonts w:hint="default" w:ascii="Times New Roman" w:hAnsi="Times New Roman" w:eastAsia="宋体" w:cs="Times New Roman"/>
          <w:b/>
          <w:caps w:val="0"/>
          <w:smallCaps w:val="0"/>
          <w:kern w:val="0"/>
          <w:sz w:val="24"/>
          <w:szCs w:val="24"/>
        </w:rPr>
        <w:t>群系</w:t>
      </w:r>
    </w:p>
    <w:p w14:paraId="185B06F0">
      <w:pPr>
        <w:spacing w:line="360" w:lineRule="auto"/>
        <w:ind w:firstLine="480" w:firstLineChars="200"/>
        <w:rPr>
          <w:rFonts w:hint="default" w:ascii="Times New Roman" w:hAnsi="Times New Roman" w:eastAsia="宋体" w:cs="Times New Roman"/>
          <w:sz w:val="24"/>
          <w:szCs w:val="22"/>
          <w:lang w:eastAsia="zh-CN"/>
        </w:rPr>
      </w:pPr>
      <w:r>
        <w:rPr>
          <w:rFonts w:hint="default" w:ascii="Times New Roman" w:hAnsi="Times New Roman" w:eastAsia="宋体" w:cs="Times New Roman"/>
          <w:sz w:val="24"/>
          <w:szCs w:val="22"/>
          <w:lang w:eastAsia="zh-CN"/>
        </w:rPr>
        <w:t>盐麸木(</w:t>
      </w:r>
      <w:r>
        <w:rPr>
          <w:rFonts w:hint="default" w:ascii="Times New Roman" w:hAnsi="Times New Roman" w:eastAsia="宋体" w:cs="Times New Roman"/>
          <w:i/>
          <w:iCs/>
          <w:sz w:val="24"/>
          <w:szCs w:val="22"/>
          <w:lang w:eastAsia="zh-CN"/>
        </w:rPr>
        <w:t>Rhus chinensis</w:t>
      </w:r>
      <w:r>
        <w:rPr>
          <w:rFonts w:hint="default" w:ascii="Times New Roman" w:hAnsi="Times New Roman" w:eastAsia="宋体" w:cs="Times New Roman"/>
          <w:sz w:val="24"/>
          <w:szCs w:val="22"/>
          <w:lang w:eastAsia="zh-CN"/>
        </w:rPr>
        <w:t xml:space="preserve"> Mill.)，</w:t>
      </w:r>
      <w:r>
        <w:rPr>
          <w:rFonts w:hint="default" w:ascii="Times New Roman" w:hAnsi="Times New Roman" w:eastAsia="宋体" w:cs="Times New Roman"/>
          <w:sz w:val="24"/>
          <w:szCs w:val="22"/>
          <w:lang w:val="en-US" w:eastAsia="zh-CN"/>
        </w:rPr>
        <w:t>漆树科盐麸木</w:t>
      </w:r>
      <w:r>
        <w:rPr>
          <w:rFonts w:hint="default" w:ascii="Times New Roman" w:hAnsi="Times New Roman" w:eastAsia="宋体" w:cs="Times New Roman"/>
          <w:sz w:val="24"/>
          <w:szCs w:val="22"/>
          <w:lang w:eastAsia="zh-CN"/>
        </w:rPr>
        <w:t>属植物，常见于林下、林缘组成优势群落。其在评价区内广泛分布，群落外貌呈绿、黄相间，群系下土壤为黄壤，群落结构及种类组成较简单。</w:t>
      </w:r>
    </w:p>
    <w:p w14:paraId="3348388F">
      <w:pPr>
        <w:widowControl/>
        <w:tabs>
          <w:tab w:val="left" w:pos="1021"/>
        </w:tabs>
        <w:spacing w:line="360" w:lineRule="auto"/>
        <w:ind w:firstLine="480" w:firstLineChars="200"/>
        <w:rPr>
          <w:rFonts w:hint="default" w:ascii="Times New Roman" w:hAnsi="Times New Roman" w:eastAsia="宋体" w:cs="Times New Roman"/>
          <w:caps w:val="0"/>
          <w:smallCaps w:val="0"/>
          <w:kern w:val="0"/>
          <w:sz w:val="24"/>
          <w:szCs w:val="24"/>
        </w:rPr>
      </w:pPr>
      <w:r>
        <w:rPr>
          <w:rFonts w:hint="default" w:ascii="Times New Roman" w:hAnsi="Times New Roman" w:eastAsia="宋体" w:cs="Times New Roman"/>
          <w:sz w:val="24"/>
          <w:szCs w:val="22"/>
        </w:rPr>
        <w:t>灌木层</w:t>
      </w:r>
      <w:r>
        <w:rPr>
          <w:rFonts w:hint="default" w:ascii="Times New Roman" w:hAnsi="Times New Roman" w:eastAsia="宋体" w:cs="Times New Roman"/>
          <w:sz w:val="24"/>
          <w:szCs w:val="22"/>
          <w:lang w:eastAsia="zh-CN"/>
        </w:rPr>
        <w:t>盖度</w:t>
      </w:r>
      <w:r>
        <w:rPr>
          <w:rFonts w:hint="default" w:ascii="Times New Roman" w:hAnsi="Times New Roman" w:eastAsia="宋体" w:cs="Times New Roman"/>
          <w:sz w:val="24"/>
          <w:szCs w:val="22"/>
          <w:lang w:val="en-US" w:eastAsia="zh-CN"/>
        </w:rPr>
        <w:t>80%，层均高1.3m，</w:t>
      </w:r>
      <w:r>
        <w:rPr>
          <w:rFonts w:hint="default" w:ascii="Times New Roman" w:hAnsi="Times New Roman" w:eastAsia="宋体" w:cs="Times New Roman"/>
          <w:sz w:val="24"/>
          <w:szCs w:val="22"/>
        </w:rPr>
        <w:t>优势种为</w:t>
      </w:r>
      <w:r>
        <w:rPr>
          <w:rFonts w:hint="default" w:ascii="Times New Roman" w:hAnsi="Times New Roman" w:eastAsia="宋体" w:cs="Times New Roman"/>
          <w:sz w:val="24"/>
          <w:szCs w:val="22"/>
          <w:lang w:eastAsia="zh-CN"/>
        </w:rPr>
        <w:t>盐麸木(</w:t>
      </w:r>
      <w:r>
        <w:rPr>
          <w:rFonts w:hint="default" w:ascii="Times New Roman" w:hAnsi="Times New Roman" w:eastAsia="宋体" w:cs="Times New Roman"/>
          <w:i/>
          <w:iCs/>
          <w:sz w:val="24"/>
          <w:szCs w:val="22"/>
          <w:lang w:eastAsia="zh-CN"/>
        </w:rPr>
        <w:t>Rhus chinensis</w:t>
      </w:r>
      <w:r>
        <w:rPr>
          <w:rFonts w:hint="default" w:ascii="Times New Roman" w:hAnsi="Times New Roman" w:eastAsia="宋体" w:cs="Times New Roman"/>
          <w:sz w:val="24"/>
          <w:szCs w:val="22"/>
          <w:lang w:eastAsia="zh-CN"/>
        </w:rPr>
        <w:t xml:space="preserve"> Mill.)，高</w:t>
      </w:r>
      <w:r>
        <w:rPr>
          <w:rFonts w:hint="default" w:ascii="Times New Roman" w:hAnsi="Times New Roman" w:eastAsia="宋体" w:cs="Times New Roman"/>
          <w:sz w:val="24"/>
          <w:szCs w:val="22"/>
          <w:lang w:val="en-US" w:eastAsia="zh-CN"/>
        </w:rPr>
        <w:t>0.6-2.5m，</w:t>
      </w:r>
      <w:r>
        <w:rPr>
          <w:rFonts w:hint="default" w:ascii="Times New Roman" w:hAnsi="Times New Roman" w:eastAsia="宋体" w:cs="Times New Roman"/>
          <w:sz w:val="24"/>
          <w:szCs w:val="22"/>
          <w:lang w:eastAsia="zh-CN"/>
        </w:rPr>
        <w:t>其他主要物种有</w:t>
      </w:r>
      <w:r>
        <w:rPr>
          <w:rFonts w:hint="default" w:ascii="Times New Roman" w:hAnsi="Times New Roman" w:eastAsia="宋体" w:cs="Times New Roman"/>
          <w:sz w:val="24"/>
          <w:szCs w:val="22"/>
          <w:lang w:val="en-US" w:eastAsia="zh-CN"/>
        </w:rPr>
        <w:t>小果蔷薇</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Rubus tephrodes</w:t>
      </w:r>
      <w:r>
        <w:rPr>
          <w:rFonts w:hint="default" w:ascii="Times New Roman" w:hAnsi="Times New Roman" w:eastAsia="宋体" w:cs="Times New Roman"/>
          <w:i w:val="0"/>
          <w:iCs w:val="0"/>
          <w:sz w:val="24"/>
          <w:szCs w:val="22"/>
          <w:lang w:val="en-US" w:eastAsia="zh-CN"/>
        </w:rPr>
        <w:t xml:space="preserve"> </w:t>
      </w:r>
      <w:r>
        <w:rPr>
          <w:rFonts w:hint="default" w:ascii="Times New Roman" w:hAnsi="Times New Roman" w:eastAsia="宋体" w:cs="Times New Roman"/>
          <w:i w:val="0"/>
          <w:iCs w:val="0"/>
          <w:sz w:val="24"/>
          <w:szCs w:val="22"/>
          <w:lang w:eastAsia="zh-CN"/>
        </w:rPr>
        <w:t>Hance.</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苎麻</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Boehmeria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nivea</w:t>
      </w:r>
      <w:r>
        <w:rPr>
          <w:rFonts w:hint="default" w:ascii="Times New Roman" w:hAnsi="Times New Roman" w:eastAsia="宋体" w:cs="Times New Roman"/>
          <w:i w:val="0"/>
          <w:iCs w:val="0"/>
          <w:sz w:val="24"/>
          <w:szCs w:val="22"/>
          <w:lang w:eastAsia="zh-CN"/>
        </w:rPr>
        <w:t xml:space="preserve"> (L.) Gaudich</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灰白毛莓</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Rubus tephrodes</w:t>
      </w:r>
      <w:r>
        <w:rPr>
          <w:rFonts w:hint="default" w:ascii="Times New Roman" w:hAnsi="Times New Roman" w:eastAsia="宋体" w:cs="Times New Roman"/>
          <w:i w:val="0"/>
          <w:iCs w:val="0"/>
          <w:sz w:val="24"/>
          <w:szCs w:val="22"/>
          <w:lang w:val="en-US" w:eastAsia="zh-CN"/>
        </w:rPr>
        <w:t xml:space="preserve"> </w:t>
      </w:r>
      <w:r>
        <w:rPr>
          <w:rFonts w:hint="default" w:ascii="Times New Roman" w:hAnsi="Times New Roman" w:eastAsia="宋体" w:cs="Times New Roman"/>
          <w:i w:val="0"/>
          <w:iCs w:val="0"/>
          <w:sz w:val="24"/>
          <w:szCs w:val="22"/>
          <w:lang w:eastAsia="zh-CN"/>
        </w:rPr>
        <w:t>Hance.</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乌桕</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Triadica sebifera</w:t>
      </w:r>
      <w:r>
        <w:rPr>
          <w:rFonts w:hint="default" w:ascii="Times New Roman" w:hAnsi="Times New Roman" w:eastAsia="宋体" w:cs="Times New Roman"/>
          <w:sz w:val="24"/>
          <w:szCs w:val="22"/>
          <w:lang w:val="en-US" w:eastAsia="zh-CN"/>
        </w:rPr>
        <w:t xml:space="preserve"> </w:t>
      </w:r>
      <w:r>
        <w:rPr>
          <w:rFonts w:hint="default" w:ascii="Times New Roman" w:hAnsi="Times New Roman" w:eastAsia="宋体" w:cs="Times New Roman"/>
          <w:sz w:val="24"/>
          <w:szCs w:val="22"/>
          <w:lang w:eastAsia="zh-CN"/>
        </w:rPr>
        <w:t>(L.) Small)等</w:t>
      </w:r>
      <w:r>
        <w:rPr>
          <w:rFonts w:hint="default" w:ascii="Times New Roman" w:hAnsi="Times New Roman" w:eastAsia="宋体" w:cs="Times New Roman"/>
          <w:sz w:val="24"/>
          <w:szCs w:val="22"/>
        </w:rPr>
        <w:t>；草本层</w:t>
      </w:r>
      <w:r>
        <w:rPr>
          <w:rFonts w:hint="default" w:ascii="Times New Roman" w:hAnsi="Times New Roman" w:eastAsia="宋体" w:cs="Times New Roman"/>
          <w:sz w:val="24"/>
          <w:szCs w:val="22"/>
          <w:lang w:eastAsia="zh-CN"/>
        </w:rPr>
        <w:t>盖度</w:t>
      </w:r>
      <w:r>
        <w:rPr>
          <w:rFonts w:hint="default" w:ascii="Times New Roman" w:hAnsi="Times New Roman" w:eastAsia="宋体" w:cs="Times New Roman"/>
          <w:sz w:val="24"/>
          <w:szCs w:val="22"/>
          <w:lang w:val="en-US" w:eastAsia="zh-CN"/>
        </w:rPr>
        <w:t>40%，层均高0.4m，无明显</w:t>
      </w:r>
      <w:r>
        <w:rPr>
          <w:rFonts w:hint="default" w:ascii="Times New Roman" w:hAnsi="Times New Roman" w:eastAsia="宋体" w:cs="Times New Roman"/>
          <w:sz w:val="24"/>
          <w:szCs w:val="22"/>
        </w:rPr>
        <w:t>优势种</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rPr>
        <w:t>主要物种</w:t>
      </w:r>
      <w:r>
        <w:rPr>
          <w:rFonts w:hint="default" w:ascii="Times New Roman" w:hAnsi="Times New Roman" w:eastAsia="宋体" w:cs="Times New Roman"/>
          <w:sz w:val="24"/>
          <w:szCs w:val="22"/>
          <w:lang w:val="en-US" w:eastAsia="zh-CN"/>
        </w:rPr>
        <w:t>垂序商陆</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Phytolacca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americana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酸模叶蓼(</w:t>
      </w:r>
      <w:r>
        <w:rPr>
          <w:rFonts w:hint="default" w:ascii="Times New Roman" w:hAnsi="Times New Roman" w:eastAsia="宋体" w:cs="Times New Roman"/>
          <w:i/>
          <w:iCs/>
          <w:sz w:val="24"/>
          <w:szCs w:val="22"/>
          <w:lang w:val="en-US" w:eastAsia="zh-CN"/>
        </w:rPr>
        <w:t>Persicaria lapathifolia (L.)</w:t>
      </w:r>
      <w:r>
        <w:rPr>
          <w:rFonts w:hint="default" w:ascii="Times New Roman" w:hAnsi="Times New Roman" w:eastAsia="宋体" w:cs="Times New Roman"/>
          <w:sz w:val="24"/>
          <w:szCs w:val="22"/>
          <w:lang w:val="en-US" w:eastAsia="zh-CN"/>
        </w:rPr>
        <w:t xml:space="preserve"> Delarbre)</w:t>
      </w:r>
      <w:r>
        <w:rPr>
          <w:rFonts w:hint="default" w:ascii="Times New Roman" w:hAnsi="Times New Roman" w:eastAsia="宋体" w:cs="Times New Roman"/>
          <w:sz w:val="24"/>
          <w:szCs w:val="22"/>
          <w:lang w:eastAsia="zh-CN"/>
        </w:rPr>
        <w:t>、野艾蒿(</w:t>
      </w:r>
      <w:r>
        <w:rPr>
          <w:rFonts w:hint="default" w:ascii="Times New Roman" w:hAnsi="Times New Roman" w:eastAsia="宋体" w:cs="Times New Roman"/>
          <w:i/>
          <w:iCs/>
          <w:sz w:val="24"/>
          <w:szCs w:val="22"/>
          <w:lang w:eastAsia="zh-CN"/>
        </w:rPr>
        <w:t>Artemisia lavandulifolia</w:t>
      </w:r>
      <w:r>
        <w:rPr>
          <w:rFonts w:hint="default" w:ascii="Times New Roman" w:hAnsi="Times New Roman" w:eastAsia="宋体" w:cs="Times New Roman"/>
          <w:sz w:val="24"/>
          <w:szCs w:val="22"/>
          <w:lang w:eastAsia="zh-CN"/>
        </w:rPr>
        <w:t xml:space="preserve"> DC.)、</w:t>
      </w:r>
      <w:r>
        <w:rPr>
          <w:rFonts w:hint="default" w:ascii="Times New Roman" w:hAnsi="Times New Roman" w:eastAsia="宋体" w:cs="Times New Roman"/>
          <w:sz w:val="24"/>
          <w:szCs w:val="22"/>
          <w:lang w:val="en-US" w:eastAsia="zh-CN"/>
        </w:rPr>
        <w:t>小蓬</w:t>
      </w:r>
      <w:r>
        <w:rPr>
          <w:rFonts w:hint="default" w:ascii="Times New Roman" w:hAnsi="Times New Roman" w:eastAsia="宋体" w:cs="Times New Roman"/>
          <w:sz w:val="24"/>
          <w:szCs w:val="22"/>
          <w:lang w:eastAsia="zh-CN"/>
        </w:rPr>
        <w:t>草(</w:t>
      </w:r>
      <w:r>
        <w:rPr>
          <w:rFonts w:hint="default" w:ascii="Times New Roman" w:hAnsi="Times New Roman" w:eastAsia="宋体" w:cs="Times New Roman"/>
          <w:i/>
          <w:iCs/>
          <w:sz w:val="24"/>
          <w:szCs w:val="22"/>
          <w:lang w:eastAsia="zh-CN"/>
        </w:rPr>
        <w:t>Erigeron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canadensis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、一年蓬(</w:t>
      </w:r>
      <w:r>
        <w:rPr>
          <w:rFonts w:hint="default" w:ascii="Times New Roman" w:hAnsi="Times New Roman" w:eastAsia="宋体" w:cs="Times New Roman"/>
          <w:i/>
          <w:iCs/>
          <w:sz w:val="24"/>
          <w:szCs w:val="22"/>
          <w:lang w:val="en-US" w:eastAsia="zh-CN"/>
        </w:rPr>
        <w:t xml:space="preserve">Erigeron annuus </w:t>
      </w:r>
      <w:r>
        <w:rPr>
          <w:rFonts w:hint="default" w:ascii="Times New Roman" w:hAnsi="Times New Roman" w:eastAsia="宋体" w:cs="Times New Roman"/>
          <w:i w:val="0"/>
          <w:iCs w:val="0"/>
          <w:sz w:val="24"/>
          <w:szCs w:val="22"/>
          <w:lang w:val="en-US" w:eastAsia="zh-CN"/>
        </w:rPr>
        <w:t>(L.) Pers.</w:t>
      </w:r>
      <w:r>
        <w:rPr>
          <w:rFonts w:hint="default" w:ascii="Times New Roman" w:hAnsi="Times New Roman" w:eastAsia="宋体" w:cs="Times New Roman"/>
          <w:sz w:val="24"/>
          <w:szCs w:val="22"/>
          <w:lang w:val="en-US" w:eastAsia="zh-CN"/>
        </w:rPr>
        <w:t>)、楼梯草(</w:t>
      </w:r>
      <w:r>
        <w:rPr>
          <w:rFonts w:hint="default" w:ascii="Times New Roman" w:hAnsi="Times New Roman" w:eastAsia="宋体" w:cs="Times New Roman"/>
          <w:i/>
          <w:iCs/>
          <w:sz w:val="24"/>
          <w:szCs w:val="22"/>
          <w:lang w:val="en-US" w:eastAsia="zh-CN"/>
        </w:rPr>
        <w:t xml:space="preserve">Elatostema involucratum </w:t>
      </w:r>
      <w:r>
        <w:rPr>
          <w:rFonts w:hint="default" w:ascii="Times New Roman" w:hAnsi="Times New Roman" w:eastAsia="宋体" w:cs="Times New Roman"/>
          <w:sz w:val="24"/>
          <w:szCs w:val="22"/>
          <w:lang w:val="en-US" w:eastAsia="zh-CN"/>
        </w:rPr>
        <w:t>Franch. &amp; Sav.)</w:t>
      </w:r>
      <w:r>
        <w:rPr>
          <w:rFonts w:hint="default" w:ascii="Times New Roman" w:hAnsi="Times New Roman" w:eastAsia="宋体" w:cs="Times New Roman"/>
          <w:sz w:val="24"/>
          <w:szCs w:val="22"/>
        </w:rPr>
        <w:t>等。</w:t>
      </w:r>
    </w:p>
    <w:p w14:paraId="1737EDBC">
      <w:pPr>
        <w:widowControl w:val="0"/>
        <w:spacing w:line="360" w:lineRule="auto"/>
        <w:ind w:firstLine="482" w:firstLineChars="200"/>
        <w:jc w:val="both"/>
        <w:rPr>
          <w:rFonts w:hint="default" w:ascii="Times New Roman" w:hAnsi="Times New Roman" w:eastAsia="宋体" w:cs="Times New Roman"/>
          <w:b/>
          <w:bCs/>
          <w:kern w:val="2"/>
          <w:sz w:val="24"/>
          <w:szCs w:val="21"/>
          <w:lang w:val="en-US" w:eastAsia="zh-CN" w:bidi="ar-SA"/>
        </w:rPr>
      </w:pPr>
      <w:r>
        <w:rPr>
          <w:rFonts w:hint="default" w:ascii="Times New Roman" w:hAnsi="Times New Roman" w:eastAsia="宋体" w:cs="Times New Roman"/>
          <w:b/>
          <w:bCs/>
          <w:kern w:val="2"/>
          <w:sz w:val="24"/>
          <w:szCs w:val="21"/>
          <w:lang w:val="en-US" w:eastAsia="zh-CN" w:bidi="ar-SA"/>
        </w:rPr>
        <w:t>5.篌竹群系</w:t>
      </w:r>
    </w:p>
    <w:p w14:paraId="21B46AB4">
      <w:pPr>
        <w:spacing w:line="360" w:lineRule="auto"/>
        <w:ind w:firstLine="480" w:firstLineChars="200"/>
        <w:rPr>
          <w:rFonts w:hint="default" w:ascii="Times New Roman" w:hAnsi="Times New Roman" w:eastAsia="宋体" w:cs="Times New Roman"/>
          <w:sz w:val="24"/>
          <w:szCs w:val="21"/>
          <w:lang w:eastAsia="zh-CN"/>
        </w:rPr>
      </w:pPr>
      <w:r>
        <w:rPr>
          <w:rFonts w:hint="default" w:ascii="Times New Roman" w:hAnsi="Times New Roman" w:eastAsia="宋体" w:cs="Times New Roman"/>
          <w:sz w:val="24"/>
          <w:szCs w:val="21"/>
          <w:lang w:eastAsia="zh-CN"/>
        </w:rPr>
        <w:t>篌竹(</w:t>
      </w:r>
      <w:r>
        <w:rPr>
          <w:rFonts w:hint="default" w:ascii="Times New Roman" w:hAnsi="Times New Roman" w:eastAsia="宋体" w:cs="Times New Roman"/>
          <w:i/>
          <w:iCs/>
          <w:sz w:val="24"/>
          <w:szCs w:val="21"/>
          <w:lang w:eastAsia="zh-CN"/>
        </w:rPr>
        <w:t>Phyllostachys nidularia</w:t>
      </w:r>
      <w:r>
        <w:rPr>
          <w:rFonts w:hint="default" w:ascii="Times New Roman" w:hAnsi="Times New Roman" w:eastAsia="宋体" w:cs="Times New Roman"/>
          <w:sz w:val="24"/>
          <w:szCs w:val="21"/>
          <w:lang w:eastAsia="zh-CN"/>
        </w:rPr>
        <w:t xml:space="preserve"> Munro)，</w:t>
      </w:r>
      <w:r>
        <w:rPr>
          <w:rFonts w:hint="default" w:ascii="Times New Roman" w:hAnsi="Times New Roman" w:eastAsia="宋体" w:cs="Times New Roman"/>
          <w:color w:val="auto"/>
          <w:sz w:val="24"/>
          <w:szCs w:val="32"/>
          <w:lang w:val="en-US" w:eastAsia="zh-CN"/>
        </w:rPr>
        <w:t>禾本科刚竹属植物，是评价区最为常见的小径竹之一，其在评价区最为常见的竹，群落外貌呈嫩绿色，林下土壤为黄壤，群落结构及种类组成较简单。</w:t>
      </w:r>
    </w:p>
    <w:p w14:paraId="4D7FF807">
      <w:pPr>
        <w:widowControl/>
        <w:tabs>
          <w:tab w:val="left" w:pos="1021"/>
        </w:tabs>
        <w:spacing w:line="360" w:lineRule="auto"/>
        <w:ind w:firstLine="480" w:firstLineChars="200"/>
        <w:rPr>
          <w:rFonts w:hint="default" w:ascii="Times New Roman" w:hAnsi="Times New Roman" w:eastAsia="宋体" w:cs="Times New Roman"/>
          <w:caps w:val="0"/>
          <w:smallCaps w:val="0"/>
          <w:kern w:val="0"/>
          <w:sz w:val="24"/>
          <w:szCs w:val="24"/>
        </w:rPr>
      </w:pPr>
      <w:r>
        <w:rPr>
          <w:rFonts w:hint="default" w:ascii="Times New Roman" w:hAnsi="Times New Roman" w:eastAsia="宋体" w:cs="Times New Roman"/>
          <w:sz w:val="24"/>
          <w:szCs w:val="22"/>
        </w:rPr>
        <w:t>灌木层</w:t>
      </w:r>
      <w:r>
        <w:rPr>
          <w:rFonts w:hint="default" w:ascii="Times New Roman" w:hAnsi="Times New Roman" w:eastAsia="宋体" w:cs="Times New Roman"/>
          <w:sz w:val="24"/>
          <w:szCs w:val="22"/>
          <w:lang w:eastAsia="zh-CN"/>
        </w:rPr>
        <w:t>盖度</w:t>
      </w:r>
      <w:r>
        <w:rPr>
          <w:rFonts w:hint="default" w:ascii="Times New Roman" w:hAnsi="Times New Roman" w:eastAsia="宋体" w:cs="Times New Roman"/>
          <w:sz w:val="24"/>
          <w:szCs w:val="22"/>
          <w:lang w:val="en-US" w:eastAsia="zh-CN"/>
        </w:rPr>
        <w:t>90%，层均高2.2m，</w:t>
      </w:r>
      <w:r>
        <w:rPr>
          <w:rFonts w:hint="default" w:ascii="Times New Roman" w:hAnsi="Times New Roman" w:eastAsia="宋体" w:cs="Times New Roman"/>
          <w:sz w:val="24"/>
          <w:szCs w:val="22"/>
        </w:rPr>
        <w:t>优势种为</w:t>
      </w:r>
      <w:r>
        <w:rPr>
          <w:rFonts w:hint="default" w:ascii="Times New Roman" w:hAnsi="Times New Roman" w:eastAsia="宋体" w:cs="Times New Roman"/>
          <w:sz w:val="24"/>
          <w:szCs w:val="22"/>
          <w:lang w:eastAsia="zh-CN"/>
        </w:rPr>
        <w:t>篌竹(</w:t>
      </w:r>
      <w:r>
        <w:rPr>
          <w:rFonts w:hint="default" w:ascii="Times New Roman" w:hAnsi="Times New Roman" w:eastAsia="宋体" w:cs="Times New Roman"/>
          <w:i/>
          <w:iCs/>
          <w:sz w:val="24"/>
          <w:szCs w:val="22"/>
          <w:lang w:eastAsia="zh-CN"/>
        </w:rPr>
        <w:t>Phyllostachys nidularia</w:t>
      </w:r>
      <w:r>
        <w:rPr>
          <w:rFonts w:hint="default" w:ascii="Times New Roman" w:hAnsi="Times New Roman" w:eastAsia="宋体" w:cs="Times New Roman"/>
          <w:sz w:val="24"/>
          <w:szCs w:val="22"/>
          <w:lang w:eastAsia="zh-CN"/>
        </w:rPr>
        <w:t xml:space="preserve"> Munro)，高</w:t>
      </w:r>
      <w:r>
        <w:rPr>
          <w:rFonts w:hint="default" w:ascii="Times New Roman" w:hAnsi="Times New Roman" w:eastAsia="宋体" w:cs="Times New Roman"/>
          <w:sz w:val="24"/>
          <w:szCs w:val="22"/>
          <w:lang w:val="en-US" w:eastAsia="zh-CN"/>
        </w:rPr>
        <w:t>1.3-2.8m，地径0.3-1.9cm</w:t>
      </w:r>
      <w:r>
        <w:rPr>
          <w:rFonts w:hint="default" w:ascii="Times New Roman" w:hAnsi="Times New Roman" w:eastAsia="宋体" w:cs="Times New Roman"/>
          <w:sz w:val="24"/>
          <w:szCs w:val="22"/>
          <w:lang w:eastAsia="zh-CN"/>
        </w:rPr>
        <w:t>，其他主要物种有</w:t>
      </w:r>
      <w:r>
        <w:rPr>
          <w:rFonts w:hint="default" w:ascii="Times New Roman" w:hAnsi="Times New Roman" w:eastAsia="宋体" w:cs="Times New Roman"/>
          <w:sz w:val="24"/>
          <w:szCs w:val="22"/>
          <w:lang w:val="en-US" w:eastAsia="zh-CN"/>
        </w:rPr>
        <w:t>灰白毛莓</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Rubus tephrodes</w:t>
      </w:r>
      <w:r>
        <w:rPr>
          <w:rFonts w:hint="default" w:ascii="Times New Roman" w:hAnsi="Times New Roman" w:eastAsia="宋体" w:cs="Times New Roman"/>
          <w:i w:val="0"/>
          <w:iCs w:val="0"/>
          <w:sz w:val="24"/>
          <w:szCs w:val="22"/>
          <w:lang w:val="en-US" w:eastAsia="zh-CN"/>
        </w:rPr>
        <w:t xml:space="preserve"> </w:t>
      </w:r>
      <w:r>
        <w:rPr>
          <w:rFonts w:hint="default" w:ascii="Times New Roman" w:hAnsi="Times New Roman" w:eastAsia="宋体" w:cs="Times New Roman"/>
          <w:i w:val="0"/>
          <w:iCs w:val="0"/>
          <w:sz w:val="24"/>
          <w:szCs w:val="22"/>
          <w:lang w:eastAsia="zh-CN"/>
        </w:rPr>
        <w:t>Hance.</w:t>
      </w:r>
      <w:r>
        <w:rPr>
          <w:rFonts w:hint="default" w:ascii="Times New Roman" w:hAnsi="Times New Roman" w:eastAsia="宋体" w:cs="Times New Roman"/>
          <w:sz w:val="24"/>
          <w:szCs w:val="22"/>
          <w:lang w:eastAsia="zh-CN"/>
        </w:rPr>
        <w:t>)、盐麸木(</w:t>
      </w:r>
      <w:r>
        <w:rPr>
          <w:rFonts w:hint="default" w:ascii="Times New Roman" w:hAnsi="Times New Roman" w:eastAsia="宋体" w:cs="Times New Roman"/>
          <w:i/>
          <w:iCs/>
          <w:sz w:val="24"/>
          <w:szCs w:val="22"/>
          <w:lang w:eastAsia="zh-CN"/>
        </w:rPr>
        <w:t>Rhus chinensis</w:t>
      </w:r>
      <w:r>
        <w:rPr>
          <w:rFonts w:hint="default" w:ascii="Times New Roman" w:hAnsi="Times New Roman" w:eastAsia="宋体" w:cs="Times New Roman"/>
          <w:sz w:val="24"/>
          <w:szCs w:val="22"/>
          <w:lang w:eastAsia="zh-CN"/>
        </w:rPr>
        <w:t xml:space="preserve"> Mill.)、</w:t>
      </w:r>
      <w:r>
        <w:rPr>
          <w:rFonts w:hint="default" w:ascii="Times New Roman" w:hAnsi="Times New Roman" w:eastAsia="宋体" w:cs="Times New Roman"/>
          <w:sz w:val="24"/>
          <w:szCs w:val="22"/>
          <w:lang w:val="en-US" w:eastAsia="zh-CN"/>
        </w:rPr>
        <w:t>小果蔷薇</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Rubus tephrodes</w:t>
      </w:r>
      <w:r>
        <w:rPr>
          <w:rFonts w:hint="default" w:ascii="Times New Roman" w:hAnsi="Times New Roman" w:eastAsia="宋体" w:cs="Times New Roman"/>
          <w:i w:val="0"/>
          <w:iCs w:val="0"/>
          <w:sz w:val="24"/>
          <w:szCs w:val="22"/>
          <w:lang w:val="en-US" w:eastAsia="zh-CN"/>
        </w:rPr>
        <w:t xml:space="preserve"> </w:t>
      </w:r>
      <w:r>
        <w:rPr>
          <w:rFonts w:hint="default" w:ascii="Times New Roman" w:hAnsi="Times New Roman" w:eastAsia="宋体" w:cs="Times New Roman"/>
          <w:i w:val="0"/>
          <w:iCs w:val="0"/>
          <w:sz w:val="24"/>
          <w:szCs w:val="22"/>
          <w:lang w:eastAsia="zh-CN"/>
        </w:rPr>
        <w:t>Hance.</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苎麻</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Boehmeria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nivea</w:t>
      </w:r>
      <w:r>
        <w:rPr>
          <w:rFonts w:hint="default" w:ascii="Times New Roman" w:hAnsi="Times New Roman" w:eastAsia="宋体" w:cs="Times New Roman"/>
          <w:i w:val="0"/>
          <w:iCs w:val="0"/>
          <w:sz w:val="24"/>
          <w:szCs w:val="22"/>
          <w:lang w:eastAsia="zh-CN"/>
        </w:rPr>
        <w:t xml:space="preserve"> (L.) Gaudich</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rPr>
        <w:t>；草本层</w:t>
      </w:r>
      <w:r>
        <w:rPr>
          <w:rFonts w:hint="default" w:ascii="Times New Roman" w:hAnsi="Times New Roman" w:eastAsia="宋体" w:cs="Times New Roman"/>
          <w:sz w:val="24"/>
          <w:szCs w:val="22"/>
          <w:lang w:eastAsia="zh-CN"/>
        </w:rPr>
        <w:t>盖度</w:t>
      </w:r>
      <w:r>
        <w:rPr>
          <w:rFonts w:hint="default" w:ascii="Times New Roman" w:hAnsi="Times New Roman" w:eastAsia="宋体" w:cs="Times New Roman"/>
          <w:sz w:val="24"/>
          <w:szCs w:val="22"/>
          <w:lang w:val="en-US" w:eastAsia="zh-CN"/>
        </w:rPr>
        <w:t>20%，层均高0.35m，</w:t>
      </w:r>
      <w:r>
        <w:rPr>
          <w:rFonts w:hint="default" w:ascii="Times New Roman" w:hAnsi="Times New Roman" w:eastAsia="宋体" w:cs="Times New Roman"/>
          <w:sz w:val="24"/>
          <w:szCs w:val="22"/>
        </w:rPr>
        <w:t>优势种为</w:t>
      </w:r>
      <w:r>
        <w:rPr>
          <w:rFonts w:hint="default" w:ascii="Times New Roman" w:hAnsi="Times New Roman" w:eastAsia="宋体" w:cs="Times New Roman"/>
          <w:sz w:val="24"/>
          <w:szCs w:val="22"/>
          <w:lang w:val="en-US" w:eastAsia="zh-CN"/>
        </w:rPr>
        <w:t>酸模叶蓼(Persicaria lapathifolia (L.) Delarbre)</w:t>
      </w:r>
      <w:r>
        <w:rPr>
          <w:rFonts w:hint="default" w:ascii="Times New Roman" w:hAnsi="Times New Roman" w:eastAsia="宋体" w:cs="Times New Roman"/>
          <w:sz w:val="24"/>
          <w:szCs w:val="22"/>
        </w:rPr>
        <w:t>，高0.</w:t>
      </w:r>
      <w:r>
        <w:rPr>
          <w:rFonts w:hint="default" w:ascii="Times New Roman" w:hAnsi="Times New Roman" w:eastAsia="宋体" w:cs="Times New Roman"/>
          <w:sz w:val="24"/>
          <w:szCs w:val="22"/>
          <w:lang w:val="en-US" w:eastAsia="zh-CN"/>
        </w:rPr>
        <w:t>5</w:t>
      </w:r>
      <w:r>
        <w:rPr>
          <w:rFonts w:hint="default" w:ascii="Times New Roman" w:hAnsi="Times New Roman" w:eastAsia="宋体" w:cs="Times New Roman"/>
          <w:sz w:val="24"/>
          <w:szCs w:val="22"/>
        </w:rPr>
        <w:t>-0.</w:t>
      </w:r>
      <w:r>
        <w:rPr>
          <w:rFonts w:hint="default" w:ascii="Times New Roman" w:hAnsi="Times New Roman" w:eastAsia="宋体" w:cs="Times New Roman"/>
          <w:sz w:val="24"/>
          <w:szCs w:val="22"/>
          <w:lang w:val="en-US" w:eastAsia="zh-CN"/>
        </w:rPr>
        <w:t>9</w:t>
      </w:r>
      <w:r>
        <w:rPr>
          <w:rFonts w:hint="default" w:ascii="Times New Roman" w:hAnsi="Times New Roman" w:eastAsia="宋体" w:cs="Times New Roman"/>
          <w:sz w:val="24"/>
          <w:szCs w:val="22"/>
        </w:rPr>
        <w:t>m</w:t>
      </w:r>
      <w:r>
        <w:rPr>
          <w:rFonts w:hint="default" w:ascii="Times New Roman" w:hAnsi="Times New Roman" w:eastAsia="宋体" w:cs="Times New Roman"/>
          <w:sz w:val="24"/>
          <w:szCs w:val="22"/>
          <w:lang w:eastAsia="zh-CN"/>
        </w:rPr>
        <w:t>、野艾蒿(</w:t>
      </w:r>
      <w:r>
        <w:rPr>
          <w:rFonts w:hint="default" w:ascii="Times New Roman" w:hAnsi="Times New Roman" w:eastAsia="宋体" w:cs="Times New Roman"/>
          <w:i/>
          <w:iCs/>
          <w:sz w:val="24"/>
          <w:szCs w:val="22"/>
          <w:lang w:eastAsia="zh-CN"/>
        </w:rPr>
        <w:t>Artemisia lavandulifolia</w:t>
      </w:r>
      <w:r>
        <w:rPr>
          <w:rFonts w:hint="default" w:ascii="Times New Roman" w:hAnsi="Times New Roman" w:eastAsia="宋体" w:cs="Times New Roman"/>
          <w:sz w:val="24"/>
          <w:szCs w:val="22"/>
          <w:lang w:eastAsia="zh-CN"/>
        </w:rPr>
        <w:t xml:space="preserve"> DC.)</w:t>
      </w:r>
      <w:r>
        <w:rPr>
          <w:rFonts w:hint="default" w:ascii="Times New Roman" w:hAnsi="Times New Roman" w:eastAsia="宋体" w:cs="Times New Roman"/>
          <w:sz w:val="24"/>
          <w:szCs w:val="22"/>
        </w:rPr>
        <w:t>，高0.3-0.7m，其他主要物种有</w:t>
      </w:r>
      <w:r>
        <w:rPr>
          <w:rFonts w:hint="default" w:ascii="Times New Roman" w:hAnsi="Times New Roman" w:eastAsia="宋体" w:cs="Times New Roman"/>
          <w:sz w:val="24"/>
          <w:szCs w:val="22"/>
          <w:lang w:val="en-US" w:eastAsia="zh-CN"/>
        </w:rPr>
        <w:t>小蓬</w:t>
      </w:r>
      <w:r>
        <w:rPr>
          <w:rFonts w:hint="default" w:ascii="Times New Roman" w:hAnsi="Times New Roman" w:eastAsia="宋体" w:cs="Times New Roman"/>
          <w:sz w:val="24"/>
          <w:szCs w:val="22"/>
          <w:lang w:eastAsia="zh-CN"/>
        </w:rPr>
        <w:t>草(</w:t>
      </w:r>
      <w:r>
        <w:rPr>
          <w:rFonts w:hint="default" w:ascii="Times New Roman" w:hAnsi="Times New Roman" w:eastAsia="宋体" w:cs="Times New Roman"/>
          <w:i/>
          <w:iCs/>
          <w:sz w:val="24"/>
          <w:szCs w:val="22"/>
          <w:lang w:eastAsia="zh-CN"/>
        </w:rPr>
        <w:t>Erigeron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canadensis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rPr>
        <w:t>、</w:t>
      </w:r>
      <w:r>
        <w:rPr>
          <w:rFonts w:hint="default" w:ascii="Times New Roman" w:hAnsi="Times New Roman" w:eastAsia="宋体" w:cs="Times New Roman"/>
          <w:sz w:val="24"/>
          <w:szCs w:val="22"/>
          <w:lang w:val="en-US" w:eastAsia="zh-CN"/>
        </w:rPr>
        <w:t>垂序商陆</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Phytolacca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americana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白车轴草(</w:t>
      </w:r>
      <w:r>
        <w:rPr>
          <w:rFonts w:hint="default" w:ascii="Times New Roman" w:hAnsi="Times New Roman" w:eastAsia="宋体" w:cs="Times New Roman"/>
          <w:i/>
          <w:iCs/>
          <w:sz w:val="24"/>
          <w:szCs w:val="22"/>
          <w:lang w:val="en-US" w:eastAsia="zh-CN"/>
        </w:rPr>
        <w:t xml:space="preserve">Trifolium repens </w:t>
      </w:r>
      <w:r>
        <w:rPr>
          <w:rFonts w:hint="default" w:ascii="Times New Roman" w:hAnsi="Times New Roman" w:eastAsia="宋体" w:cs="Times New Roman"/>
          <w:i w:val="0"/>
          <w:iCs w:val="0"/>
          <w:sz w:val="24"/>
          <w:szCs w:val="22"/>
          <w:lang w:val="en-US" w:eastAsia="zh-CN"/>
        </w:rPr>
        <w:t>L</w:t>
      </w:r>
      <w:r>
        <w:rPr>
          <w:rFonts w:hint="default" w:ascii="Times New Roman" w:hAnsi="Times New Roman" w:eastAsia="宋体" w:cs="Times New Roman"/>
          <w:i/>
          <w:iCs/>
          <w:sz w:val="24"/>
          <w:szCs w:val="22"/>
          <w:lang w:val="en-US" w:eastAsia="zh-CN"/>
        </w:rPr>
        <w:t>.</w:t>
      </w:r>
      <w:r>
        <w:rPr>
          <w:rFonts w:hint="default" w:ascii="Times New Roman" w:hAnsi="Times New Roman" w:eastAsia="宋体" w:cs="Times New Roman"/>
          <w:sz w:val="24"/>
          <w:szCs w:val="22"/>
          <w:lang w:val="en-US" w:eastAsia="zh-CN"/>
        </w:rPr>
        <w:t>)、一年蓬(</w:t>
      </w:r>
      <w:r>
        <w:rPr>
          <w:rFonts w:hint="default" w:ascii="Times New Roman" w:hAnsi="Times New Roman" w:eastAsia="宋体" w:cs="Times New Roman"/>
          <w:i/>
          <w:iCs/>
          <w:sz w:val="24"/>
          <w:szCs w:val="22"/>
          <w:lang w:val="en-US" w:eastAsia="zh-CN"/>
        </w:rPr>
        <w:t xml:space="preserve">Erigeron annuus </w:t>
      </w:r>
      <w:r>
        <w:rPr>
          <w:rFonts w:hint="default" w:ascii="Times New Roman" w:hAnsi="Times New Roman" w:eastAsia="宋体" w:cs="Times New Roman"/>
          <w:i w:val="0"/>
          <w:iCs w:val="0"/>
          <w:sz w:val="24"/>
          <w:szCs w:val="22"/>
          <w:lang w:val="en-US" w:eastAsia="zh-CN"/>
        </w:rPr>
        <w:t>(L.) Pers.</w:t>
      </w:r>
      <w:r>
        <w:rPr>
          <w:rFonts w:hint="default" w:ascii="Times New Roman" w:hAnsi="Times New Roman" w:eastAsia="宋体" w:cs="Times New Roman"/>
          <w:sz w:val="24"/>
          <w:szCs w:val="22"/>
          <w:lang w:val="en-US" w:eastAsia="zh-CN"/>
        </w:rPr>
        <w:t>)</w:t>
      </w:r>
      <w:r>
        <w:rPr>
          <w:rFonts w:hint="default" w:ascii="Times New Roman" w:hAnsi="Times New Roman" w:eastAsia="宋体" w:cs="Times New Roman"/>
          <w:sz w:val="24"/>
          <w:szCs w:val="22"/>
        </w:rPr>
        <w:t>等。</w:t>
      </w:r>
    </w:p>
    <w:p w14:paraId="6EB4FEAE">
      <w:pPr>
        <w:widowControl/>
        <w:numPr>
          <w:ilvl w:val="0"/>
          <w:numId w:val="0"/>
        </w:numPr>
        <w:tabs>
          <w:tab w:val="left" w:pos="1021"/>
        </w:tabs>
        <w:spacing w:line="360" w:lineRule="auto"/>
        <w:ind w:firstLine="482" w:firstLineChars="200"/>
        <w:rPr>
          <w:rFonts w:hint="default" w:ascii="Times New Roman" w:hAnsi="Times New Roman" w:eastAsia="宋体" w:cs="Times New Roman"/>
          <w:b/>
          <w:caps w:val="0"/>
          <w:smallCaps w:val="0"/>
          <w:kern w:val="0"/>
          <w:sz w:val="24"/>
          <w:szCs w:val="24"/>
        </w:rPr>
      </w:pPr>
      <w:r>
        <w:rPr>
          <w:rFonts w:hint="default" w:ascii="Times New Roman" w:hAnsi="Times New Roman" w:eastAsia="宋体" w:cs="Times New Roman"/>
          <w:b/>
          <w:caps w:val="0"/>
          <w:smallCaps w:val="0"/>
          <w:kern w:val="0"/>
          <w:sz w:val="24"/>
          <w:szCs w:val="24"/>
          <w:lang w:val="en-US" w:eastAsia="zh-CN"/>
        </w:rPr>
        <w:t>6.</w:t>
      </w:r>
      <w:r>
        <w:rPr>
          <w:rFonts w:hint="default" w:ascii="Times New Roman" w:hAnsi="Times New Roman" w:eastAsia="宋体" w:cs="Times New Roman"/>
          <w:b/>
          <w:caps w:val="0"/>
          <w:smallCaps w:val="0"/>
          <w:kern w:val="0"/>
          <w:sz w:val="24"/>
          <w:szCs w:val="24"/>
        </w:rPr>
        <w:t>芒群系</w:t>
      </w:r>
    </w:p>
    <w:p w14:paraId="577DD6EF">
      <w:pPr>
        <w:spacing w:line="360" w:lineRule="auto"/>
        <w:ind w:firstLine="480" w:firstLineChars="200"/>
        <w:rPr>
          <w:rFonts w:hint="default" w:ascii="Times New Roman" w:hAnsi="Times New Roman" w:eastAsia="宋体" w:cs="Times New Roman"/>
          <w:sz w:val="24"/>
          <w:szCs w:val="22"/>
          <w:lang w:eastAsia="zh-CN"/>
        </w:rPr>
      </w:pPr>
      <w:r>
        <w:rPr>
          <w:rFonts w:hint="default" w:ascii="Times New Roman" w:hAnsi="Times New Roman" w:eastAsia="宋体" w:cs="Times New Roman"/>
          <w:sz w:val="24"/>
          <w:szCs w:val="22"/>
          <w:lang w:eastAsia="zh-CN"/>
        </w:rPr>
        <w:t>芒(</w:t>
      </w:r>
      <w:r>
        <w:rPr>
          <w:rFonts w:hint="default" w:ascii="Times New Roman" w:hAnsi="Times New Roman" w:eastAsia="宋体" w:cs="Times New Roman"/>
          <w:i/>
          <w:iCs/>
          <w:sz w:val="24"/>
          <w:szCs w:val="22"/>
          <w:lang w:eastAsia="zh-CN"/>
        </w:rPr>
        <w:t>Miscanthus sinensis</w:t>
      </w:r>
      <w:r>
        <w:rPr>
          <w:rFonts w:hint="default" w:ascii="Times New Roman" w:hAnsi="Times New Roman" w:eastAsia="宋体" w:cs="Times New Roman"/>
          <w:sz w:val="24"/>
          <w:szCs w:val="22"/>
          <w:lang w:eastAsia="zh-CN"/>
        </w:rPr>
        <w:t xml:space="preserve"> Andersson)，禾本科芒属植物，常见于林下、林缘组成优势群落。其在评价区内广泛分布，群落外貌呈绿、黄相间，群系下土壤为黄壤，群落结构及种类组成较简单。</w:t>
      </w:r>
    </w:p>
    <w:p w14:paraId="2A45938A">
      <w:pPr>
        <w:spacing w:line="360" w:lineRule="auto"/>
        <w:ind w:firstLine="480" w:firstLineChars="200"/>
        <w:rPr>
          <w:rFonts w:hint="default" w:ascii="Times New Roman" w:hAnsi="Times New Roman" w:eastAsia="宋体" w:cs="Times New Roman"/>
          <w:sz w:val="24"/>
          <w:szCs w:val="22"/>
        </w:rPr>
      </w:pPr>
      <w:r>
        <w:rPr>
          <w:rFonts w:hint="default" w:ascii="Times New Roman" w:hAnsi="Times New Roman" w:eastAsia="宋体" w:cs="Times New Roman"/>
          <w:sz w:val="24"/>
          <w:szCs w:val="22"/>
        </w:rPr>
        <w:t>草本层</w:t>
      </w:r>
      <w:r>
        <w:rPr>
          <w:rFonts w:hint="default" w:ascii="Times New Roman" w:hAnsi="Times New Roman" w:eastAsia="宋体" w:cs="Times New Roman"/>
          <w:sz w:val="24"/>
          <w:szCs w:val="22"/>
          <w:lang w:eastAsia="zh-CN"/>
        </w:rPr>
        <w:t>盖度</w:t>
      </w:r>
      <w:r>
        <w:rPr>
          <w:rFonts w:hint="default" w:ascii="Times New Roman" w:hAnsi="Times New Roman" w:eastAsia="宋体" w:cs="Times New Roman"/>
          <w:sz w:val="24"/>
          <w:szCs w:val="22"/>
          <w:lang w:val="en-US" w:eastAsia="zh-CN"/>
        </w:rPr>
        <w:t>85%，层均高1.0m，</w:t>
      </w:r>
      <w:r>
        <w:rPr>
          <w:rFonts w:hint="default" w:ascii="Times New Roman" w:hAnsi="Times New Roman" w:eastAsia="宋体" w:cs="Times New Roman"/>
          <w:sz w:val="24"/>
          <w:szCs w:val="22"/>
        </w:rPr>
        <w:t>优势种为</w:t>
      </w:r>
      <w:r>
        <w:rPr>
          <w:rFonts w:hint="default" w:ascii="Times New Roman" w:hAnsi="Times New Roman" w:eastAsia="宋体" w:cs="Times New Roman"/>
          <w:sz w:val="24"/>
          <w:szCs w:val="22"/>
          <w:lang w:eastAsia="zh-CN"/>
        </w:rPr>
        <w:t>芒(</w:t>
      </w:r>
      <w:r>
        <w:rPr>
          <w:rFonts w:hint="default" w:ascii="Times New Roman" w:hAnsi="Times New Roman" w:eastAsia="宋体" w:cs="Times New Roman"/>
          <w:i/>
          <w:iCs/>
          <w:sz w:val="24"/>
          <w:szCs w:val="22"/>
          <w:lang w:eastAsia="zh-CN"/>
        </w:rPr>
        <w:t>Miscanthus sinensis</w:t>
      </w:r>
      <w:r>
        <w:rPr>
          <w:rFonts w:hint="default" w:ascii="Times New Roman" w:hAnsi="Times New Roman" w:eastAsia="宋体" w:cs="Times New Roman"/>
          <w:sz w:val="24"/>
          <w:szCs w:val="22"/>
          <w:lang w:eastAsia="zh-CN"/>
        </w:rPr>
        <w:t xml:space="preserve"> Andersson)</w:t>
      </w:r>
      <w:r>
        <w:rPr>
          <w:rFonts w:hint="default" w:ascii="Times New Roman" w:hAnsi="Times New Roman" w:eastAsia="宋体" w:cs="Times New Roman"/>
          <w:sz w:val="24"/>
          <w:szCs w:val="22"/>
        </w:rPr>
        <w:t>，</w:t>
      </w:r>
      <w:r>
        <w:rPr>
          <w:rFonts w:hint="default" w:ascii="Times New Roman" w:hAnsi="Times New Roman" w:eastAsia="宋体" w:cs="Times New Roman"/>
          <w:sz w:val="24"/>
          <w:szCs w:val="22"/>
          <w:lang w:eastAsia="zh-CN"/>
        </w:rPr>
        <w:t>高</w:t>
      </w:r>
      <w:r>
        <w:rPr>
          <w:rFonts w:hint="default" w:ascii="Times New Roman" w:hAnsi="Times New Roman" w:eastAsia="宋体" w:cs="Times New Roman"/>
          <w:sz w:val="24"/>
          <w:szCs w:val="22"/>
          <w:lang w:val="en-US" w:eastAsia="zh-CN"/>
        </w:rPr>
        <w:t>0.7-1.4m，</w:t>
      </w:r>
      <w:r>
        <w:rPr>
          <w:rFonts w:hint="default" w:ascii="Times New Roman" w:hAnsi="Times New Roman" w:eastAsia="宋体" w:cs="Times New Roman"/>
          <w:sz w:val="24"/>
          <w:szCs w:val="22"/>
        </w:rPr>
        <w:t>其他主要物种有</w:t>
      </w:r>
      <w:r>
        <w:rPr>
          <w:rFonts w:hint="default" w:ascii="Times New Roman" w:hAnsi="Times New Roman" w:eastAsia="宋体" w:cs="Times New Roman"/>
          <w:color w:val="auto"/>
          <w:sz w:val="24"/>
          <w:szCs w:val="22"/>
          <w:lang w:val="en-US" w:eastAsia="zh-CN"/>
        </w:rPr>
        <w:t>狗牙根</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i/>
          <w:iCs/>
          <w:sz w:val="24"/>
          <w:szCs w:val="22"/>
          <w:lang w:eastAsia="zh-CN"/>
        </w:rPr>
        <w:t>Cynodon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dactylon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 Persoon</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rPr>
        <w:t>、</w:t>
      </w:r>
      <w:r>
        <w:rPr>
          <w:rFonts w:hint="default" w:ascii="Times New Roman" w:hAnsi="Times New Roman" w:eastAsia="宋体" w:cs="Times New Roman"/>
          <w:sz w:val="24"/>
          <w:szCs w:val="22"/>
          <w:lang w:eastAsia="zh-CN"/>
        </w:rPr>
        <w:t>蕨(</w:t>
      </w:r>
      <w:r>
        <w:rPr>
          <w:rFonts w:hint="default" w:ascii="Times New Roman" w:hAnsi="Times New Roman" w:eastAsia="宋体" w:cs="Times New Roman"/>
          <w:i/>
          <w:iCs/>
          <w:sz w:val="24"/>
          <w:szCs w:val="22"/>
          <w:lang w:eastAsia="zh-CN"/>
        </w:rPr>
        <w:t>Pteridium aquilinum</w:t>
      </w:r>
      <w:r>
        <w:rPr>
          <w:rFonts w:hint="default" w:ascii="Times New Roman" w:hAnsi="Times New Roman" w:eastAsia="宋体" w:cs="Times New Roman"/>
          <w:sz w:val="24"/>
          <w:szCs w:val="22"/>
          <w:lang w:eastAsia="zh-CN"/>
        </w:rPr>
        <w:t xml:space="preserve"> var. </w:t>
      </w:r>
      <w:r>
        <w:rPr>
          <w:rFonts w:hint="default" w:ascii="Times New Roman" w:hAnsi="Times New Roman" w:eastAsia="宋体" w:cs="Times New Roman"/>
          <w:i/>
          <w:iCs/>
          <w:sz w:val="24"/>
          <w:szCs w:val="22"/>
          <w:lang w:eastAsia="zh-CN"/>
        </w:rPr>
        <w:t>latiusculum</w:t>
      </w:r>
      <w:r>
        <w:rPr>
          <w:rFonts w:hint="default" w:ascii="Times New Roman" w:hAnsi="Times New Roman" w:eastAsia="宋体" w:cs="Times New Roman"/>
          <w:sz w:val="24"/>
          <w:szCs w:val="22"/>
          <w:lang w:eastAsia="zh-CN"/>
        </w:rPr>
        <w:t xml:space="preserve"> (Desv.) Underw. ex A. Heller)、灰白毛莓(</w:t>
      </w:r>
      <w:r>
        <w:rPr>
          <w:rFonts w:hint="default" w:ascii="Times New Roman" w:hAnsi="Times New Roman" w:eastAsia="宋体" w:cs="Times New Roman"/>
          <w:i/>
          <w:iCs/>
          <w:sz w:val="24"/>
          <w:szCs w:val="22"/>
          <w:lang w:eastAsia="zh-CN"/>
        </w:rPr>
        <w:t>Rubus tephrodes</w:t>
      </w:r>
      <w:r>
        <w:rPr>
          <w:rFonts w:hint="default" w:ascii="Times New Roman" w:hAnsi="Times New Roman" w:eastAsia="宋体" w:cs="Times New Roman"/>
          <w:sz w:val="24"/>
          <w:szCs w:val="22"/>
          <w:lang w:eastAsia="zh-CN"/>
        </w:rPr>
        <w:t xml:space="preserve"> Hance)、</w:t>
      </w:r>
      <w:r>
        <w:rPr>
          <w:rFonts w:hint="default" w:ascii="Times New Roman" w:hAnsi="Times New Roman" w:eastAsia="宋体" w:cs="Times New Roman"/>
          <w:sz w:val="24"/>
          <w:szCs w:val="22"/>
          <w:lang w:val="en-US" w:eastAsia="zh-CN"/>
        </w:rPr>
        <w:t>小蓬</w:t>
      </w:r>
      <w:r>
        <w:rPr>
          <w:rFonts w:hint="default" w:ascii="Times New Roman" w:hAnsi="Times New Roman" w:eastAsia="宋体" w:cs="Times New Roman"/>
          <w:sz w:val="24"/>
          <w:szCs w:val="22"/>
          <w:lang w:eastAsia="zh-CN"/>
        </w:rPr>
        <w:t>草(</w:t>
      </w:r>
      <w:r>
        <w:rPr>
          <w:rFonts w:hint="default" w:ascii="Times New Roman" w:hAnsi="Times New Roman" w:eastAsia="宋体" w:cs="Times New Roman"/>
          <w:i/>
          <w:iCs/>
          <w:sz w:val="24"/>
          <w:szCs w:val="22"/>
          <w:lang w:eastAsia="zh-CN"/>
        </w:rPr>
        <w:t>Erigeron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canadensis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sz w:val="24"/>
          <w:szCs w:val="22"/>
          <w:lang w:eastAsia="zh-CN"/>
        </w:rPr>
        <w:t>L)、</w:t>
      </w:r>
      <w:r>
        <w:rPr>
          <w:rFonts w:hint="default" w:ascii="Times New Roman" w:hAnsi="Times New Roman" w:eastAsia="宋体" w:cs="Times New Roman"/>
          <w:sz w:val="24"/>
          <w:szCs w:val="22"/>
          <w:lang w:val="en-US" w:eastAsia="zh-CN"/>
        </w:rPr>
        <w:t>垂序商陆</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Phytolacca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americana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白车轴草(</w:t>
      </w:r>
      <w:r>
        <w:rPr>
          <w:rFonts w:hint="default" w:ascii="Times New Roman" w:hAnsi="Times New Roman" w:eastAsia="宋体" w:cs="Times New Roman"/>
          <w:i/>
          <w:iCs/>
          <w:sz w:val="24"/>
          <w:szCs w:val="22"/>
          <w:lang w:val="en-US" w:eastAsia="zh-CN"/>
        </w:rPr>
        <w:t xml:space="preserve">Trifolium repens </w:t>
      </w:r>
      <w:r>
        <w:rPr>
          <w:rFonts w:hint="default" w:ascii="Times New Roman" w:hAnsi="Times New Roman" w:eastAsia="宋体" w:cs="Times New Roman"/>
          <w:i w:val="0"/>
          <w:iCs w:val="0"/>
          <w:sz w:val="24"/>
          <w:szCs w:val="22"/>
          <w:lang w:val="en-US" w:eastAsia="zh-CN"/>
        </w:rPr>
        <w:t>L</w:t>
      </w:r>
      <w:r>
        <w:rPr>
          <w:rFonts w:hint="default" w:ascii="Times New Roman" w:hAnsi="Times New Roman" w:eastAsia="宋体" w:cs="Times New Roman"/>
          <w:i/>
          <w:iCs/>
          <w:sz w:val="24"/>
          <w:szCs w:val="22"/>
          <w:lang w:val="en-US" w:eastAsia="zh-CN"/>
        </w:rPr>
        <w:t>.</w:t>
      </w:r>
      <w:r>
        <w:rPr>
          <w:rFonts w:hint="default" w:ascii="Times New Roman" w:hAnsi="Times New Roman" w:eastAsia="宋体" w:cs="Times New Roman"/>
          <w:sz w:val="24"/>
          <w:szCs w:val="22"/>
          <w:lang w:val="en-US" w:eastAsia="zh-CN"/>
        </w:rPr>
        <w:t>)、酸模叶蓼(Persicaria lapathifolia (L.) Delarbre)、野艾蒿(Artemisia lavandulifolia DC.)、一年蓬(</w:t>
      </w:r>
      <w:r>
        <w:rPr>
          <w:rFonts w:hint="default" w:ascii="Times New Roman" w:hAnsi="Times New Roman" w:eastAsia="宋体" w:cs="Times New Roman"/>
          <w:i/>
          <w:iCs/>
          <w:sz w:val="24"/>
          <w:szCs w:val="22"/>
          <w:lang w:val="en-US" w:eastAsia="zh-CN"/>
        </w:rPr>
        <w:t xml:space="preserve">Erigeron annuus </w:t>
      </w:r>
      <w:r>
        <w:rPr>
          <w:rFonts w:hint="default" w:ascii="Times New Roman" w:hAnsi="Times New Roman" w:eastAsia="宋体" w:cs="Times New Roman"/>
          <w:i w:val="0"/>
          <w:iCs w:val="0"/>
          <w:sz w:val="24"/>
          <w:szCs w:val="22"/>
          <w:lang w:val="en-US" w:eastAsia="zh-CN"/>
        </w:rPr>
        <w:t>(L.) Pers.</w:t>
      </w:r>
      <w:r>
        <w:rPr>
          <w:rFonts w:hint="default" w:ascii="Times New Roman" w:hAnsi="Times New Roman" w:eastAsia="宋体" w:cs="Times New Roman"/>
          <w:sz w:val="24"/>
          <w:szCs w:val="22"/>
          <w:lang w:val="en-US" w:eastAsia="zh-CN"/>
        </w:rPr>
        <w:t>)</w:t>
      </w:r>
      <w:r>
        <w:rPr>
          <w:rFonts w:hint="default" w:ascii="Times New Roman" w:hAnsi="Times New Roman" w:eastAsia="宋体" w:cs="Times New Roman"/>
          <w:sz w:val="24"/>
          <w:szCs w:val="22"/>
        </w:rPr>
        <w:t>等。</w:t>
      </w:r>
    </w:p>
    <w:p w14:paraId="32985818">
      <w:pPr>
        <w:widowControl/>
        <w:numPr>
          <w:ilvl w:val="0"/>
          <w:numId w:val="0"/>
        </w:numPr>
        <w:tabs>
          <w:tab w:val="left" w:pos="1021"/>
        </w:tabs>
        <w:spacing w:line="360" w:lineRule="auto"/>
        <w:ind w:firstLine="482" w:firstLineChars="200"/>
        <w:rPr>
          <w:rFonts w:hint="default" w:ascii="Times New Roman" w:hAnsi="Times New Roman" w:eastAsia="宋体" w:cs="Times New Roman"/>
          <w:b/>
          <w:caps w:val="0"/>
          <w:smallCaps w:val="0"/>
          <w:kern w:val="0"/>
          <w:sz w:val="24"/>
          <w:szCs w:val="24"/>
        </w:rPr>
      </w:pPr>
      <w:r>
        <w:rPr>
          <w:rFonts w:hint="default" w:ascii="Times New Roman" w:hAnsi="Times New Roman" w:eastAsia="宋体" w:cs="Times New Roman"/>
          <w:b/>
          <w:caps w:val="0"/>
          <w:smallCaps w:val="0"/>
          <w:kern w:val="0"/>
          <w:sz w:val="24"/>
          <w:szCs w:val="24"/>
          <w:lang w:val="en-US" w:eastAsia="zh-CN"/>
        </w:rPr>
        <w:t>7.艾</w:t>
      </w:r>
      <w:r>
        <w:rPr>
          <w:rFonts w:hint="default" w:ascii="Times New Roman" w:hAnsi="Times New Roman" w:eastAsia="宋体" w:cs="Times New Roman"/>
          <w:b/>
          <w:caps w:val="0"/>
          <w:smallCaps w:val="0"/>
          <w:kern w:val="0"/>
          <w:sz w:val="24"/>
          <w:szCs w:val="24"/>
        </w:rPr>
        <w:t>群系</w:t>
      </w:r>
    </w:p>
    <w:p w14:paraId="3D1731CE">
      <w:pPr>
        <w:spacing w:line="360" w:lineRule="auto"/>
        <w:ind w:firstLine="480" w:firstLineChars="200"/>
        <w:rPr>
          <w:rFonts w:hint="default" w:ascii="Times New Roman" w:hAnsi="Times New Roman" w:eastAsia="宋体" w:cs="Times New Roman"/>
          <w:sz w:val="24"/>
          <w:szCs w:val="22"/>
          <w:lang w:eastAsia="zh-CN"/>
        </w:rPr>
      </w:pPr>
      <w:r>
        <w:rPr>
          <w:rFonts w:hint="default" w:ascii="Times New Roman" w:hAnsi="Times New Roman" w:eastAsia="宋体" w:cs="Times New Roman"/>
          <w:sz w:val="24"/>
          <w:szCs w:val="22"/>
          <w:lang w:eastAsia="zh-CN"/>
        </w:rPr>
        <w:t>艾(</w:t>
      </w:r>
      <w:r>
        <w:rPr>
          <w:rFonts w:hint="default" w:ascii="Times New Roman" w:hAnsi="Times New Roman" w:eastAsia="宋体" w:cs="Times New Roman"/>
          <w:i/>
          <w:iCs/>
          <w:sz w:val="24"/>
          <w:szCs w:val="22"/>
          <w:lang w:eastAsia="zh-CN"/>
        </w:rPr>
        <w:t>Artemisia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argyi</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H. Lév. &amp; Vaniot</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菊</w:t>
      </w:r>
      <w:r>
        <w:rPr>
          <w:rFonts w:hint="default" w:ascii="Times New Roman" w:hAnsi="Times New Roman" w:eastAsia="宋体" w:cs="Times New Roman"/>
          <w:sz w:val="24"/>
          <w:szCs w:val="22"/>
          <w:lang w:eastAsia="zh-CN"/>
        </w:rPr>
        <w:t>科</w:t>
      </w:r>
      <w:r>
        <w:rPr>
          <w:rFonts w:hint="default" w:ascii="Times New Roman" w:hAnsi="Times New Roman" w:eastAsia="宋体" w:cs="Times New Roman"/>
          <w:sz w:val="24"/>
          <w:szCs w:val="22"/>
          <w:lang w:val="en-US" w:eastAsia="zh-CN"/>
        </w:rPr>
        <w:t>蒿</w:t>
      </w:r>
      <w:r>
        <w:rPr>
          <w:rFonts w:hint="default" w:ascii="Times New Roman" w:hAnsi="Times New Roman" w:eastAsia="宋体" w:cs="Times New Roman"/>
          <w:sz w:val="24"/>
          <w:szCs w:val="22"/>
          <w:lang w:eastAsia="zh-CN"/>
        </w:rPr>
        <w:t>属植物，常见于林下、林缘组成优势群落。其在评价区内广泛分布，群落外貌呈绿、黄相间，群系下土壤为黄壤，群落结构及种类组成较简单。</w:t>
      </w:r>
    </w:p>
    <w:p w14:paraId="62483CCD">
      <w:pPr>
        <w:spacing w:line="360" w:lineRule="auto"/>
        <w:ind w:firstLine="480" w:firstLineChars="200"/>
        <w:rPr>
          <w:rFonts w:hint="default" w:ascii="Times New Roman" w:hAnsi="Times New Roman" w:eastAsia="宋体" w:cs="Times New Roman"/>
          <w:sz w:val="24"/>
          <w:szCs w:val="22"/>
          <w:lang w:eastAsia="zh-CN"/>
        </w:rPr>
      </w:pPr>
      <w:r>
        <w:rPr>
          <w:rFonts w:hint="default" w:ascii="Times New Roman" w:hAnsi="Times New Roman" w:eastAsia="宋体" w:cs="Times New Roman"/>
          <w:sz w:val="24"/>
          <w:szCs w:val="22"/>
        </w:rPr>
        <w:t>草本层</w:t>
      </w:r>
      <w:r>
        <w:rPr>
          <w:rFonts w:hint="default" w:ascii="Times New Roman" w:hAnsi="Times New Roman" w:eastAsia="宋体" w:cs="Times New Roman"/>
          <w:sz w:val="24"/>
          <w:szCs w:val="22"/>
          <w:lang w:eastAsia="zh-CN"/>
        </w:rPr>
        <w:t>盖度</w:t>
      </w:r>
      <w:r>
        <w:rPr>
          <w:rFonts w:hint="default" w:ascii="Times New Roman" w:hAnsi="Times New Roman" w:eastAsia="宋体" w:cs="Times New Roman"/>
          <w:sz w:val="24"/>
          <w:szCs w:val="22"/>
          <w:lang w:val="en-US" w:eastAsia="zh-CN"/>
        </w:rPr>
        <w:t>80%，层均高1.0m，</w:t>
      </w:r>
      <w:r>
        <w:rPr>
          <w:rFonts w:hint="default" w:ascii="Times New Roman" w:hAnsi="Times New Roman" w:eastAsia="宋体" w:cs="Times New Roman"/>
          <w:sz w:val="24"/>
          <w:szCs w:val="22"/>
        </w:rPr>
        <w:t>优势种为</w:t>
      </w:r>
      <w:r>
        <w:rPr>
          <w:rFonts w:hint="default" w:ascii="Times New Roman" w:hAnsi="Times New Roman" w:eastAsia="宋体" w:cs="Times New Roman"/>
          <w:sz w:val="24"/>
          <w:szCs w:val="22"/>
          <w:lang w:eastAsia="zh-CN"/>
        </w:rPr>
        <w:t>艾(</w:t>
      </w:r>
      <w:r>
        <w:rPr>
          <w:rFonts w:hint="default" w:ascii="Times New Roman" w:hAnsi="Times New Roman" w:eastAsia="宋体" w:cs="Times New Roman"/>
          <w:i/>
          <w:iCs/>
          <w:sz w:val="24"/>
          <w:szCs w:val="22"/>
          <w:lang w:eastAsia="zh-CN"/>
        </w:rPr>
        <w:t>Artemisia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argyi</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H. Lév. &amp; Vaniot</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rPr>
        <w:t>，</w:t>
      </w:r>
      <w:r>
        <w:rPr>
          <w:rFonts w:hint="default" w:ascii="Times New Roman" w:hAnsi="Times New Roman" w:eastAsia="宋体" w:cs="Times New Roman"/>
          <w:sz w:val="24"/>
          <w:szCs w:val="22"/>
          <w:lang w:eastAsia="zh-CN"/>
        </w:rPr>
        <w:t>高</w:t>
      </w:r>
      <w:r>
        <w:rPr>
          <w:rFonts w:hint="default" w:ascii="Times New Roman" w:hAnsi="Times New Roman" w:eastAsia="宋体" w:cs="Times New Roman"/>
          <w:sz w:val="24"/>
          <w:szCs w:val="22"/>
          <w:lang w:val="en-US" w:eastAsia="zh-CN"/>
        </w:rPr>
        <w:t>0.6-1.4m，</w:t>
      </w:r>
      <w:r>
        <w:rPr>
          <w:rFonts w:hint="default" w:ascii="Times New Roman" w:hAnsi="Times New Roman" w:eastAsia="宋体" w:cs="Times New Roman"/>
          <w:sz w:val="24"/>
          <w:szCs w:val="22"/>
        </w:rPr>
        <w:t>其他主要物种有</w:t>
      </w:r>
      <w:r>
        <w:rPr>
          <w:rFonts w:hint="default" w:ascii="Times New Roman" w:hAnsi="Times New Roman" w:eastAsia="宋体" w:cs="Times New Roman"/>
          <w:color w:val="auto"/>
          <w:sz w:val="24"/>
          <w:szCs w:val="22"/>
          <w:lang w:val="en-US" w:eastAsia="zh-CN"/>
        </w:rPr>
        <w:t>狗牙根</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i/>
          <w:iCs/>
          <w:sz w:val="24"/>
          <w:szCs w:val="22"/>
          <w:lang w:eastAsia="zh-CN"/>
        </w:rPr>
        <w:t>Cynodon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dactylon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 Persoon</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rPr>
        <w:t>、</w:t>
      </w:r>
      <w:r>
        <w:rPr>
          <w:rFonts w:hint="default" w:ascii="Times New Roman" w:hAnsi="Times New Roman" w:eastAsia="宋体" w:cs="Times New Roman"/>
          <w:sz w:val="24"/>
          <w:szCs w:val="22"/>
          <w:lang w:eastAsia="zh-CN"/>
        </w:rPr>
        <w:t>蕨(</w:t>
      </w:r>
      <w:r>
        <w:rPr>
          <w:rFonts w:hint="default" w:ascii="Times New Roman" w:hAnsi="Times New Roman" w:eastAsia="宋体" w:cs="Times New Roman"/>
          <w:i/>
          <w:iCs/>
          <w:sz w:val="24"/>
          <w:szCs w:val="22"/>
          <w:lang w:eastAsia="zh-CN"/>
        </w:rPr>
        <w:t>Pteridium aquilinum</w:t>
      </w:r>
      <w:r>
        <w:rPr>
          <w:rFonts w:hint="default" w:ascii="Times New Roman" w:hAnsi="Times New Roman" w:eastAsia="宋体" w:cs="Times New Roman"/>
          <w:sz w:val="24"/>
          <w:szCs w:val="22"/>
          <w:lang w:eastAsia="zh-CN"/>
        </w:rPr>
        <w:t xml:space="preserve"> var. </w:t>
      </w:r>
      <w:r>
        <w:rPr>
          <w:rFonts w:hint="default" w:ascii="Times New Roman" w:hAnsi="Times New Roman" w:eastAsia="宋体" w:cs="Times New Roman"/>
          <w:i/>
          <w:iCs/>
          <w:sz w:val="24"/>
          <w:szCs w:val="22"/>
          <w:lang w:eastAsia="zh-CN"/>
        </w:rPr>
        <w:t>latiusculum</w:t>
      </w:r>
      <w:r>
        <w:rPr>
          <w:rFonts w:hint="default" w:ascii="Times New Roman" w:hAnsi="Times New Roman" w:eastAsia="宋体" w:cs="Times New Roman"/>
          <w:sz w:val="24"/>
          <w:szCs w:val="22"/>
          <w:lang w:eastAsia="zh-CN"/>
        </w:rPr>
        <w:t xml:space="preserve"> (Desv.) Underw. ex A. Heller)、灰白毛莓(</w:t>
      </w:r>
      <w:r>
        <w:rPr>
          <w:rFonts w:hint="default" w:ascii="Times New Roman" w:hAnsi="Times New Roman" w:eastAsia="宋体" w:cs="Times New Roman"/>
          <w:i/>
          <w:iCs/>
          <w:sz w:val="24"/>
          <w:szCs w:val="22"/>
          <w:lang w:eastAsia="zh-CN"/>
        </w:rPr>
        <w:t>Rubus tephrodes</w:t>
      </w:r>
      <w:r>
        <w:rPr>
          <w:rFonts w:hint="default" w:ascii="Times New Roman" w:hAnsi="Times New Roman" w:eastAsia="宋体" w:cs="Times New Roman"/>
          <w:sz w:val="24"/>
          <w:szCs w:val="22"/>
          <w:lang w:eastAsia="zh-CN"/>
        </w:rPr>
        <w:t xml:space="preserve"> Hance)、</w:t>
      </w:r>
      <w:r>
        <w:rPr>
          <w:rFonts w:hint="default" w:ascii="Times New Roman" w:hAnsi="Times New Roman" w:eastAsia="宋体" w:cs="Times New Roman"/>
          <w:sz w:val="24"/>
          <w:szCs w:val="22"/>
          <w:lang w:val="en-US" w:eastAsia="zh-CN"/>
        </w:rPr>
        <w:t>小蓬</w:t>
      </w:r>
      <w:r>
        <w:rPr>
          <w:rFonts w:hint="default" w:ascii="Times New Roman" w:hAnsi="Times New Roman" w:eastAsia="宋体" w:cs="Times New Roman"/>
          <w:sz w:val="24"/>
          <w:szCs w:val="22"/>
          <w:lang w:eastAsia="zh-CN"/>
        </w:rPr>
        <w:t>草(</w:t>
      </w:r>
      <w:r>
        <w:rPr>
          <w:rFonts w:hint="default" w:ascii="Times New Roman" w:hAnsi="Times New Roman" w:eastAsia="宋体" w:cs="Times New Roman"/>
          <w:i/>
          <w:iCs/>
          <w:sz w:val="24"/>
          <w:szCs w:val="22"/>
          <w:lang w:eastAsia="zh-CN"/>
        </w:rPr>
        <w:t>Erigeron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canadensis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sz w:val="24"/>
          <w:szCs w:val="22"/>
          <w:lang w:eastAsia="zh-CN"/>
        </w:rPr>
        <w:t>L)、</w:t>
      </w:r>
      <w:r>
        <w:rPr>
          <w:rFonts w:hint="default" w:ascii="Times New Roman" w:hAnsi="Times New Roman" w:eastAsia="宋体" w:cs="Times New Roman"/>
          <w:sz w:val="24"/>
          <w:szCs w:val="22"/>
          <w:lang w:val="en-US" w:eastAsia="zh-CN"/>
        </w:rPr>
        <w:t>垂序商陆</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Phytolacca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americana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白车轴草(</w:t>
      </w:r>
      <w:r>
        <w:rPr>
          <w:rFonts w:hint="default" w:ascii="Times New Roman" w:hAnsi="Times New Roman" w:eastAsia="宋体" w:cs="Times New Roman"/>
          <w:i/>
          <w:iCs/>
          <w:sz w:val="24"/>
          <w:szCs w:val="22"/>
          <w:lang w:val="en-US" w:eastAsia="zh-CN"/>
        </w:rPr>
        <w:t xml:space="preserve">Trifolium repens </w:t>
      </w:r>
      <w:r>
        <w:rPr>
          <w:rFonts w:hint="default" w:ascii="Times New Roman" w:hAnsi="Times New Roman" w:eastAsia="宋体" w:cs="Times New Roman"/>
          <w:i w:val="0"/>
          <w:iCs w:val="0"/>
          <w:sz w:val="24"/>
          <w:szCs w:val="22"/>
          <w:lang w:val="en-US" w:eastAsia="zh-CN"/>
        </w:rPr>
        <w:t>L</w:t>
      </w:r>
      <w:r>
        <w:rPr>
          <w:rFonts w:hint="default" w:ascii="Times New Roman" w:hAnsi="Times New Roman" w:eastAsia="宋体" w:cs="Times New Roman"/>
          <w:i/>
          <w:iCs/>
          <w:sz w:val="24"/>
          <w:szCs w:val="22"/>
          <w:lang w:val="en-US" w:eastAsia="zh-CN"/>
        </w:rPr>
        <w:t>.</w:t>
      </w:r>
      <w:r>
        <w:rPr>
          <w:rFonts w:hint="default" w:ascii="Times New Roman" w:hAnsi="Times New Roman" w:eastAsia="宋体" w:cs="Times New Roman"/>
          <w:sz w:val="24"/>
          <w:szCs w:val="22"/>
          <w:lang w:val="en-US" w:eastAsia="zh-CN"/>
        </w:rPr>
        <w:t>)、酸模叶蓼(Persicaria lapathifolia (L.) Delarbre)、野艾蒿(Artemisia lavandulifolia DC.)、一年蓬(</w:t>
      </w:r>
      <w:r>
        <w:rPr>
          <w:rFonts w:hint="default" w:ascii="Times New Roman" w:hAnsi="Times New Roman" w:eastAsia="宋体" w:cs="Times New Roman"/>
          <w:i/>
          <w:iCs/>
          <w:sz w:val="24"/>
          <w:szCs w:val="22"/>
          <w:lang w:val="en-US" w:eastAsia="zh-CN"/>
        </w:rPr>
        <w:t xml:space="preserve">Erigeron annuus </w:t>
      </w:r>
      <w:r>
        <w:rPr>
          <w:rFonts w:hint="default" w:ascii="Times New Roman" w:hAnsi="Times New Roman" w:eastAsia="宋体" w:cs="Times New Roman"/>
          <w:i w:val="0"/>
          <w:iCs w:val="0"/>
          <w:sz w:val="24"/>
          <w:szCs w:val="22"/>
          <w:lang w:val="en-US" w:eastAsia="zh-CN"/>
        </w:rPr>
        <w:t>(L.) Pers.</w:t>
      </w:r>
      <w:r>
        <w:rPr>
          <w:rFonts w:hint="default" w:ascii="Times New Roman" w:hAnsi="Times New Roman" w:eastAsia="宋体" w:cs="Times New Roman"/>
          <w:sz w:val="24"/>
          <w:szCs w:val="22"/>
          <w:lang w:val="en-US" w:eastAsia="zh-CN"/>
        </w:rPr>
        <w:t>)</w:t>
      </w:r>
      <w:r>
        <w:rPr>
          <w:rFonts w:hint="default" w:ascii="Times New Roman" w:hAnsi="Times New Roman" w:eastAsia="宋体" w:cs="Times New Roman"/>
          <w:sz w:val="24"/>
          <w:szCs w:val="22"/>
        </w:rPr>
        <w:t>等。</w:t>
      </w:r>
    </w:p>
    <w:p w14:paraId="7743905E">
      <w:pPr>
        <w:widowControl/>
        <w:numPr>
          <w:ilvl w:val="0"/>
          <w:numId w:val="0"/>
        </w:numPr>
        <w:tabs>
          <w:tab w:val="left" w:pos="1021"/>
        </w:tabs>
        <w:spacing w:line="360" w:lineRule="auto"/>
        <w:ind w:firstLine="482" w:firstLineChars="200"/>
        <w:rPr>
          <w:rFonts w:hint="default" w:ascii="Times New Roman" w:hAnsi="Times New Roman" w:eastAsia="宋体" w:cs="Times New Roman"/>
          <w:b/>
          <w:caps w:val="0"/>
          <w:smallCaps w:val="0"/>
          <w:kern w:val="0"/>
          <w:sz w:val="24"/>
          <w:szCs w:val="24"/>
        </w:rPr>
      </w:pPr>
      <w:r>
        <w:rPr>
          <w:rFonts w:hint="default" w:ascii="Times New Roman" w:hAnsi="Times New Roman" w:eastAsia="宋体" w:cs="Times New Roman"/>
          <w:b/>
          <w:caps w:val="0"/>
          <w:smallCaps w:val="0"/>
          <w:kern w:val="0"/>
          <w:sz w:val="24"/>
          <w:szCs w:val="24"/>
          <w:lang w:val="en-US" w:eastAsia="zh-CN"/>
        </w:rPr>
        <w:t>8.狗牙根</w:t>
      </w:r>
      <w:r>
        <w:rPr>
          <w:rFonts w:hint="default" w:ascii="Times New Roman" w:hAnsi="Times New Roman" w:eastAsia="宋体" w:cs="Times New Roman"/>
          <w:b/>
          <w:caps w:val="0"/>
          <w:smallCaps w:val="0"/>
          <w:kern w:val="0"/>
          <w:sz w:val="24"/>
          <w:szCs w:val="24"/>
        </w:rPr>
        <w:t>群系</w:t>
      </w:r>
    </w:p>
    <w:p w14:paraId="6F2C6E76">
      <w:pPr>
        <w:spacing w:line="360" w:lineRule="auto"/>
        <w:ind w:firstLine="480" w:firstLineChars="200"/>
        <w:rPr>
          <w:rFonts w:hint="default" w:ascii="Times New Roman" w:hAnsi="Times New Roman" w:eastAsia="宋体" w:cs="Times New Roman"/>
          <w:sz w:val="24"/>
          <w:szCs w:val="22"/>
          <w:lang w:eastAsia="zh-CN"/>
        </w:rPr>
      </w:pPr>
      <w:r>
        <w:rPr>
          <w:rFonts w:hint="default" w:ascii="Times New Roman" w:hAnsi="Times New Roman" w:eastAsia="宋体" w:cs="Times New Roman"/>
          <w:color w:val="auto"/>
          <w:sz w:val="24"/>
          <w:szCs w:val="22"/>
          <w:lang w:val="en-US" w:eastAsia="zh-CN"/>
        </w:rPr>
        <w:t>狗牙根</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i/>
          <w:iCs/>
          <w:sz w:val="24"/>
          <w:szCs w:val="22"/>
          <w:lang w:eastAsia="zh-CN"/>
        </w:rPr>
        <w:t>Cynodon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dactylon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 Persoon</w:t>
      </w:r>
      <w:r>
        <w:rPr>
          <w:rFonts w:hint="default" w:ascii="Times New Roman" w:hAnsi="Times New Roman" w:eastAsia="宋体" w:cs="Times New Roman"/>
          <w:sz w:val="24"/>
          <w:szCs w:val="22"/>
          <w:lang w:eastAsia="zh-CN"/>
        </w:rPr>
        <w:t>)，禾本科</w:t>
      </w:r>
      <w:r>
        <w:rPr>
          <w:rFonts w:hint="default" w:ascii="Times New Roman" w:hAnsi="Times New Roman" w:eastAsia="宋体" w:cs="Times New Roman"/>
          <w:sz w:val="24"/>
          <w:szCs w:val="22"/>
          <w:lang w:val="en-US" w:eastAsia="zh-CN"/>
        </w:rPr>
        <w:t>狗牙根</w:t>
      </w:r>
      <w:r>
        <w:rPr>
          <w:rFonts w:hint="default" w:ascii="Times New Roman" w:hAnsi="Times New Roman" w:eastAsia="宋体" w:cs="Times New Roman"/>
          <w:sz w:val="24"/>
          <w:szCs w:val="22"/>
          <w:lang w:eastAsia="zh-CN"/>
        </w:rPr>
        <w:t>属植物，常见于林下、林缘组成优势群落。其在评价区内广泛分布，群落外貌呈绿、黄相间，群系下土壤为黄壤，群落结构及种类组成较简单。</w:t>
      </w:r>
    </w:p>
    <w:p w14:paraId="55BF1588">
      <w:pPr>
        <w:spacing w:line="360" w:lineRule="auto"/>
        <w:ind w:firstLine="480" w:firstLineChars="200"/>
        <w:rPr>
          <w:rFonts w:hint="default" w:ascii="Times New Roman" w:hAnsi="Times New Roman" w:eastAsia="宋体" w:cs="Times New Roman"/>
          <w:sz w:val="24"/>
          <w:szCs w:val="22"/>
          <w:lang w:eastAsia="zh-CN"/>
        </w:rPr>
      </w:pPr>
      <w:r>
        <w:rPr>
          <w:rFonts w:hint="default" w:ascii="Times New Roman" w:hAnsi="Times New Roman" w:eastAsia="宋体" w:cs="Times New Roman"/>
          <w:sz w:val="24"/>
          <w:szCs w:val="22"/>
        </w:rPr>
        <w:t>草本层</w:t>
      </w:r>
      <w:r>
        <w:rPr>
          <w:rFonts w:hint="default" w:ascii="Times New Roman" w:hAnsi="Times New Roman" w:eastAsia="宋体" w:cs="Times New Roman"/>
          <w:sz w:val="24"/>
          <w:szCs w:val="22"/>
          <w:lang w:eastAsia="zh-CN"/>
        </w:rPr>
        <w:t>盖度</w:t>
      </w:r>
      <w:r>
        <w:rPr>
          <w:rFonts w:hint="default" w:ascii="Times New Roman" w:hAnsi="Times New Roman" w:eastAsia="宋体" w:cs="Times New Roman"/>
          <w:sz w:val="24"/>
          <w:szCs w:val="22"/>
          <w:lang w:val="en-US" w:eastAsia="zh-CN"/>
        </w:rPr>
        <w:t>75%，层均高0.4m，</w:t>
      </w:r>
      <w:r>
        <w:rPr>
          <w:rFonts w:hint="default" w:ascii="Times New Roman" w:hAnsi="Times New Roman" w:eastAsia="宋体" w:cs="Times New Roman"/>
          <w:sz w:val="24"/>
          <w:szCs w:val="22"/>
        </w:rPr>
        <w:t>优势种为</w:t>
      </w:r>
      <w:r>
        <w:rPr>
          <w:rFonts w:hint="default" w:ascii="Times New Roman" w:hAnsi="Times New Roman" w:eastAsia="宋体" w:cs="Times New Roman"/>
          <w:color w:val="auto"/>
          <w:sz w:val="24"/>
          <w:szCs w:val="22"/>
          <w:lang w:val="en-US" w:eastAsia="zh-CN"/>
        </w:rPr>
        <w:t>狗牙根</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i/>
          <w:iCs/>
          <w:sz w:val="24"/>
          <w:szCs w:val="22"/>
          <w:lang w:eastAsia="zh-CN"/>
        </w:rPr>
        <w:t>Cynodon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dactylon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 Persoon</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rPr>
        <w:t>，</w:t>
      </w:r>
      <w:r>
        <w:rPr>
          <w:rFonts w:hint="default" w:ascii="Times New Roman" w:hAnsi="Times New Roman" w:eastAsia="宋体" w:cs="Times New Roman"/>
          <w:sz w:val="24"/>
          <w:szCs w:val="22"/>
          <w:lang w:eastAsia="zh-CN"/>
        </w:rPr>
        <w:t>高</w:t>
      </w:r>
      <w:r>
        <w:rPr>
          <w:rFonts w:hint="default" w:ascii="Times New Roman" w:hAnsi="Times New Roman" w:eastAsia="宋体" w:cs="Times New Roman"/>
          <w:sz w:val="24"/>
          <w:szCs w:val="22"/>
          <w:lang w:val="en-US" w:eastAsia="zh-CN"/>
        </w:rPr>
        <w:t>0.2-1.0m，</w:t>
      </w:r>
      <w:r>
        <w:rPr>
          <w:rFonts w:hint="default" w:ascii="Times New Roman" w:hAnsi="Times New Roman" w:eastAsia="宋体" w:cs="Times New Roman"/>
          <w:sz w:val="24"/>
          <w:szCs w:val="22"/>
        </w:rPr>
        <w:t>其他主要物种有</w:t>
      </w:r>
      <w:r>
        <w:rPr>
          <w:rFonts w:hint="default" w:ascii="Times New Roman" w:hAnsi="Times New Roman" w:eastAsia="宋体" w:cs="Times New Roman"/>
          <w:sz w:val="24"/>
          <w:szCs w:val="22"/>
          <w:lang w:eastAsia="zh-CN"/>
        </w:rPr>
        <w:t>蕨(</w:t>
      </w:r>
      <w:r>
        <w:rPr>
          <w:rFonts w:hint="default" w:ascii="Times New Roman" w:hAnsi="Times New Roman" w:eastAsia="宋体" w:cs="Times New Roman"/>
          <w:i/>
          <w:iCs/>
          <w:sz w:val="24"/>
          <w:szCs w:val="22"/>
          <w:lang w:eastAsia="zh-CN"/>
        </w:rPr>
        <w:t>Pteridium aquilinum</w:t>
      </w:r>
      <w:r>
        <w:rPr>
          <w:rFonts w:hint="default" w:ascii="Times New Roman" w:hAnsi="Times New Roman" w:eastAsia="宋体" w:cs="Times New Roman"/>
          <w:sz w:val="24"/>
          <w:szCs w:val="22"/>
          <w:lang w:eastAsia="zh-CN"/>
        </w:rPr>
        <w:t xml:space="preserve"> var. </w:t>
      </w:r>
      <w:r>
        <w:rPr>
          <w:rFonts w:hint="default" w:ascii="Times New Roman" w:hAnsi="Times New Roman" w:eastAsia="宋体" w:cs="Times New Roman"/>
          <w:i/>
          <w:iCs/>
          <w:sz w:val="24"/>
          <w:szCs w:val="22"/>
          <w:lang w:eastAsia="zh-CN"/>
        </w:rPr>
        <w:t>latiusculum</w:t>
      </w:r>
      <w:r>
        <w:rPr>
          <w:rFonts w:hint="default" w:ascii="Times New Roman" w:hAnsi="Times New Roman" w:eastAsia="宋体" w:cs="Times New Roman"/>
          <w:sz w:val="24"/>
          <w:szCs w:val="22"/>
          <w:lang w:eastAsia="zh-CN"/>
        </w:rPr>
        <w:t xml:space="preserve"> (Desv.) Underw. ex A. Heller)、灰白毛莓(</w:t>
      </w:r>
      <w:r>
        <w:rPr>
          <w:rFonts w:hint="default" w:ascii="Times New Roman" w:hAnsi="Times New Roman" w:eastAsia="宋体" w:cs="Times New Roman"/>
          <w:i/>
          <w:iCs/>
          <w:sz w:val="24"/>
          <w:szCs w:val="22"/>
          <w:lang w:eastAsia="zh-CN"/>
        </w:rPr>
        <w:t>Rubus tephrodes</w:t>
      </w:r>
      <w:r>
        <w:rPr>
          <w:rFonts w:hint="default" w:ascii="Times New Roman" w:hAnsi="Times New Roman" w:eastAsia="宋体" w:cs="Times New Roman"/>
          <w:sz w:val="24"/>
          <w:szCs w:val="22"/>
          <w:lang w:eastAsia="zh-CN"/>
        </w:rPr>
        <w:t xml:space="preserve"> Hance)、</w:t>
      </w:r>
      <w:r>
        <w:rPr>
          <w:rFonts w:hint="default" w:ascii="Times New Roman" w:hAnsi="Times New Roman" w:eastAsia="宋体" w:cs="Times New Roman"/>
          <w:sz w:val="24"/>
          <w:szCs w:val="22"/>
          <w:lang w:val="en-US" w:eastAsia="zh-CN"/>
        </w:rPr>
        <w:t>小蓬</w:t>
      </w:r>
      <w:r>
        <w:rPr>
          <w:rFonts w:hint="default" w:ascii="Times New Roman" w:hAnsi="Times New Roman" w:eastAsia="宋体" w:cs="Times New Roman"/>
          <w:sz w:val="24"/>
          <w:szCs w:val="22"/>
          <w:lang w:eastAsia="zh-CN"/>
        </w:rPr>
        <w:t>草(</w:t>
      </w:r>
      <w:r>
        <w:rPr>
          <w:rFonts w:hint="default" w:ascii="Times New Roman" w:hAnsi="Times New Roman" w:eastAsia="宋体" w:cs="Times New Roman"/>
          <w:i/>
          <w:iCs/>
          <w:sz w:val="24"/>
          <w:szCs w:val="22"/>
          <w:lang w:eastAsia="zh-CN"/>
        </w:rPr>
        <w:t>Erigeron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canadensis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sz w:val="24"/>
          <w:szCs w:val="22"/>
          <w:lang w:eastAsia="zh-CN"/>
        </w:rPr>
        <w:t>L)、</w:t>
      </w:r>
      <w:r>
        <w:rPr>
          <w:rFonts w:hint="default" w:ascii="Times New Roman" w:hAnsi="Times New Roman" w:eastAsia="宋体" w:cs="Times New Roman"/>
          <w:sz w:val="24"/>
          <w:szCs w:val="22"/>
          <w:lang w:val="en-US" w:eastAsia="zh-CN"/>
        </w:rPr>
        <w:t>垂序商陆</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Phytolacca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americana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白车轴草(</w:t>
      </w:r>
      <w:r>
        <w:rPr>
          <w:rFonts w:hint="default" w:ascii="Times New Roman" w:hAnsi="Times New Roman" w:eastAsia="宋体" w:cs="Times New Roman"/>
          <w:i/>
          <w:iCs/>
          <w:sz w:val="24"/>
          <w:szCs w:val="22"/>
          <w:lang w:val="en-US" w:eastAsia="zh-CN"/>
        </w:rPr>
        <w:t xml:space="preserve">Trifolium repens </w:t>
      </w:r>
      <w:r>
        <w:rPr>
          <w:rFonts w:hint="default" w:ascii="Times New Roman" w:hAnsi="Times New Roman" w:eastAsia="宋体" w:cs="Times New Roman"/>
          <w:i w:val="0"/>
          <w:iCs w:val="0"/>
          <w:sz w:val="24"/>
          <w:szCs w:val="22"/>
          <w:lang w:val="en-US" w:eastAsia="zh-CN"/>
        </w:rPr>
        <w:t>L</w:t>
      </w:r>
      <w:r>
        <w:rPr>
          <w:rFonts w:hint="default" w:ascii="Times New Roman" w:hAnsi="Times New Roman" w:eastAsia="宋体" w:cs="Times New Roman"/>
          <w:i/>
          <w:iCs/>
          <w:sz w:val="24"/>
          <w:szCs w:val="22"/>
          <w:lang w:val="en-US" w:eastAsia="zh-CN"/>
        </w:rPr>
        <w:t>.</w:t>
      </w:r>
      <w:r>
        <w:rPr>
          <w:rFonts w:hint="default" w:ascii="Times New Roman" w:hAnsi="Times New Roman" w:eastAsia="宋体" w:cs="Times New Roman"/>
          <w:sz w:val="24"/>
          <w:szCs w:val="22"/>
          <w:lang w:val="en-US" w:eastAsia="zh-CN"/>
        </w:rPr>
        <w:t>)、</w:t>
      </w:r>
      <w:r>
        <w:rPr>
          <w:rFonts w:hint="default" w:ascii="Times New Roman" w:hAnsi="Times New Roman" w:eastAsia="宋体" w:cs="Times New Roman"/>
          <w:sz w:val="24"/>
          <w:szCs w:val="22"/>
          <w:lang w:eastAsia="zh-CN"/>
        </w:rPr>
        <w:t>艾(</w:t>
      </w:r>
      <w:r>
        <w:rPr>
          <w:rFonts w:hint="default" w:ascii="Times New Roman" w:hAnsi="Times New Roman" w:eastAsia="宋体" w:cs="Times New Roman"/>
          <w:i/>
          <w:iCs/>
          <w:sz w:val="24"/>
          <w:szCs w:val="22"/>
          <w:lang w:eastAsia="zh-CN"/>
        </w:rPr>
        <w:t>Artemisia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argyi</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H. Lév. &amp; Vaniot</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酸模叶蓼(Persicaria lapathifolia (L.) Delarbre)、野艾蒿(Artemisia lavandulifolia DC.)、一年蓬(</w:t>
      </w:r>
      <w:r>
        <w:rPr>
          <w:rFonts w:hint="default" w:ascii="Times New Roman" w:hAnsi="Times New Roman" w:eastAsia="宋体" w:cs="Times New Roman"/>
          <w:i/>
          <w:iCs/>
          <w:sz w:val="24"/>
          <w:szCs w:val="22"/>
          <w:lang w:val="en-US" w:eastAsia="zh-CN"/>
        </w:rPr>
        <w:t xml:space="preserve">Erigeron annuus </w:t>
      </w:r>
      <w:r>
        <w:rPr>
          <w:rFonts w:hint="default" w:ascii="Times New Roman" w:hAnsi="Times New Roman" w:eastAsia="宋体" w:cs="Times New Roman"/>
          <w:i w:val="0"/>
          <w:iCs w:val="0"/>
          <w:sz w:val="24"/>
          <w:szCs w:val="22"/>
          <w:lang w:val="en-US" w:eastAsia="zh-CN"/>
        </w:rPr>
        <w:t>(L.) Pers.</w:t>
      </w:r>
      <w:r>
        <w:rPr>
          <w:rFonts w:hint="default" w:ascii="Times New Roman" w:hAnsi="Times New Roman" w:eastAsia="宋体" w:cs="Times New Roman"/>
          <w:sz w:val="24"/>
          <w:szCs w:val="22"/>
          <w:lang w:val="en-US" w:eastAsia="zh-CN"/>
        </w:rPr>
        <w:t>)</w:t>
      </w:r>
      <w:r>
        <w:rPr>
          <w:rFonts w:hint="default" w:ascii="Times New Roman" w:hAnsi="Times New Roman" w:eastAsia="宋体" w:cs="Times New Roman"/>
          <w:sz w:val="24"/>
          <w:szCs w:val="22"/>
        </w:rPr>
        <w:t>等。</w:t>
      </w:r>
    </w:p>
    <w:p w14:paraId="793C5EB5">
      <w:pPr>
        <w:widowControl/>
        <w:numPr>
          <w:ilvl w:val="0"/>
          <w:numId w:val="0"/>
        </w:numPr>
        <w:tabs>
          <w:tab w:val="left" w:pos="1021"/>
        </w:tabs>
        <w:spacing w:line="360" w:lineRule="auto"/>
        <w:ind w:firstLine="482" w:firstLineChars="200"/>
        <w:rPr>
          <w:rFonts w:hint="default" w:ascii="Times New Roman" w:hAnsi="Times New Roman" w:eastAsia="宋体" w:cs="Times New Roman"/>
          <w:b/>
          <w:caps w:val="0"/>
          <w:smallCaps w:val="0"/>
          <w:kern w:val="0"/>
          <w:sz w:val="24"/>
          <w:szCs w:val="24"/>
        </w:rPr>
      </w:pPr>
      <w:r>
        <w:rPr>
          <w:rFonts w:hint="default" w:ascii="Times New Roman" w:hAnsi="Times New Roman" w:eastAsia="宋体" w:cs="Times New Roman"/>
          <w:b/>
          <w:caps w:val="0"/>
          <w:smallCaps w:val="0"/>
          <w:kern w:val="0"/>
          <w:sz w:val="24"/>
          <w:szCs w:val="24"/>
          <w:lang w:val="en-US" w:eastAsia="zh-CN"/>
        </w:rPr>
        <w:t>9.灯芯草</w:t>
      </w:r>
      <w:r>
        <w:rPr>
          <w:rFonts w:hint="default" w:ascii="Times New Roman" w:hAnsi="Times New Roman" w:eastAsia="宋体" w:cs="Times New Roman"/>
          <w:b/>
          <w:caps w:val="0"/>
          <w:smallCaps w:val="0"/>
          <w:kern w:val="0"/>
          <w:sz w:val="24"/>
          <w:szCs w:val="24"/>
        </w:rPr>
        <w:t>群系</w:t>
      </w:r>
    </w:p>
    <w:p w14:paraId="456E0E38">
      <w:pPr>
        <w:spacing w:line="360" w:lineRule="auto"/>
        <w:ind w:firstLine="480" w:firstLineChars="200"/>
        <w:rPr>
          <w:rFonts w:hint="default" w:ascii="Times New Roman" w:hAnsi="Times New Roman" w:eastAsia="宋体" w:cs="Times New Roman"/>
          <w:sz w:val="24"/>
          <w:szCs w:val="22"/>
          <w:lang w:eastAsia="zh-CN"/>
        </w:rPr>
      </w:pPr>
      <w:r>
        <w:rPr>
          <w:rFonts w:hint="default" w:ascii="Times New Roman" w:hAnsi="Times New Roman" w:eastAsia="宋体" w:cs="Times New Roman"/>
          <w:color w:val="auto"/>
          <w:sz w:val="24"/>
          <w:szCs w:val="22"/>
          <w:lang w:val="en-US" w:eastAsia="zh-CN"/>
        </w:rPr>
        <w:t>灯芯草</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i/>
          <w:iCs/>
          <w:sz w:val="24"/>
          <w:szCs w:val="22"/>
          <w:lang w:eastAsia="zh-CN"/>
        </w:rPr>
        <w:t>Juncus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effusus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灯芯草</w:t>
      </w:r>
      <w:r>
        <w:rPr>
          <w:rFonts w:hint="default" w:ascii="Times New Roman" w:hAnsi="Times New Roman" w:eastAsia="宋体" w:cs="Times New Roman"/>
          <w:sz w:val="24"/>
          <w:szCs w:val="22"/>
          <w:lang w:eastAsia="zh-CN"/>
        </w:rPr>
        <w:t>科</w:t>
      </w:r>
      <w:r>
        <w:rPr>
          <w:rFonts w:hint="default" w:ascii="Times New Roman" w:hAnsi="Times New Roman" w:eastAsia="宋体" w:cs="Times New Roman"/>
          <w:sz w:val="24"/>
          <w:szCs w:val="22"/>
          <w:lang w:val="en-US" w:eastAsia="zh-CN"/>
        </w:rPr>
        <w:t>灯芯草</w:t>
      </w:r>
      <w:r>
        <w:rPr>
          <w:rFonts w:hint="default" w:ascii="Times New Roman" w:hAnsi="Times New Roman" w:eastAsia="宋体" w:cs="Times New Roman"/>
          <w:sz w:val="24"/>
          <w:szCs w:val="22"/>
          <w:lang w:eastAsia="zh-CN"/>
        </w:rPr>
        <w:t>属植物，常见于</w:t>
      </w:r>
      <w:r>
        <w:rPr>
          <w:rFonts w:hint="default" w:ascii="Times New Roman" w:hAnsi="Times New Roman" w:eastAsia="宋体" w:cs="Times New Roman"/>
          <w:sz w:val="24"/>
          <w:szCs w:val="22"/>
          <w:lang w:val="en-US" w:eastAsia="zh-CN"/>
        </w:rPr>
        <w:t>水边</w:t>
      </w:r>
      <w:r>
        <w:rPr>
          <w:rFonts w:hint="default" w:ascii="Times New Roman" w:hAnsi="Times New Roman" w:eastAsia="宋体" w:cs="Times New Roman"/>
          <w:sz w:val="24"/>
          <w:szCs w:val="22"/>
          <w:lang w:eastAsia="zh-CN"/>
        </w:rPr>
        <w:t>组成优势群落。其在评价区内广泛分布，群落外貌呈绿、黄相间，群系下土壤为黄壤，群落结构及种类组成较简单。</w:t>
      </w:r>
    </w:p>
    <w:p w14:paraId="13C25953">
      <w:pPr>
        <w:spacing w:line="360" w:lineRule="auto"/>
        <w:ind w:firstLine="480" w:firstLineChars="200"/>
        <w:rPr>
          <w:rFonts w:hint="default" w:ascii="Times New Roman" w:hAnsi="Times New Roman" w:eastAsia="宋体" w:cs="Times New Roman"/>
          <w:sz w:val="24"/>
          <w:szCs w:val="22"/>
          <w:lang w:eastAsia="zh-CN"/>
        </w:rPr>
      </w:pPr>
      <w:r>
        <w:rPr>
          <w:rFonts w:hint="default" w:ascii="Times New Roman" w:hAnsi="Times New Roman" w:eastAsia="宋体" w:cs="Times New Roman"/>
          <w:sz w:val="24"/>
          <w:szCs w:val="22"/>
        </w:rPr>
        <w:t>草本层</w:t>
      </w:r>
      <w:r>
        <w:rPr>
          <w:rFonts w:hint="default" w:ascii="Times New Roman" w:hAnsi="Times New Roman" w:eastAsia="宋体" w:cs="Times New Roman"/>
          <w:sz w:val="24"/>
          <w:szCs w:val="22"/>
          <w:lang w:eastAsia="zh-CN"/>
        </w:rPr>
        <w:t>盖度</w:t>
      </w:r>
      <w:r>
        <w:rPr>
          <w:rFonts w:hint="default" w:ascii="Times New Roman" w:hAnsi="Times New Roman" w:eastAsia="宋体" w:cs="Times New Roman"/>
          <w:sz w:val="24"/>
          <w:szCs w:val="22"/>
          <w:lang w:val="en-US" w:eastAsia="zh-CN"/>
        </w:rPr>
        <w:t>80%，层均高0.8m，</w:t>
      </w:r>
      <w:r>
        <w:rPr>
          <w:rFonts w:hint="default" w:ascii="Times New Roman" w:hAnsi="Times New Roman" w:eastAsia="宋体" w:cs="Times New Roman"/>
          <w:sz w:val="24"/>
          <w:szCs w:val="22"/>
        </w:rPr>
        <w:t>优势种为</w:t>
      </w:r>
      <w:r>
        <w:rPr>
          <w:rFonts w:hint="default" w:ascii="Times New Roman" w:hAnsi="Times New Roman" w:eastAsia="宋体" w:cs="Times New Roman"/>
          <w:color w:val="auto"/>
          <w:sz w:val="24"/>
          <w:szCs w:val="22"/>
          <w:lang w:val="en-US" w:eastAsia="zh-CN"/>
        </w:rPr>
        <w:t>灯芯草</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i/>
          <w:iCs/>
          <w:sz w:val="24"/>
          <w:szCs w:val="22"/>
          <w:lang w:eastAsia="zh-CN"/>
        </w:rPr>
        <w:t>Juncus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effusus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rPr>
        <w:t>，</w:t>
      </w:r>
      <w:r>
        <w:rPr>
          <w:rFonts w:hint="default" w:ascii="Times New Roman" w:hAnsi="Times New Roman" w:eastAsia="宋体" w:cs="Times New Roman"/>
          <w:sz w:val="24"/>
          <w:szCs w:val="22"/>
          <w:lang w:eastAsia="zh-CN"/>
        </w:rPr>
        <w:t>高</w:t>
      </w:r>
      <w:r>
        <w:rPr>
          <w:rFonts w:hint="default" w:ascii="Times New Roman" w:hAnsi="Times New Roman" w:eastAsia="宋体" w:cs="Times New Roman"/>
          <w:sz w:val="24"/>
          <w:szCs w:val="22"/>
          <w:lang w:val="en-US" w:eastAsia="zh-CN"/>
        </w:rPr>
        <w:t>0.4-1.2m，</w:t>
      </w:r>
      <w:r>
        <w:rPr>
          <w:rFonts w:hint="default" w:ascii="Times New Roman" w:hAnsi="Times New Roman" w:eastAsia="宋体" w:cs="Times New Roman"/>
          <w:sz w:val="24"/>
          <w:szCs w:val="22"/>
        </w:rPr>
        <w:t>其他主要物种有</w:t>
      </w:r>
      <w:r>
        <w:rPr>
          <w:rFonts w:hint="default" w:ascii="Times New Roman" w:hAnsi="Times New Roman" w:eastAsia="宋体" w:cs="Times New Roman"/>
          <w:color w:val="auto"/>
          <w:sz w:val="24"/>
          <w:szCs w:val="22"/>
          <w:lang w:val="en-US" w:eastAsia="zh-CN"/>
        </w:rPr>
        <w:t>狗牙根</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i/>
          <w:iCs/>
          <w:sz w:val="24"/>
          <w:szCs w:val="22"/>
          <w:lang w:eastAsia="zh-CN"/>
        </w:rPr>
        <w:t>Cynodon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dactylon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 Persoon</w:t>
      </w:r>
      <w:r>
        <w:rPr>
          <w:rFonts w:hint="default" w:ascii="Times New Roman" w:hAnsi="Times New Roman" w:eastAsia="宋体" w:cs="Times New Roman"/>
          <w:sz w:val="24"/>
          <w:szCs w:val="22"/>
          <w:lang w:eastAsia="zh-CN"/>
        </w:rPr>
        <w:t>)、蕨(</w:t>
      </w:r>
      <w:r>
        <w:rPr>
          <w:rFonts w:hint="default" w:ascii="Times New Roman" w:hAnsi="Times New Roman" w:eastAsia="宋体" w:cs="Times New Roman"/>
          <w:i/>
          <w:iCs/>
          <w:sz w:val="24"/>
          <w:szCs w:val="22"/>
          <w:lang w:eastAsia="zh-CN"/>
        </w:rPr>
        <w:t>Pteridium aquilinum</w:t>
      </w:r>
      <w:r>
        <w:rPr>
          <w:rFonts w:hint="default" w:ascii="Times New Roman" w:hAnsi="Times New Roman" w:eastAsia="宋体" w:cs="Times New Roman"/>
          <w:sz w:val="24"/>
          <w:szCs w:val="22"/>
          <w:lang w:eastAsia="zh-CN"/>
        </w:rPr>
        <w:t xml:space="preserve"> var. </w:t>
      </w:r>
      <w:r>
        <w:rPr>
          <w:rFonts w:hint="default" w:ascii="Times New Roman" w:hAnsi="Times New Roman" w:eastAsia="宋体" w:cs="Times New Roman"/>
          <w:i/>
          <w:iCs/>
          <w:sz w:val="24"/>
          <w:szCs w:val="22"/>
          <w:lang w:eastAsia="zh-CN"/>
        </w:rPr>
        <w:t>latiusculum</w:t>
      </w:r>
      <w:r>
        <w:rPr>
          <w:rFonts w:hint="default" w:ascii="Times New Roman" w:hAnsi="Times New Roman" w:eastAsia="宋体" w:cs="Times New Roman"/>
          <w:sz w:val="24"/>
          <w:szCs w:val="22"/>
          <w:lang w:eastAsia="zh-CN"/>
        </w:rPr>
        <w:t xml:space="preserve"> (Desv.) Underw. ex A. Heller)、</w:t>
      </w:r>
      <w:r>
        <w:rPr>
          <w:rFonts w:hint="default" w:ascii="Times New Roman" w:hAnsi="Times New Roman" w:eastAsia="宋体" w:cs="Times New Roman"/>
          <w:sz w:val="24"/>
          <w:szCs w:val="22"/>
          <w:lang w:val="en-US" w:eastAsia="zh-CN"/>
        </w:rPr>
        <w:t>小蓬</w:t>
      </w:r>
      <w:r>
        <w:rPr>
          <w:rFonts w:hint="default" w:ascii="Times New Roman" w:hAnsi="Times New Roman" w:eastAsia="宋体" w:cs="Times New Roman"/>
          <w:sz w:val="24"/>
          <w:szCs w:val="22"/>
          <w:lang w:eastAsia="zh-CN"/>
        </w:rPr>
        <w:t>草(</w:t>
      </w:r>
      <w:r>
        <w:rPr>
          <w:rFonts w:hint="default" w:ascii="Times New Roman" w:hAnsi="Times New Roman" w:eastAsia="宋体" w:cs="Times New Roman"/>
          <w:i/>
          <w:iCs/>
          <w:sz w:val="24"/>
          <w:szCs w:val="22"/>
          <w:lang w:eastAsia="zh-CN"/>
        </w:rPr>
        <w:t>Erigeron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canadensis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sz w:val="24"/>
          <w:szCs w:val="22"/>
          <w:lang w:eastAsia="zh-CN"/>
        </w:rPr>
        <w:t>L)、</w:t>
      </w:r>
      <w:r>
        <w:rPr>
          <w:rFonts w:hint="default" w:ascii="Times New Roman" w:hAnsi="Times New Roman" w:eastAsia="宋体" w:cs="Times New Roman"/>
          <w:sz w:val="24"/>
          <w:szCs w:val="22"/>
          <w:lang w:val="en-US" w:eastAsia="zh-CN"/>
        </w:rPr>
        <w:t>垂序商陆</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Phytolacca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americana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白车轴草(</w:t>
      </w:r>
      <w:r>
        <w:rPr>
          <w:rFonts w:hint="default" w:ascii="Times New Roman" w:hAnsi="Times New Roman" w:eastAsia="宋体" w:cs="Times New Roman"/>
          <w:i/>
          <w:iCs/>
          <w:sz w:val="24"/>
          <w:szCs w:val="22"/>
          <w:lang w:val="en-US" w:eastAsia="zh-CN"/>
        </w:rPr>
        <w:t xml:space="preserve">Trifolium repens </w:t>
      </w:r>
      <w:r>
        <w:rPr>
          <w:rFonts w:hint="default" w:ascii="Times New Roman" w:hAnsi="Times New Roman" w:eastAsia="宋体" w:cs="Times New Roman"/>
          <w:i w:val="0"/>
          <w:iCs w:val="0"/>
          <w:sz w:val="24"/>
          <w:szCs w:val="22"/>
          <w:lang w:val="en-US" w:eastAsia="zh-CN"/>
        </w:rPr>
        <w:t>L</w:t>
      </w:r>
      <w:r>
        <w:rPr>
          <w:rFonts w:hint="default" w:ascii="Times New Roman" w:hAnsi="Times New Roman" w:eastAsia="宋体" w:cs="Times New Roman"/>
          <w:i/>
          <w:iCs/>
          <w:sz w:val="24"/>
          <w:szCs w:val="22"/>
          <w:lang w:val="en-US" w:eastAsia="zh-CN"/>
        </w:rPr>
        <w:t>.</w:t>
      </w:r>
      <w:r>
        <w:rPr>
          <w:rFonts w:hint="default" w:ascii="Times New Roman" w:hAnsi="Times New Roman" w:eastAsia="宋体" w:cs="Times New Roman"/>
          <w:sz w:val="24"/>
          <w:szCs w:val="22"/>
          <w:lang w:val="en-US" w:eastAsia="zh-CN"/>
        </w:rPr>
        <w:t>)、</w:t>
      </w:r>
      <w:r>
        <w:rPr>
          <w:rFonts w:hint="default" w:ascii="Times New Roman" w:hAnsi="Times New Roman" w:eastAsia="宋体" w:cs="Times New Roman"/>
          <w:sz w:val="24"/>
          <w:szCs w:val="22"/>
          <w:lang w:eastAsia="zh-CN"/>
        </w:rPr>
        <w:t>艾(</w:t>
      </w:r>
      <w:r>
        <w:rPr>
          <w:rFonts w:hint="default" w:ascii="Times New Roman" w:hAnsi="Times New Roman" w:eastAsia="宋体" w:cs="Times New Roman"/>
          <w:i/>
          <w:iCs/>
          <w:sz w:val="24"/>
          <w:szCs w:val="22"/>
          <w:lang w:eastAsia="zh-CN"/>
        </w:rPr>
        <w:t>Artemisia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argyi</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H. Lév. &amp; Vaniot</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酸模叶蓼(</w:t>
      </w:r>
      <w:r>
        <w:rPr>
          <w:rFonts w:hint="default" w:ascii="Times New Roman" w:hAnsi="Times New Roman" w:eastAsia="宋体" w:cs="Times New Roman"/>
          <w:i/>
          <w:iCs/>
          <w:sz w:val="24"/>
          <w:szCs w:val="22"/>
          <w:lang w:val="en-US" w:eastAsia="zh-CN"/>
        </w:rPr>
        <w:t>Persicaria lapathifolia</w:t>
      </w:r>
      <w:r>
        <w:rPr>
          <w:rFonts w:hint="default" w:ascii="Times New Roman" w:hAnsi="Times New Roman" w:eastAsia="宋体" w:cs="Times New Roman"/>
          <w:sz w:val="24"/>
          <w:szCs w:val="22"/>
          <w:lang w:val="en-US" w:eastAsia="zh-CN"/>
        </w:rPr>
        <w:t xml:space="preserve"> (L.) Delarbre)、野艾蒿(</w:t>
      </w:r>
      <w:r>
        <w:rPr>
          <w:rFonts w:hint="default" w:ascii="Times New Roman" w:hAnsi="Times New Roman" w:eastAsia="宋体" w:cs="Times New Roman"/>
          <w:i/>
          <w:iCs/>
          <w:sz w:val="24"/>
          <w:szCs w:val="22"/>
          <w:lang w:val="en-US" w:eastAsia="zh-CN"/>
        </w:rPr>
        <w:t xml:space="preserve">Artemisia lavandulifolia </w:t>
      </w:r>
      <w:r>
        <w:rPr>
          <w:rFonts w:hint="default" w:ascii="Times New Roman" w:hAnsi="Times New Roman" w:eastAsia="宋体" w:cs="Times New Roman"/>
          <w:sz w:val="24"/>
          <w:szCs w:val="22"/>
          <w:lang w:val="en-US" w:eastAsia="zh-CN"/>
        </w:rPr>
        <w:t>DC.)、一年蓬(</w:t>
      </w:r>
      <w:r>
        <w:rPr>
          <w:rFonts w:hint="default" w:ascii="Times New Roman" w:hAnsi="Times New Roman" w:eastAsia="宋体" w:cs="Times New Roman"/>
          <w:i/>
          <w:iCs/>
          <w:sz w:val="24"/>
          <w:szCs w:val="22"/>
          <w:lang w:val="en-US" w:eastAsia="zh-CN"/>
        </w:rPr>
        <w:t xml:space="preserve">Erigeron annuus </w:t>
      </w:r>
      <w:r>
        <w:rPr>
          <w:rFonts w:hint="default" w:ascii="Times New Roman" w:hAnsi="Times New Roman" w:eastAsia="宋体" w:cs="Times New Roman"/>
          <w:i w:val="0"/>
          <w:iCs w:val="0"/>
          <w:sz w:val="24"/>
          <w:szCs w:val="22"/>
          <w:lang w:val="en-US" w:eastAsia="zh-CN"/>
        </w:rPr>
        <w:t>(L.) Pers.</w:t>
      </w:r>
      <w:r>
        <w:rPr>
          <w:rFonts w:hint="default" w:ascii="Times New Roman" w:hAnsi="Times New Roman" w:eastAsia="宋体" w:cs="Times New Roman"/>
          <w:sz w:val="24"/>
          <w:szCs w:val="22"/>
          <w:lang w:val="en-US" w:eastAsia="zh-CN"/>
        </w:rPr>
        <w:t>)</w:t>
      </w:r>
      <w:r>
        <w:rPr>
          <w:rFonts w:hint="default" w:ascii="Times New Roman" w:hAnsi="Times New Roman" w:eastAsia="宋体" w:cs="Times New Roman"/>
          <w:sz w:val="24"/>
          <w:szCs w:val="22"/>
        </w:rPr>
        <w:t>等。</w:t>
      </w:r>
    </w:p>
    <w:p w14:paraId="786F7EAD">
      <w:pPr>
        <w:widowControl/>
        <w:numPr>
          <w:ilvl w:val="0"/>
          <w:numId w:val="0"/>
        </w:numPr>
        <w:tabs>
          <w:tab w:val="left" w:pos="1021"/>
        </w:tabs>
        <w:spacing w:line="360" w:lineRule="auto"/>
        <w:ind w:firstLine="482" w:firstLineChars="200"/>
        <w:rPr>
          <w:rFonts w:hint="default" w:ascii="Times New Roman" w:hAnsi="Times New Roman" w:eastAsia="宋体" w:cs="Times New Roman"/>
          <w:b/>
          <w:caps w:val="0"/>
          <w:smallCaps w:val="0"/>
          <w:kern w:val="0"/>
          <w:sz w:val="24"/>
          <w:szCs w:val="24"/>
        </w:rPr>
      </w:pPr>
      <w:r>
        <w:rPr>
          <w:rFonts w:hint="default" w:ascii="Times New Roman" w:hAnsi="Times New Roman" w:eastAsia="宋体" w:cs="Times New Roman"/>
          <w:b/>
          <w:caps w:val="0"/>
          <w:smallCaps w:val="0"/>
          <w:kern w:val="0"/>
          <w:sz w:val="24"/>
          <w:szCs w:val="24"/>
          <w:lang w:val="en-US" w:eastAsia="zh-CN"/>
        </w:rPr>
        <w:t>10.小蓬草</w:t>
      </w:r>
      <w:r>
        <w:rPr>
          <w:rFonts w:hint="default" w:ascii="Times New Roman" w:hAnsi="Times New Roman" w:eastAsia="宋体" w:cs="Times New Roman"/>
          <w:b/>
          <w:caps w:val="0"/>
          <w:smallCaps w:val="0"/>
          <w:kern w:val="0"/>
          <w:sz w:val="24"/>
          <w:szCs w:val="24"/>
        </w:rPr>
        <w:t>群系</w:t>
      </w:r>
    </w:p>
    <w:p w14:paraId="47BE9BA8">
      <w:pPr>
        <w:spacing w:line="360" w:lineRule="auto"/>
        <w:ind w:firstLine="480" w:firstLineChars="200"/>
        <w:rPr>
          <w:rFonts w:hint="default" w:ascii="Times New Roman" w:hAnsi="Times New Roman" w:eastAsia="宋体" w:cs="Times New Roman"/>
          <w:sz w:val="24"/>
          <w:szCs w:val="22"/>
          <w:lang w:eastAsia="zh-CN"/>
        </w:rPr>
      </w:pPr>
      <w:r>
        <w:rPr>
          <w:rFonts w:hint="default" w:ascii="Times New Roman" w:hAnsi="Times New Roman" w:eastAsia="宋体" w:cs="Times New Roman"/>
          <w:sz w:val="24"/>
          <w:szCs w:val="22"/>
          <w:lang w:val="en-US" w:eastAsia="zh-CN"/>
        </w:rPr>
        <w:t>小蓬</w:t>
      </w:r>
      <w:r>
        <w:rPr>
          <w:rFonts w:hint="default" w:ascii="Times New Roman" w:hAnsi="Times New Roman" w:eastAsia="宋体" w:cs="Times New Roman"/>
          <w:sz w:val="24"/>
          <w:szCs w:val="22"/>
          <w:lang w:eastAsia="zh-CN"/>
        </w:rPr>
        <w:t>草(</w:t>
      </w:r>
      <w:r>
        <w:rPr>
          <w:rFonts w:hint="default" w:ascii="Times New Roman" w:hAnsi="Times New Roman" w:eastAsia="宋体" w:cs="Times New Roman"/>
          <w:i/>
          <w:iCs/>
          <w:sz w:val="24"/>
          <w:szCs w:val="22"/>
          <w:lang w:eastAsia="zh-CN"/>
        </w:rPr>
        <w:t>Erigeron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canadensis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sz w:val="24"/>
          <w:szCs w:val="22"/>
          <w:lang w:eastAsia="zh-CN"/>
        </w:rPr>
        <w:t>L)，</w:t>
      </w:r>
      <w:r>
        <w:rPr>
          <w:rFonts w:hint="default" w:ascii="Times New Roman" w:hAnsi="Times New Roman" w:eastAsia="宋体" w:cs="Times New Roman"/>
          <w:sz w:val="24"/>
          <w:szCs w:val="22"/>
          <w:lang w:val="en-US" w:eastAsia="zh-CN"/>
        </w:rPr>
        <w:t>菊</w:t>
      </w:r>
      <w:r>
        <w:rPr>
          <w:rFonts w:hint="default" w:ascii="Times New Roman" w:hAnsi="Times New Roman" w:eastAsia="宋体" w:cs="Times New Roman"/>
          <w:sz w:val="24"/>
          <w:szCs w:val="22"/>
          <w:lang w:eastAsia="zh-CN"/>
        </w:rPr>
        <w:t>科</w:t>
      </w:r>
      <w:r>
        <w:rPr>
          <w:rFonts w:hint="default" w:ascii="Times New Roman" w:hAnsi="Times New Roman" w:eastAsia="宋体" w:cs="Times New Roman"/>
          <w:sz w:val="24"/>
          <w:szCs w:val="22"/>
          <w:lang w:val="en-US" w:eastAsia="zh-CN"/>
        </w:rPr>
        <w:t>飞蓬</w:t>
      </w:r>
      <w:r>
        <w:rPr>
          <w:rFonts w:hint="default" w:ascii="Times New Roman" w:hAnsi="Times New Roman" w:eastAsia="宋体" w:cs="Times New Roman"/>
          <w:sz w:val="24"/>
          <w:szCs w:val="22"/>
          <w:lang w:eastAsia="zh-CN"/>
        </w:rPr>
        <w:t>属植物，常见于林下、林缘组成优势群落。其在评价区内广泛分布，群落外貌呈绿、黄相间，群系下土壤为黄壤，群落结构及种类组成较简单。</w:t>
      </w:r>
    </w:p>
    <w:p w14:paraId="3C3A0E60">
      <w:pPr>
        <w:spacing w:line="360" w:lineRule="auto"/>
        <w:ind w:firstLine="480" w:firstLineChars="200"/>
        <w:rPr>
          <w:rFonts w:hint="default" w:ascii="Times New Roman" w:hAnsi="Times New Roman" w:eastAsia="宋体" w:cs="Times New Roman"/>
          <w:sz w:val="24"/>
          <w:szCs w:val="22"/>
          <w:lang w:eastAsia="zh-CN"/>
        </w:rPr>
      </w:pPr>
      <w:r>
        <w:rPr>
          <w:rFonts w:hint="default" w:ascii="Times New Roman" w:hAnsi="Times New Roman" w:eastAsia="宋体" w:cs="Times New Roman"/>
          <w:sz w:val="24"/>
          <w:szCs w:val="22"/>
        </w:rPr>
        <w:t>草本层</w:t>
      </w:r>
      <w:r>
        <w:rPr>
          <w:rFonts w:hint="default" w:ascii="Times New Roman" w:hAnsi="Times New Roman" w:eastAsia="宋体" w:cs="Times New Roman"/>
          <w:sz w:val="24"/>
          <w:szCs w:val="22"/>
          <w:lang w:eastAsia="zh-CN"/>
        </w:rPr>
        <w:t>盖度</w:t>
      </w:r>
      <w:r>
        <w:rPr>
          <w:rFonts w:hint="default" w:ascii="Times New Roman" w:hAnsi="Times New Roman" w:eastAsia="宋体" w:cs="Times New Roman"/>
          <w:sz w:val="24"/>
          <w:szCs w:val="22"/>
          <w:lang w:val="en-US" w:eastAsia="zh-CN"/>
        </w:rPr>
        <w:t>80%，层均高1.0m，</w:t>
      </w:r>
      <w:r>
        <w:rPr>
          <w:rFonts w:hint="default" w:ascii="Times New Roman" w:hAnsi="Times New Roman" w:eastAsia="宋体" w:cs="Times New Roman"/>
          <w:sz w:val="24"/>
          <w:szCs w:val="22"/>
        </w:rPr>
        <w:t>优势种为</w:t>
      </w:r>
      <w:r>
        <w:rPr>
          <w:rFonts w:hint="default" w:ascii="Times New Roman" w:hAnsi="Times New Roman" w:eastAsia="宋体" w:cs="Times New Roman"/>
          <w:sz w:val="24"/>
          <w:szCs w:val="22"/>
          <w:lang w:val="en-US" w:eastAsia="zh-CN"/>
        </w:rPr>
        <w:t>小蓬</w:t>
      </w:r>
      <w:r>
        <w:rPr>
          <w:rFonts w:hint="default" w:ascii="Times New Roman" w:hAnsi="Times New Roman" w:eastAsia="宋体" w:cs="Times New Roman"/>
          <w:sz w:val="24"/>
          <w:szCs w:val="22"/>
          <w:lang w:eastAsia="zh-CN"/>
        </w:rPr>
        <w:t>草(</w:t>
      </w:r>
      <w:r>
        <w:rPr>
          <w:rFonts w:hint="default" w:ascii="Times New Roman" w:hAnsi="Times New Roman" w:eastAsia="宋体" w:cs="Times New Roman"/>
          <w:i/>
          <w:iCs/>
          <w:sz w:val="24"/>
          <w:szCs w:val="22"/>
          <w:lang w:eastAsia="zh-CN"/>
        </w:rPr>
        <w:t>Erigeron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canadensis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sz w:val="24"/>
          <w:szCs w:val="22"/>
          <w:lang w:eastAsia="zh-CN"/>
        </w:rPr>
        <w:t>L)</w:t>
      </w:r>
      <w:r>
        <w:rPr>
          <w:rFonts w:hint="default" w:ascii="Times New Roman" w:hAnsi="Times New Roman" w:eastAsia="宋体" w:cs="Times New Roman"/>
          <w:sz w:val="24"/>
          <w:szCs w:val="22"/>
        </w:rPr>
        <w:t>，</w:t>
      </w:r>
      <w:r>
        <w:rPr>
          <w:rFonts w:hint="default" w:ascii="Times New Roman" w:hAnsi="Times New Roman" w:eastAsia="宋体" w:cs="Times New Roman"/>
          <w:sz w:val="24"/>
          <w:szCs w:val="22"/>
          <w:lang w:eastAsia="zh-CN"/>
        </w:rPr>
        <w:t>高</w:t>
      </w:r>
      <w:r>
        <w:rPr>
          <w:rFonts w:hint="default" w:ascii="Times New Roman" w:hAnsi="Times New Roman" w:eastAsia="宋体" w:cs="Times New Roman"/>
          <w:sz w:val="24"/>
          <w:szCs w:val="22"/>
          <w:lang w:val="en-US" w:eastAsia="zh-CN"/>
        </w:rPr>
        <w:t>0.6-1.2m，</w:t>
      </w:r>
      <w:r>
        <w:rPr>
          <w:rFonts w:hint="default" w:ascii="Times New Roman" w:hAnsi="Times New Roman" w:eastAsia="宋体" w:cs="Times New Roman"/>
          <w:sz w:val="24"/>
          <w:szCs w:val="22"/>
        </w:rPr>
        <w:t>其他主要物种有</w:t>
      </w:r>
      <w:r>
        <w:rPr>
          <w:rFonts w:hint="default" w:ascii="Times New Roman" w:hAnsi="Times New Roman" w:eastAsia="宋体" w:cs="Times New Roman"/>
          <w:color w:val="auto"/>
          <w:sz w:val="24"/>
          <w:szCs w:val="22"/>
          <w:lang w:val="en-US" w:eastAsia="zh-CN"/>
        </w:rPr>
        <w:t>狗牙根</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i/>
          <w:iCs/>
          <w:sz w:val="24"/>
          <w:szCs w:val="22"/>
          <w:lang w:eastAsia="zh-CN"/>
        </w:rPr>
        <w:t>Cynodon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dactylon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 Persoon</w:t>
      </w:r>
      <w:r>
        <w:rPr>
          <w:rFonts w:hint="default" w:ascii="Times New Roman" w:hAnsi="Times New Roman" w:eastAsia="宋体" w:cs="Times New Roman"/>
          <w:sz w:val="24"/>
          <w:szCs w:val="22"/>
          <w:lang w:eastAsia="zh-CN"/>
        </w:rPr>
        <w:t>)、蕨(</w:t>
      </w:r>
      <w:r>
        <w:rPr>
          <w:rFonts w:hint="default" w:ascii="Times New Roman" w:hAnsi="Times New Roman" w:eastAsia="宋体" w:cs="Times New Roman"/>
          <w:i/>
          <w:iCs/>
          <w:sz w:val="24"/>
          <w:szCs w:val="22"/>
          <w:lang w:eastAsia="zh-CN"/>
        </w:rPr>
        <w:t>Pteridium aquilinum</w:t>
      </w:r>
      <w:r>
        <w:rPr>
          <w:rFonts w:hint="default" w:ascii="Times New Roman" w:hAnsi="Times New Roman" w:eastAsia="宋体" w:cs="Times New Roman"/>
          <w:sz w:val="24"/>
          <w:szCs w:val="22"/>
          <w:lang w:eastAsia="zh-CN"/>
        </w:rPr>
        <w:t xml:space="preserve"> var. </w:t>
      </w:r>
      <w:r>
        <w:rPr>
          <w:rFonts w:hint="default" w:ascii="Times New Roman" w:hAnsi="Times New Roman" w:eastAsia="宋体" w:cs="Times New Roman"/>
          <w:i/>
          <w:iCs/>
          <w:sz w:val="24"/>
          <w:szCs w:val="22"/>
          <w:lang w:eastAsia="zh-CN"/>
        </w:rPr>
        <w:t>latiusculum</w:t>
      </w:r>
      <w:r>
        <w:rPr>
          <w:rFonts w:hint="default" w:ascii="Times New Roman" w:hAnsi="Times New Roman" w:eastAsia="宋体" w:cs="Times New Roman"/>
          <w:sz w:val="24"/>
          <w:szCs w:val="22"/>
          <w:lang w:eastAsia="zh-CN"/>
        </w:rPr>
        <w:t xml:space="preserve"> (Desv.) Underw. ex A. Heller)、灰白毛莓(</w:t>
      </w:r>
      <w:r>
        <w:rPr>
          <w:rFonts w:hint="default" w:ascii="Times New Roman" w:hAnsi="Times New Roman" w:eastAsia="宋体" w:cs="Times New Roman"/>
          <w:i/>
          <w:iCs/>
          <w:sz w:val="24"/>
          <w:szCs w:val="22"/>
          <w:lang w:eastAsia="zh-CN"/>
        </w:rPr>
        <w:t>Rubus tephrodes</w:t>
      </w:r>
      <w:r>
        <w:rPr>
          <w:rFonts w:hint="default" w:ascii="Times New Roman" w:hAnsi="Times New Roman" w:eastAsia="宋体" w:cs="Times New Roman"/>
          <w:sz w:val="24"/>
          <w:szCs w:val="22"/>
          <w:lang w:eastAsia="zh-CN"/>
        </w:rPr>
        <w:t xml:space="preserve"> Hance)、</w:t>
      </w:r>
      <w:r>
        <w:rPr>
          <w:rFonts w:hint="default" w:ascii="Times New Roman" w:hAnsi="Times New Roman" w:eastAsia="宋体" w:cs="Times New Roman"/>
          <w:sz w:val="24"/>
          <w:szCs w:val="22"/>
          <w:lang w:val="en-US" w:eastAsia="zh-CN"/>
        </w:rPr>
        <w:t>小蓬</w:t>
      </w:r>
      <w:r>
        <w:rPr>
          <w:rFonts w:hint="default" w:ascii="Times New Roman" w:hAnsi="Times New Roman" w:eastAsia="宋体" w:cs="Times New Roman"/>
          <w:sz w:val="24"/>
          <w:szCs w:val="22"/>
          <w:lang w:eastAsia="zh-CN"/>
        </w:rPr>
        <w:t>草(</w:t>
      </w:r>
      <w:r>
        <w:rPr>
          <w:rFonts w:hint="default" w:ascii="Times New Roman" w:hAnsi="Times New Roman" w:eastAsia="宋体" w:cs="Times New Roman"/>
          <w:i/>
          <w:iCs/>
          <w:sz w:val="24"/>
          <w:szCs w:val="22"/>
          <w:lang w:eastAsia="zh-CN"/>
        </w:rPr>
        <w:t>Erigeron</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canadensis</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sz w:val="24"/>
          <w:szCs w:val="22"/>
          <w:lang w:eastAsia="zh-CN"/>
        </w:rPr>
        <w:t>L)、</w:t>
      </w:r>
      <w:r>
        <w:rPr>
          <w:rFonts w:hint="default" w:ascii="Times New Roman" w:hAnsi="Times New Roman" w:eastAsia="宋体" w:cs="Times New Roman"/>
          <w:sz w:val="24"/>
          <w:szCs w:val="22"/>
          <w:lang w:val="en-US" w:eastAsia="zh-CN"/>
        </w:rPr>
        <w:t>垂序商陆</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i/>
          <w:iCs/>
          <w:sz w:val="24"/>
          <w:szCs w:val="22"/>
          <w:lang w:eastAsia="zh-CN"/>
        </w:rPr>
        <w:t>Phytolacca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americana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L.</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白车轴草(</w:t>
      </w:r>
      <w:r>
        <w:rPr>
          <w:rFonts w:hint="default" w:ascii="Times New Roman" w:hAnsi="Times New Roman" w:eastAsia="宋体" w:cs="Times New Roman"/>
          <w:i/>
          <w:iCs/>
          <w:sz w:val="24"/>
          <w:szCs w:val="22"/>
          <w:lang w:val="en-US" w:eastAsia="zh-CN"/>
        </w:rPr>
        <w:t xml:space="preserve">Trifolium repens </w:t>
      </w:r>
      <w:r>
        <w:rPr>
          <w:rFonts w:hint="default" w:ascii="Times New Roman" w:hAnsi="Times New Roman" w:eastAsia="宋体" w:cs="Times New Roman"/>
          <w:i w:val="0"/>
          <w:iCs w:val="0"/>
          <w:sz w:val="24"/>
          <w:szCs w:val="22"/>
          <w:lang w:val="en-US" w:eastAsia="zh-CN"/>
        </w:rPr>
        <w:t>L</w:t>
      </w:r>
      <w:r>
        <w:rPr>
          <w:rFonts w:hint="default" w:ascii="Times New Roman" w:hAnsi="Times New Roman" w:eastAsia="宋体" w:cs="Times New Roman"/>
          <w:i/>
          <w:iCs/>
          <w:sz w:val="24"/>
          <w:szCs w:val="22"/>
          <w:lang w:val="en-US" w:eastAsia="zh-CN"/>
        </w:rPr>
        <w:t>.</w:t>
      </w:r>
      <w:r>
        <w:rPr>
          <w:rFonts w:hint="default" w:ascii="Times New Roman" w:hAnsi="Times New Roman" w:eastAsia="宋体" w:cs="Times New Roman"/>
          <w:sz w:val="24"/>
          <w:szCs w:val="22"/>
          <w:lang w:val="en-US" w:eastAsia="zh-CN"/>
        </w:rPr>
        <w:t>)、</w:t>
      </w:r>
      <w:r>
        <w:rPr>
          <w:rFonts w:hint="default" w:ascii="Times New Roman" w:hAnsi="Times New Roman" w:eastAsia="宋体" w:cs="Times New Roman"/>
          <w:sz w:val="24"/>
          <w:szCs w:val="22"/>
          <w:lang w:eastAsia="zh-CN"/>
        </w:rPr>
        <w:t>艾(</w:t>
      </w:r>
      <w:r>
        <w:rPr>
          <w:rFonts w:hint="default" w:ascii="Times New Roman" w:hAnsi="Times New Roman" w:eastAsia="宋体" w:cs="Times New Roman"/>
          <w:i/>
          <w:iCs/>
          <w:sz w:val="24"/>
          <w:szCs w:val="22"/>
          <w:lang w:eastAsia="zh-CN"/>
        </w:rPr>
        <w:t>Artemisia</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iCs/>
          <w:sz w:val="24"/>
          <w:szCs w:val="22"/>
          <w:lang w:eastAsia="zh-CN"/>
        </w:rPr>
        <w:t>argyi</w:t>
      </w:r>
      <w:r>
        <w:rPr>
          <w:rFonts w:hint="default" w:ascii="Times New Roman" w:hAnsi="Times New Roman" w:eastAsia="宋体" w:cs="Times New Roman"/>
          <w:i/>
          <w:iCs/>
          <w:sz w:val="24"/>
          <w:szCs w:val="22"/>
          <w:lang w:val="en-US" w:eastAsia="zh-CN"/>
        </w:rPr>
        <w:t xml:space="preserve"> </w:t>
      </w:r>
      <w:r>
        <w:rPr>
          <w:rFonts w:hint="default" w:ascii="Times New Roman" w:hAnsi="Times New Roman" w:eastAsia="宋体" w:cs="Times New Roman"/>
          <w:i w:val="0"/>
          <w:iCs w:val="0"/>
          <w:sz w:val="24"/>
          <w:szCs w:val="22"/>
          <w:lang w:eastAsia="zh-CN"/>
        </w:rPr>
        <w:t>H. Lév. &amp; Vaniot</w:t>
      </w:r>
      <w:r>
        <w:rPr>
          <w:rFonts w:hint="default" w:ascii="Times New Roman" w:hAnsi="Times New Roman" w:eastAsia="宋体" w:cs="Times New Roman"/>
          <w:sz w:val="24"/>
          <w:szCs w:val="22"/>
          <w:lang w:eastAsia="zh-CN"/>
        </w:rPr>
        <w:t>)、</w:t>
      </w:r>
      <w:r>
        <w:rPr>
          <w:rFonts w:hint="default" w:ascii="Times New Roman" w:hAnsi="Times New Roman" w:eastAsia="宋体" w:cs="Times New Roman"/>
          <w:sz w:val="24"/>
          <w:szCs w:val="22"/>
          <w:lang w:val="en-US" w:eastAsia="zh-CN"/>
        </w:rPr>
        <w:t>酸模叶蓼(</w:t>
      </w:r>
      <w:r>
        <w:rPr>
          <w:rFonts w:hint="default" w:ascii="Times New Roman" w:hAnsi="Times New Roman" w:eastAsia="宋体" w:cs="Times New Roman"/>
          <w:i/>
          <w:iCs/>
          <w:sz w:val="24"/>
          <w:szCs w:val="22"/>
          <w:lang w:val="en-US" w:eastAsia="zh-CN"/>
        </w:rPr>
        <w:t>Persicaria lapathifolia</w:t>
      </w:r>
      <w:r>
        <w:rPr>
          <w:rFonts w:hint="default" w:ascii="Times New Roman" w:hAnsi="Times New Roman" w:eastAsia="宋体" w:cs="Times New Roman"/>
          <w:sz w:val="24"/>
          <w:szCs w:val="22"/>
          <w:lang w:val="en-US" w:eastAsia="zh-CN"/>
        </w:rPr>
        <w:t xml:space="preserve"> (L.) Delarbre)、野艾蒿(</w:t>
      </w:r>
      <w:r>
        <w:rPr>
          <w:rFonts w:hint="default" w:ascii="Times New Roman" w:hAnsi="Times New Roman" w:eastAsia="宋体" w:cs="Times New Roman"/>
          <w:i/>
          <w:iCs/>
          <w:sz w:val="24"/>
          <w:szCs w:val="22"/>
          <w:lang w:val="en-US" w:eastAsia="zh-CN"/>
        </w:rPr>
        <w:t>Artemisia lavandulifolia</w:t>
      </w:r>
      <w:r>
        <w:rPr>
          <w:rFonts w:hint="default" w:ascii="Times New Roman" w:hAnsi="Times New Roman" w:eastAsia="宋体" w:cs="Times New Roman"/>
          <w:sz w:val="24"/>
          <w:szCs w:val="22"/>
          <w:lang w:val="en-US" w:eastAsia="zh-CN"/>
        </w:rPr>
        <w:t xml:space="preserve"> DC.)、一年蓬(</w:t>
      </w:r>
      <w:r>
        <w:rPr>
          <w:rFonts w:hint="default" w:ascii="Times New Roman" w:hAnsi="Times New Roman" w:eastAsia="宋体" w:cs="Times New Roman"/>
          <w:i/>
          <w:iCs/>
          <w:sz w:val="24"/>
          <w:szCs w:val="22"/>
          <w:lang w:val="en-US" w:eastAsia="zh-CN"/>
        </w:rPr>
        <w:t xml:space="preserve">Erigeron annuus </w:t>
      </w:r>
      <w:r>
        <w:rPr>
          <w:rFonts w:hint="default" w:ascii="Times New Roman" w:hAnsi="Times New Roman" w:eastAsia="宋体" w:cs="Times New Roman"/>
          <w:i w:val="0"/>
          <w:iCs w:val="0"/>
          <w:sz w:val="24"/>
          <w:szCs w:val="22"/>
          <w:lang w:val="en-US" w:eastAsia="zh-CN"/>
        </w:rPr>
        <w:t>(L.) Pers.</w:t>
      </w:r>
      <w:r>
        <w:rPr>
          <w:rFonts w:hint="default" w:ascii="Times New Roman" w:hAnsi="Times New Roman" w:eastAsia="宋体" w:cs="Times New Roman"/>
          <w:sz w:val="24"/>
          <w:szCs w:val="22"/>
          <w:lang w:val="en-US" w:eastAsia="zh-CN"/>
        </w:rPr>
        <w:t>)</w:t>
      </w:r>
      <w:r>
        <w:rPr>
          <w:rFonts w:hint="default" w:ascii="Times New Roman" w:hAnsi="Times New Roman" w:eastAsia="宋体" w:cs="Times New Roman"/>
          <w:sz w:val="24"/>
          <w:szCs w:val="22"/>
        </w:rPr>
        <w:t>等。</w:t>
      </w:r>
    </w:p>
    <w:p w14:paraId="48D2FCE7">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重要植物物种</w:t>
      </w:r>
    </w:p>
    <w:p w14:paraId="6B4873C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aps w:val="0"/>
          <w:smallCaps w:val="0"/>
          <w:snapToGrid/>
          <w:color w:val="auto"/>
          <w:spacing w:val="0"/>
          <w:kern w:val="0"/>
          <w:sz w:val="24"/>
          <w:szCs w:val="24"/>
          <w:highlight w:val="none"/>
          <w:u w:val="none"/>
        </w:rPr>
      </w:pPr>
      <w:r>
        <w:rPr>
          <w:rFonts w:hint="default" w:ascii="Times New Roman" w:hAnsi="Times New Roman" w:eastAsia="宋体" w:cs="Times New Roman"/>
          <w:bCs/>
          <w:caps w:val="0"/>
          <w:smallCaps w:val="0"/>
          <w:snapToGrid/>
          <w:color w:val="auto"/>
          <w:spacing w:val="0"/>
          <w:kern w:val="0"/>
          <w:sz w:val="24"/>
          <w:szCs w:val="24"/>
          <w:highlight w:val="none"/>
          <w:u w:val="none"/>
        </w:rPr>
        <w:t>（1）重点野生保护植物</w:t>
      </w:r>
    </w:p>
    <w:p w14:paraId="7BBB044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aps w:val="0"/>
          <w:smallCaps w:val="0"/>
          <w:snapToGrid/>
          <w:color w:val="auto"/>
          <w:spacing w:val="0"/>
          <w:kern w:val="0"/>
          <w:sz w:val="24"/>
          <w:szCs w:val="24"/>
          <w:highlight w:val="none"/>
          <w:u w:val="none"/>
        </w:rPr>
      </w:pPr>
      <w:r>
        <w:rPr>
          <w:rFonts w:hint="default" w:ascii="Times New Roman" w:hAnsi="Times New Roman" w:eastAsia="宋体" w:cs="Times New Roman"/>
          <w:bCs/>
          <w:caps w:val="0"/>
          <w:smallCaps w:val="0"/>
          <w:snapToGrid/>
          <w:color w:val="auto"/>
          <w:spacing w:val="0"/>
          <w:kern w:val="0"/>
          <w:sz w:val="24"/>
          <w:szCs w:val="24"/>
          <w:highlight w:val="none"/>
          <w:u w:val="none"/>
        </w:rPr>
        <w:t>评价区国家重点保护野生植物根据《国家重点保护野生植物名录》（第一批）（国务院，1999年8月）</w:t>
      </w:r>
      <w:r>
        <w:rPr>
          <w:rFonts w:hint="default" w:ascii="Times New Roman" w:hAnsi="Times New Roman" w:eastAsia="宋体" w:cs="Times New Roman"/>
          <w:bCs/>
          <w:caps w:val="0"/>
          <w:smallCaps w:val="0"/>
          <w:snapToGrid/>
          <w:color w:val="auto"/>
          <w:spacing w:val="0"/>
          <w:kern w:val="0"/>
          <w:sz w:val="24"/>
          <w:szCs w:val="24"/>
          <w:highlight w:val="none"/>
          <w:u w:val="none"/>
          <w:lang w:eastAsia="zh-CN"/>
        </w:rPr>
        <w:t>、</w:t>
      </w:r>
      <w:r>
        <w:rPr>
          <w:rFonts w:hint="default" w:ascii="Times New Roman" w:hAnsi="Times New Roman" w:eastAsia="宋体" w:cs="Times New Roman"/>
          <w:bCs/>
          <w:caps w:val="0"/>
          <w:smallCaps w:val="0"/>
          <w:snapToGrid/>
          <w:color w:val="auto"/>
          <w:spacing w:val="0"/>
          <w:kern w:val="0"/>
          <w:sz w:val="24"/>
          <w:szCs w:val="24"/>
          <w:highlight w:val="none"/>
          <w:u w:val="none"/>
        </w:rPr>
        <w:t>《湖南省地方重点保护野生植物名录》（2002年9月修订）及本工程所在行政区内关于重点保护野生植物的相关资料</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确定</w:t>
      </w:r>
      <w:r>
        <w:rPr>
          <w:rFonts w:hint="default" w:ascii="Times New Roman" w:hAnsi="Times New Roman" w:eastAsia="宋体" w:cs="Times New Roman"/>
          <w:bCs/>
          <w:caps w:val="0"/>
          <w:smallCaps w:val="0"/>
          <w:snapToGrid/>
          <w:color w:val="auto"/>
          <w:spacing w:val="0"/>
          <w:kern w:val="0"/>
          <w:sz w:val="24"/>
          <w:szCs w:val="24"/>
          <w:highlight w:val="none"/>
          <w:u w:val="none"/>
        </w:rPr>
        <w:t>，结合现场调查，评价范围内未发现</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重点</w:t>
      </w:r>
      <w:r>
        <w:rPr>
          <w:rFonts w:hint="default" w:ascii="Times New Roman" w:hAnsi="Times New Roman" w:eastAsia="宋体" w:cs="Times New Roman"/>
          <w:bCs/>
          <w:caps w:val="0"/>
          <w:smallCaps w:val="0"/>
          <w:snapToGrid/>
          <w:color w:val="auto"/>
          <w:spacing w:val="0"/>
          <w:kern w:val="0"/>
          <w:sz w:val="24"/>
          <w:szCs w:val="24"/>
          <w:highlight w:val="none"/>
          <w:u w:val="none"/>
        </w:rPr>
        <w:t>野生保护植物分布。</w:t>
      </w:r>
    </w:p>
    <w:p w14:paraId="5D7F303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aps w:val="0"/>
          <w:smallCaps w:val="0"/>
          <w:snapToGrid/>
          <w:color w:val="auto"/>
          <w:spacing w:val="0"/>
          <w:kern w:val="0"/>
          <w:sz w:val="24"/>
          <w:szCs w:val="24"/>
          <w:highlight w:val="none"/>
          <w:u w:val="none"/>
        </w:rPr>
      </w:pPr>
      <w:r>
        <w:rPr>
          <w:rFonts w:hint="default" w:ascii="Times New Roman" w:hAnsi="Times New Roman" w:eastAsia="宋体" w:cs="Times New Roman"/>
          <w:bCs/>
          <w:caps w:val="0"/>
          <w:smallCaps w:val="0"/>
          <w:snapToGrid/>
          <w:color w:val="auto"/>
          <w:spacing w:val="0"/>
          <w:kern w:val="0"/>
          <w:sz w:val="24"/>
          <w:szCs w:val="24"/>
          <w:highlight w:val="none"/>
          <w:u w:val="none"/>
        </w:rPr>
        <w:t>（2）古树名木</w:t>
      </w:r>
    </w:p>
    <w:p w14:paraId="2D36111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aps w:val="0"/>
          <w:smallCaps w:val="0"/>
          <w:snapToGrid/>
          <w:color w:val="auto"/>
          <w:spacing w:val="0"/>
          <w:kern w:val="0"/>
          <w:sz w:val="24"/>
          <w:szCs w:val="24"/>
          <w:highlight w:val="none"/>
          <w:u w:val="none"/>
        </w:rPr>
      </w:pPr>
      <w:r>
        <w:rPr>
          <w:rFonts w:hint="default" w:ascii="Times New Roman" w:hAnsi="Times New Roman" w:eastAsia="宋体" w:cs="Times New Roman"/>
          <w:bCs/>
          <w:caps w:val="0"/>
          <w:smallCaps w:val="0"/>
          <w:snapToGrid/>
          <w:color w:val="auto"/>
          <w:spacing w:val="0"/>
          <w:kern w:val="0"/>
          <w:sz w:val="24"/>
          <w:szCs w:val="24"/>
          <w:highlight w:val="none"/>
          <w:u w:val="none"/>
        </w:rPr>
        <w:t>参考《湖南古树名木》（邓三龙等，2011年）及本工程所在行政区内关于古树名木及其分布资料，并对项目所在区域的林业局、附近村民进行访问调查及现场实地调查，在评价区发现</w:t>
      </w:r>
      <w:r>
        <w:rPr>
          <w:rFonts w:hint="default" w:ascii="Times New Roman" w:hAnsi="Times New Roman" w:eastAsia="宋体" w:cs="Times New Roman"/>
          <w:bCs/>
          <w:caps w:val="0"/>
          <w:smallCaps w:val="0"/>
          <w:snapToGrid/>
          <w:color w:val="auto"/>
          <w:spacing w:val="0"/>
          <w:kern w:val="0"/>
          <w:sz w:val="24"/>
          <w:szCs w:val="24"/>
          <w:highlight w:val="none"/>
          <w:u w:val="none"/>
          <w:lang w:val="en-US" w:eastAsia="zh-CN"/>
        </w:rPr>
        <w:t>2株</w:t>
      </w:r>
      <w:r>
        <w:rPr>
          <w:rFonts w:hint="default" w:ascii="Times New Roman" w:hAnsi="Times New Roman" w:eastAsia="宋体" w:cs="Times New Roman"/>
          <w:bCs/>
          <w:caps w:val="0"/>
          <w:smallCaps w:val="0"/>
          <w:snapToGrid/>
          <w:color w:val="auto"/>
          <w:spacing w:val="0"/>
          <w:kern w:val="0"/>
          <w:sz w:val="24"/>
          <w:szCs w:val="24"/>
          <w:highlight w:val="none"/>
          <w:u w:val="none"/>
        </w:rPr>
        <w:t>古树。</w:t>
      </w:r>
    </w:p>
    <w:p w14:paraId="0B66B810">
      <w:pPr>
        <w:pStyle w:val="6"/>
        <w:keepNext w:val="0"/>
        <w:keepLines w:val="0"/>
        <w:pageBreakBefore w:val="0"/>
        <w:widowControl w:val="0"/>
        <w:kinsoku w:val="0"/>
        <w:wordWrap w:val="0"/>
        <w:overflowPunct/>
        <w:topLinePunct/>
        <w:autoSpaceDE/>
        <w:autoSpaceDN/>
        <w:bidi w:val="0"/>
        <w:adjustRightInd/>
        <w:snapToGrid/>
        <w:spacing w:before="0" w:beforeLines="50" w:line="360" w:lineRule="auto"/>
        <w:ind w:left="0" w:leftChars="0" w:firstLine="0" w:firstLineChars="0"/>
        <w:jc w:val="center"/>
        <w:textAlignment w:val="auto"/>
        <w:rPr>
          <w:rFonts w:hint="default" w:ascii="Times New Roman" w:hAnsi="Times New Roman" w:eastAsia="宋体" w:cs="Times New Roman"/>
          <w:b/>
          <w:caps w:val="0"/>
          <w:smallCaps w:val="0"/>
          <w:color w:val="auto"/>
          <w:spacing w:val="0"/>
          <w:w w:val="100"/>
          <w:position w:val="0"/>
          <w:sz w:val="21"/>
          <w:szCs w:val="21"/>
          <w:u w:val="none" w:color="auto"/>
          <w:lang w:val="en-US" w:eastAsia="zh-CN"/>
        </w:rPr>
      </w:pP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表3.3-</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begin"/>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instrText xml:space="preserve"> SEQ 表 \* ARABIC \s 1 </w:instrTex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separate"/>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6</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end"/>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古树名木调查结果统计表</w:t>
      </w:r>
    </w:p>
    <w:tbl>
      <w:tblPr>
        <w:tblStyle w:val="3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48"/>
        <w:gridCol w:w="1623"/>
        <w:gridCol w:w="1839"/>
        <w:gridCol w:w="781"/>
        <w:gridCol w:w="1663"/>
        <w:gridCol w:w="1973"/>
      </w:tblGrid>
      <w:tr w14:paraId="17F973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1" w:type="pct"/>
            <w:tcBorders>
              <w:tl2br w:val="nil"/>
              <w:tr2bl w:val="nil"/>
            </w:tcBorders>
            <w:shd w:val="clear" w:color="auto" w:fill="auto"/>
            <w:vAlign w:val="center"/>
          </w:tcPr>
          <w:p w14:paraId="0E68E0E1">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r>
              <w:rPr>
                <w:rFonts w:hint="default" w:ascii="Times New Roman" w:hAnsi="Times New Roman" w:eastAsia="宋体" w:cs="Times New Roman"/>
                <w:b/>
                <w:caps w:val="0"/>
                <w:smallCaps w:val="0"/>
                <w:sz w:val="18"/>
                <w:szCs w:val="18"/>
              </w:rPr>
              <w:t>序号</w:t>
            </w:r>
          </w:p>
        </w:tc>
        <w:tc>
          <w:tcPr>
            <w:tcW w:w="932" w:type="pct"/>
            <w:tcBorders>
              <w:tl2br w:val="nil"/>
              <w:tr2bl w:val="nil"/>
            </w:tcBorders>
            <w:shd w:val="clear" w:color="auto" w:fill="auto"/>
            <w:vAlign w:val="center"/>
          </w:tcPr>
          <w:p w14:paraId="53560A8A">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r>
              <w:rPr>
                <w:rFonts w:hint="default" w:ascii="Times New Roman" w:hAnsi="Times New Roman" w:eastAsia="宋体" w:cs="Times New Roman"/>
                <w:b/>
                <w:caps w:val="0"/>
                <w:smallCaps w:val="0"/>
                <w:sz w:val="18"/>
                <w:szCs w:val="18"/>
                <w:lang w:val="en-US" w:eastAsia="zh-CN"/>
              </w:rPr>
              <w:t>树种</w:t>
            </w:r>
            <w:r>
              <w:rPr>
                <w:rFonts w:hint="default" w:ascii="Times New Roman" w:hAnsi="Times New Roman" w:eastAsia="宋体" w:cs="Times New Roman"/>
                <w:b/>
                <w:caps w:val="0"/>
                <w:smallCaps w:val="0"/>
                <w:sz w:val="18"/>
                <w:szCs w:val="18"/>
              </w:rPr>
              <w:t>名称</w:t>
            </w:r>
          </w:p>
        </w:tc>
        <w:tc>
          <w:tcPr>
            <w:tcW w:w="1057" w:type="pct"/>
            <w:tcBorders>
              <w:tl2br w:val="nil"/>
              <w:tr2bl w:val="nil"/>
            </w:tcBorders>
            <w:shd w:val="clear" w:color="auto" w:fill="auto"/>
            <w:vAlign w:val="center"/>
          </w:tcPr>
          <w:p w14:paraId="22D1E6D4">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lang w:val="en-US" w:eastAsia="zh-CN"/>
              </w:rPr>
            </w:pPr>
            <w:r>
              <w:rPr>
                <w:rFonts w:hint="default" w:ascii="Times New Roman" w:hAnsi="Times New Roman" w:eastAsia="宋体" w:cs="Times New Roman"/>
                <w:b/>
                <w:caps w:val="0"/>
                <w:smallCaps w:val="0"/>
                <w:sz w:val="18"/>
                <w:szCs w:val="18"/>
                <w:lang w:val="en-US" w:eastAsia="zh-CN"/>
              </w:rPr>
              <w:t>生长状况</w:t>
            </w:r>
          </w:p>
        </w:tc>
        <w:tc>
          <w:tcPr>
            <w:tcW w:w="466" w:type="pct"/>
            <w:tcBorders>
              <w:tl2br w:val="nil"/>
              <w:tr2bl w:val="nil"/>
            </w:tcBorders>
            <w:shd w:val="clear" w:color="auto" w:fill="auto"/>
            <w:vAlign w:val="center"/>
          </w:tcPr>
          <w:p w14:paraId="5CA9F7B2">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lang w:eastAsia="zh-CN"/>
              </w:rPr>
            </w:pPr>
            <w:r>
              <w:rPr>
                <w:rFonts w:hint="default" w:ascii="Times New Roman" w:hAnsi="Times New Roman" w:eastAsia="宋体" w:cs="Times New Roman"/>
                <w:b/>
                <w:caps w:val="0"/>
                <w:smallCaps w:val="0"/>
                <w:sz w:val="18"/>
                <w:szCs w:val="18"/>
                <w:lang w:val="en-US" w:eastAsia="zh-CN"/>
              </w:rPr>
              <w:t>树龄</w:t>
            </w:r>
          </w:p>
        </w:tc>
        <w:tc>
          <w:tcPr>
            <w:tcW w:w="994" w:type="pct"/>
            <w:tcBorders>
              <w:tl2br w:val="nil"/>
              <w:tr2bl w:val="nil"/>
            </w:tcBorders>
            <w:shd w:val="clear" w:color="auto" w:fill="auto"/>
            <w:vAlign w:val="center"/>
          </w:tcPr>
          <w:p w14:paraId="02B7552D">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lang w:val="en-US" w:eastAsia="zh-CN"/>
              </w:rPr>
            </w:pPr>
            <w:r>
              <w:rPr>
                <w:rFonts w:hint="default" w:ascii="Times New Roman" w:hAnsi="Times New Roman" w:eastAsia="宋体" w:cs="Times New Roman"/>
                <w:b/>
                <w:caps w:val="0"/>
                <w:smallCaps w:val="0"/>
                <w:sz w:val="18"/>
                <w:szCs w:val="18"/>
                <w:lang w:val="en-US" w:eastAsia="zh-CN"/>
              </w:rPr>
              <w:t>经纬度和海拔</w:t>
            </w:r>
          </w:p>
        </w:tc>
        <w:tc>
          <w:tcPr>
            <w:tcW w:w="1179" w:type="pct"/>
            <w:tcBorders>
              <w:tl2br w:val="nil"/>
              <w:tr2bl w:val="nil"/>
            </w:tcBorders>
            <w:shd w:val="clear" w:color="auto" w:fill="auto"/>
            <w:vAlign w:val="center"/>
          </w:tcPr>
          <w:p w14:paraId="4783CB65">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r>
              <w:rPr>
                <w:rFonts w:hint="default" w:ascii="Times New Roman" w:hAnsi="Times New Roman" w:eastAsia="宋体" w:cs="Times New Roman"/>
                <w:b/>
                <w:caps w:val="0"/>
                <w:smallCaps w:val="0"/>
                <w:sz w:val="18"/>
                <w:szCs w:val="18"/>
              </w:rPr>
              <w:t>工程占用情况（是/否）</w:t>
            </w:r>
          </w:p>
        </w:tc>
      </w:tr>
      <w:tr w14:paraId="6BFBFA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1" w:type="pct"/>
            <w:tcBorders>
              <w:tl2br w:val="nil"/>
              <w:tr2bl w:val="nil"/>
            </w:tcBorders>
            <w:shd w:val="clear" w:color="auto" w:fill="auto"/>
            <w:vAlign w:val="center"/>
          </w:tcPr>
          <w:p w14:paraId="5987BD73">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1</w:t>
            </w:r>
          </w:p>
        </w:tc>
        <w:tc>
          <w:tcPr>
            <w:tcW w:w="932" w:type="pct"/>
            <w:tcBorders>
              <w:tl2br w:val="nil"/>
              <w:tr2bl w:val="nil"/>
            </w:tcBorders>
            <w:shd w:val="clear" w:color="auto" w:fill="auto"/>
            <w:vAlign w:val="center"/>
          </w:tcPr>
          <w:p w14:paraId="51E99701">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kern w:val="2"/>
                <w:sz w:val="24"/>
                <w:szCs w:val="21"/>
                <w:lang w:val="en-US" w:eastAsia="zh-CN" w:bidi="ar-SA"/>
              </w:rPr>
            </w:pPr>
            <w:r>
              <w:rPr>
                <w:rFonts w:hint="default" w:ascii="Times New Roman" w:hAnsi="Times New Roman" w:eastAsia="宋体" w:cs="Times New Roman"/>
                <w:caps w:val="0"/>
                <w:smallCaps w:val="0"/>
                <w:kern w:val="2"/>
                <w:sz w:val="18"/>
                <w:szCs w:val="18"/>
                <w:lang w:val="en-US" w:eastAsia="zh-CN" w:bidi="ar-SA"/>
              </w:rPr>
              <w:t>樟</w:t>
            </w:r>
            <w:r>
              <w:rPr>
                <w:rFonts w:hint="default" w:ascii="Times New Roman" w:hAnsi="Times New Roman" w:eastAsia="宋体" w:cs="Times New Roman"/>
                <w:i/>
                <w:iCs/>
                <w:caps w:val="0"/>
                <w:smallCaps w:val="0"/>
                <w:kern w:val="2"/>
                <w:sz w:val="18"/>
                <w:szCs w:val="18"/>
                <w:lang w:val="en-US" w:eastAsia="zh-CN" w:bidi="ar-SA"/>
              </w:rPr>
              <w:t>Camphora officinarum Nees</w:t>
            </w:r>
          </w:p>
        </w:tc>
        <w:tc>
          <w:tcPr>
            <w:tcW w:w="1057" w:type="pct"/>
            <w:tcBorders>
              <w:tl2br w:val="nil"/>
              <w:tr2bl w:val="nil"/>
            </w:tcBorders>
            <w:shd w:val="clear" w:color="auto" w:fill="auto"/>
            <w:vAlign w:val="center"/>
          </w:tcPr>
          <w:p w14:paraId="57CE4B4A">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胸径62cm、树高10m、冠幅8m</w:t>
            </w:r>
          </w:p>
        </w:tc>
        <w:tc>
          <w:tcPr>
            <w:tcW w:w="466" w:type="pct"/>
            <w:tcBorders>
              <w:tl2br w:val="nil"/>
              <w:tr2bl w:val="nil"/>
            </w:tcBorders>
            <w:shd w:val="clear" w:color="auto" w:fill="auto"/>
            <w:vAlign w:val="center"/>
          </w:tcPr>
          <w:p w14:paraId="1C83112E">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100年</w:t>
            </w:r>
          </w:p>
        </w:tc>
        <w:tc>
          <w:tcPr>
            <w:tcW w:w="994" w:type="pct"/>
            <w:tcBorders>
              <w:tl2br w:val="nil"/>
              <w:tr2bl w:val="nil"/>
            </w:tcBorders>
            <w:shd w:val="clear" w:color="auto" w:fill="auto"/>
            <w:vAlign w:val="center"/>
          </w:tcPr>
          <w:p w14:paraId="5F9ADFAE">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E 112°44′6.43031″</w:t>
            </w:r>
          </w:p>
          <w:p w14:paraId="4A2CADA8">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N 29°38′6.39506″</w:t>
            </w:r>
          </w:p>
          <w:p w14:paraId="7B8A8E78">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海拔68m</w:t>
            </w:r>
          </w:p>
        </w:tc>
        <w:tc>
          <w:tcPr>
            <w:tcW w:w="1179" w:type="pct"/>
            <w:tcBorders>
              <w:tl2br w:val="nil"/>
              <w:tr2bl w:val="nil"/>
            </w:tcBorders>
            <w:shd w:val="clear" w:color="auto" w:fill="auto"/>
            <w:vAlign w:val="center"/>
          </w:tcPr>
          <w:p w14:paraId="5E88849D">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否，距离东山水库边界30m</w:t>
            </w:r>
          </w:p>
        </w:tc>
      </w:tr>
      <w:tr w14:paraId="2EE6C5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360" w:type="pct"/>
            <w:gridSpan w:val="3"/>
            <w:tcBorders>
              <w:tl2br w:val="nil"/>
              <w:tr2bl w:val="nil"/>
            </w:tcBorders>
            <w:shd w:val="clear" w:color="auto" w:fill="auto"/>
            <w:vAlign w:val="center"/>
          </w:tcPr>
          <w:p w14:paraId="1EA74E1D">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drawing>
                <wp:inline distT="0" distB="0" distL="114300" distR="114300">
                  <wp:extent cx="2400300" cy="3200400"/>
                  <wp:effectExtent l="0" t="0" r="0" b="0"/>
                  <wp:docPr id="8" name="图片 8" descr="IMG_20240525_10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40525_101002"/>
                          <pic:cNvPicPr>
                            <a:picLocks noChangeAspect="1"/>
                          </pic:cNvPicPr>
                        </pic:nvPicPr>
                        <pic:blipFill>
                          <a:blip r:embed="rId58"/>
                          <a:stretch>
                            <a:fillRect/>
                          </a:stretch>
                        </pic:blipFill>
                        <pic:spPr>
                          <a:xfrm>
                            <a:off x="0" y="0"/>
                            <a:ext cx="2400300" cy="3200400"/>
                          </a:xfrm>
                          <a:prstGeom prst="rect">
                            <a:avLst/>
                          </a:prstGeom>
                        </pic:spPr>
                      </pic:pic>
                    </a:graphicData>
                  </a:graphic>
                </wp:inline>
              </w:drawing>
            </w:r>
          </w:p>
        </w:tc>
        <w:tc>
          <w:tcPr>
            <w:tcW w:w="2639" w:type="pct"/>
            <w:gridSpan w:val="3"/>
            <w:tcBorders>
              <w:tl2br w:val="nil"/>
              <w:tr2bl w:val="nil"/>
            </w:tcBorders>
            <w:shd w:val="clear" w:color="auto" w:fill="auto"/>
            <w:vAlign w:val="center"/>
          </w:tcPr>
          <w:p w14:paraId="54FBF551">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drawing>
                <wp:inline distT="0" distB="0" distL="114300" distR="114300">
                  <wp:extent cx="2366645" cy="3155315"/>
                  <wp:effectExtent l="0" t="0" r="5080" b="6985"/>
                  <wp:docPr id="56" name="图片 56" descr="IMG_20240525_10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20240525_101015"/>
                          <pic:cNvPicPr>
                            <a:picLocks noChangeAspect="1"/>
                          </pic:cNvPicPr>
                        </pic:nvPicPr>
                        <pic:blipFill>
                          <a:blip r:embed="rId59"/>
                          <a:stretch>
                            <a:fillRect/>
                          </a:stretch>
                        </pic:blipFill>
                        <pic:spPr>
                          <a:xfrm>
                            <a:off x="0" y="0"/>
                            <a:ext cx="2366645" cy="3155315"/>
                          </a:xfrm>
                          <a:prstGeom prst="rect">
                            <a:avLst/>
                          </a:prstGeom>
                        </pic:spPr>
                      </pic:pic>
                    </a:graphicData>
                  </a:graphic>
                </wp:inline>
              </w:drawing>
            </w:r>
          </w:p>
        </w:tc>
      </w:tr>
      <w:tr w14:paraId="48BD89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71" w:type="pct"/>
            <w:tcBorders>
              <w:tl2br w:val="nil"/>
              <w:tr2bl w:val="nil"/>
            </w:tcBorders>
            <w:shd w:val="clear" w:color="auto" w:fill="auto"/>
            <w:vAlign w:val="center"/>
          </w:tcPr>
          <w:p w14:paraId="088D12DF">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2</w:t>
            </w:r>
          </w:p>
        </w:tc>
        <w:tc>
          <w:tcPr>
            <w:tcW w:w="932" w:type="pct"/>
            <w:tcBorders>
              <w:tl2br w:val="nil"/>
              <w:tr2bl w:val="nil"/>
            </w:tcBorders>
            <w:shd w:val="clear" w:color="auto" w:fill="auto"/>
            <w:vAlign w:val="center"/>
          </w:tcPr>
          <w:p w14:paraId="1012E492">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kern w:val="2"/>
                <w:sz w:val="18"/>
                <w:szCs w:val="18"/>
                <w:lang w:val="en-US" w:eastAsia="zh-CN" w:bidi="ar-SA"/>
              </w:rPr>
            </w:pPr>
            <w:r>
              <w:rPr>
                <w:rFonts w:hint="default" w:ascii="Times New Roman" w:hAnsi="Times New Roman" w:eastAsia="宋体" w:cs="Times New Roman"/>
                <w:caps w:val="0"/>
                <w:smallCaps w:val="0"/>
                <w:kern w:val="2"/>
                <w:sz w:val="18"/>
                <w:szCs w:val="18"/>
                <w:lang w:val="en-US" w:eastAsia="zh-CN" w:bidi="ar-SA"/>
              </w:rPr>
              <w:t>银杏</w:t>
            </w:r>
            <w:r>
              <w:rPr>
                <w:rFonts w:hint="default" w:ascii="Times New Roman" w:hAnsi="Times New Roman" w:eastAsia="宋体" w:cs="Times New Roman"/>
                <w:i/>
                <w:iCs/>
                <w:caps w:val="0"/>
                <w:smallCaps w:val="0"/>
                <w:kern w:val="2"/>
                <w:sz w:val="18"/>
                <w:szCs w:val="18"/>
                <w:lang w:val="en-US" w:eastAsia="zh-CN" w:bidi="ar-SA"/>
              </w:rPr>
              <w:t>Ginkgo biloba </w:t>
            </w:r>
            <w:r>
              <w:rPr>
                <w:rFonts w:hint="default" w:ascii="Times New Roman" w:hAnsi="Times New Roman" w:eastAsia="宋体" w:cs="Times New Roman"/>
                <w:caps w:val="0"/>
                <w:smallCaps w:val="0"/>
                <w:kern w:val="2"/>
                <w:sz w:val="18"/>
                <w:szCs w:val="18"/>
                <w:lang w:val="en-US" w:eastAsia="zh-CN" w:bidi="ar-SA"/>
              </w:rPr>
              <w:t>L.</w:t>
            </w:r>
          </w:p>
        </w:tc>
        <w:tc>
          <w:tcPr>
            <w:tcW w:w="1057" w:type="pct"/>
            <w:tcBorders>
              <w:tl2br w:val="nil"/>
              <w:tr2bl w:val="nil"/>
            </w:tcBorders>
            <w:shd w:val="clear" w:color="auto" w:fill="auto"/>
            <w:vAlign w:val="center"/>
          </w:tcPr>
          <w:p w14:paraId="04B219CC">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胸径70cm、树高12m、冠幅8m</w:t>
            </w:r>
          </w:p>
        </w:tc>
        <w:tc>
          <w:tcPr>
            <w:tcW w:w="466" w:type="pct"/>
            <w:tcBorders>
              <w:tl2br w:val="nil"/>
              <w:tr2bl w:val="nil"/>
            </w:tcBorders>
            <w:shd w:val="clear" w:color="auto" w:fill="auto"/>
            <w:vAlign w:val="center"/>
          </w:tcPr>
          <w:p w14:paraId="7244599A">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500</w:t>
            </w:r>
          </w:p>
        </w:tc>
        <w:tc>
          <w:tcPr>
            <w:tcW w:w="1695" w:type="dxa"/>
            <w:tcBorders>
              <w:tl2br w:val="nil"/>
              <w:tr2bl w:val="nil"/>
            </w:tcBorders>
            <w:shd w:val="clear" w:color="auto" w:fill="auto"/>
            <w:vAlign w:val="center"/>
          </w:tcPr>
          <w:p w14:paraId="7A24589D">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E 112°44′23.50262″</w:t>
            </w:r>
          </w:p>
          <w:p w14:paraId="553FFEB0">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N 29°39′3.79285″</w:t>
            </w:r>
          </w:p>
          <w:p w14:paraId="15ADA792">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海拔118m</w:t>
            </w:r>
          </w:p>
        </w:tc>
        <w:tc>
          <w:tcPr>
            <w:tcW w:w="2010" w:type="dxa"/>
            <w:tcBorders>
              <w:tl2br w:val="nil"/>
              <w:tr2bl w:val="nil"/>
            </w:tcBorders>
            <w:shd w:val="clear" w:color="auto" w:fill="auto"/>
            <w:vAlign w:val="center"/>
          </w:tcPr>
          <w:p w14:paraId="638AF0E1">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否，距离东山水库边界1.8km</w:t>
            </w:r>
          </w:p>
        </w:tc>
      </w:tr>
      <w:tr w14:paraId="1F72BF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360" w:type="pct"/>
            <w:gridSpan w:val="3"/>
            <w:tcBorders>
              <w:tl2br w:val="nil"/>
              <w:tr2bl w:val="nil"/>
            </w:tcBorders>
            <w:shd w:val="clear" w:color="auto" w:fill="auto"/>
            <w:vAlign w:val="center"/>
          </w:tcPr>
          <w:p w14:paraId="0E0567A9">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drawing>
                <wp:inline distT="0" distB="0" distL="114300" distR="114300">
                  <wp:extent cx="2491105" cy="1868805"/>
                  <wp:effectExtent l="0" t="0" r="8255" b="5715"/>
                  <wp:docPr id="37" name="图片 37" descr="银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银杏1"/>
                          <pic:cNvPicPr>
                            <a:picLocks noChangeAspect="1"/>
                          </pic:cNvPicPr>
                        </pic:nvPicPr>
                        <pic:blipFill>
                          <a:blip r:embed="rId60"/>
                          <a:stretch>
                            <a:fillRect/>
                          </a:stretch>
                        </pic:blipFill>
                        <pic:spPr>
                          <a:xfrm>
                            <a:off x="0" y="0"/>
                            <a:ext cx="2491105" cy="1868805"/>
                          </a:xfrm>
                          <a:prstGeom prst="rect">
                            <a:avLst/>
                          </a:prstGeom>
                        </pic:spPr>
                      </pic:pic>
                    </a:graphicData>
                  </a:graphic>
                </wp:inline>
              </w:drawing>
            </w:r>
          </w:p>
        </w:tc>
        <w:tc>
          <w:tcPr>
            <w:tcW w:w="2639" w:type="pct"/>
            <w:gridSpan w:val="3"/>
            <w:tcBorders>
              <w:tl2br w:val="nil"/>
              <w:tr2bl w:val="nil"/>
            </w:tcBorders>
            <w:shd w:val="clear" w:color="auto" w:fill="auto"/>
            <w:vAlign w:val="center"/>
          </w:tcPr>
          <w:p w14:paraId="0EBD16C1">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drawing>
                <wp:inline distT="0" distB="0" distL="114300" distR="114300">
                  <wp:extent cx="2692400" cy="2019300"/>
                  <wp:effectExtent l="0" t="0" r="5080" b="7620"/>
                  <wp:docPr id="57" name="图片 57" descr="银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银杏2"/>
                          <pic:cNvPicPr>
                            <a:picLocks noChangeAspect="1"/>
                          </pic:cNvPicPr>
                        </pic:nvPicPr>
                        <pic:blipFill>
                          <a:blip r:embed="rId61"/>
                          <a:stretch>
                            <a:fillRect/>
                          </a:stretch>
                        </pic:blipFill>
                        <pic:spPr>
                          <a:xfrm>
                            <a:off x="0" y="0"/>
                            <a:ext cx="2692400" cy="2019300"/>
                          </a:xfrm>
                          <a:prstGeom prst="rect">
                            <a:avLst/>
                          </a:prstGeom>
                        </pic:spPr>
                      </pic:pic>
                    </a:graphicData>
                  </a:graphic>
                </wp:inline>
              </w:drawing>
            </w:r>
          </w:p>
        </w:tc>
      </w:tr>
    </w:tbl>
    <w:p w14:paraId="0D0D28E3">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外来入侵物种</w:t>
      </w:r>
      <w:bookmarkEnd w:id="232"/>
      <w:bookmarkEnd w:id="233"/>
      <w:bookmarkEnd w:id="234"/>
      <w:bookmarkEnd w:id="235"/>
    </w:p>
    <w:p w14:paraId="45DAE5D3">
      <w:pPr>
        <w:adjustRightInd w:val="0"/>
        <w:snapToGrid w:val="0"/>
        <w:spacing w:line="460" w:lineRule="exact"/>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lang w:eastAsia="zh-CN"/>
        </w:rPr>
      </w:pPr>
      <w:r>
        <w:rPr>
          <w:rFonts w:hint="default" w:ascii="Times New Roman" w:hAnsi="Times New Roman" w:eastAsia="宋体" w:cs="Times New Roman"/>
          <w:bCs/>
          <w:caps w:val="0"/>
          <w:smallCaps w:val="0"/>
          <w:snapToGrid/>
          <w:color w:val="auto"/>
          <w:spacing w:val="0"/>
          <w:kern w:val="0"/>
          <w:sz w:val="24"/>
          <w:szCs w:val="24"/>
          <w:highlight w:val="none"/>
          <w:u w:val="none"/>
        </w:rPr>
        <w:t>外来物种入侵是造成生物多样性下降的直接原因之一。《生物多样性公约》明确要求，防止引进、控制或消除那些威胁到生态系统、生境或物种的外来物种。依据原环境保护部发布的《中国自然生态系统外来入侵物种名单（第一批）》、《中国自然生态系统外来入侵物种名单（第二批）》、《中国自然生态系统外来入侵物种名单（第三批）》、《中国自然生态系统外来入侵物种名单（第四批）》确定外来物种，</w:t>
      </w:r>
      <w:r>
        <w:rPr>
          <w:rFonts w:hint="default" w:ascii="Times New Roman" w:hAnsi="Times New Roman" w:eastAsia="宋体" w:cs="Times New Roman"/>
          <w:caps w:val="0"/>
          <w:smallCaps w:val="0"/>
          <w:snapToGrid/>
          <w:color w:val="auto"/>
          <w:spacing w:val="0"/>
          <w:kern w:val="0"/>
          <w:sz w:val="24"/>
          <w:szCs w:val="24"/>
          <w:highlight w:val="none"/>
          <w:u w:val="none"/>
        </w:rPr>
        <w:t>通过现场实地调查，在评价区发现有外来入侵种</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垂序商陆、小蓬草、一年蓬</w:t>
      </w:r>
      <w:r>
        <w:rPr>
          <w:rFonts w:hint="default" w:ascii="Times New Roman" w:hAnsi="Times New Roman" w:eastAsia="宋体" w:cs="Times New Roman"/>
          <w:caps w:val="0"/>
          <w:smallCaps w:val="0"/>
          <w:snapToGrid/>
          <w:color w:val="auto"/>
          <w:spacing w:val="0"/>
          <w:kern w:val="0"/>
          <w:sz w:val="24"/>
          <w:szCs w:val="24"/>
          <w:highlight w:val="none"/>
          <w:u w:val="none"/>
        </w:rPr>
        <w:t>分布，其多零星分布于评价区人为活动较多的村落及道路旁，危害程度较小</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w:t>
      </w:r>
    </w:p>
    <w:p w14:paraId="4E1FEB2A">
      <w:pPr>
        <w:pStyle w:val="5"/>
        <w:bidi w:val="0"/>
        <w:rPr>
          <w:rFonts w:hint="default" w:ascii="Times New Roman" w:hAnsi="Times New Roman" w:cs="Times New Roman"/>
          <w:lang w:val="en-US" w:eastAsia="zh-CN"/>
        </w:rPr>
      </w:pPr>
      <w:bookmarkStart w:id="236" w:name="_Toc12628"/>
      <w:bookmarkStart w:id="237" w:name="_Toc2328"/>
      <w:bookmarkStart w:id="238" w:name="_Toc14858"/>
      <w:bookmarkStart w:id="239" w:name="_Toc28632"/>
      <w:r>
        <w:rPr>
          <w:rFonts w:hint="default" w:ascii="Times New Roman" w:hAnsi="Times New Roman" w:cs="Times New Roman"/>
          <w:lang w:val="en-US" w:eastAsia="zh-CN"/>
        </w:rPr>
        <w:t>公益林</w:t>
      </w:r>
      <w:bookmarkEnd w:id="236"/>
      <w:bookmarkEnd w:id="237"/>
      <w:bookmarkEnd w:id="238"/>
      <w:bookmarkEnd w:id="239"/>
      <w:r>
        <w:rPr>
          <w:rFonts w:hint="default" w:ascii="Times New Roman" w:hAnsi="Times New Roman" w:cs="Times New Roman"/>
          <w:lang w:val="en-US" w:eastAsia="zh-CN"/>
        </w:rPr>
        <w:t>与天然林</w:t>
      </w:r>
    </w:p>
    <w:p w14:paraId="5A60D6B3">
      <w:pPr>
        <w:spacing w:line="360" w:lineRule="auto"/>
        <w:ind w:firstLine="480" w:firstLineChars="200"/>
        <w:rPr>
          <w:rFonts w:hint="default" w:ascii="Times New Roman" w:hAnsi="Times New Roman" w:eastAsia="宋体" w:cs="Times New Roman"/>
          <w:caps w:val="0"/>
          <w:smallCaps w:val="0"/>
          <w:color w:val="auto"/>
          <w:sz w:val="24"/>
          <w:szCs w:val="21"/>
          <w:highlight w:val="none"/>
          <w:u w:val="none"/>
          <w:lang w:val="en-US"/>
        </w:rPr>
      </w:pPr>
      <w:r>
        <w:rPr>
          <w:rFonts w:hint="default" w:ascii="Times New Roman" w:hAnsi="Times New Roman" w:eastAsia="宋体" w:cs="Times New Roman"/>
          <w:caps w:val="0"/>
          <w:smallCaps w:val="0"/>
          <w:color w:val="auto"/>
          <w:sz w:val="24"/>
          <w:szCs w:val="21"/>
          <w:highlight w:val="none"/>
          <w:u w:val="none"/>
        </w:rPr>
        <w:t>经</w:t>
      </w:r>
      <w:r>
        <w:rPr>
          <w:rFonts w:hint="default" w:ascii="Times New Roman" w:hAnsi="Times New Roman" w:eastAsia="宋体" w:cs="Times New Roman"/>
          <w:caps w:val="0"/>
          <w:smallCaps w:val="0"/>
          <w:color w:val="auto"/>
          <w:sz w:val="24"/>
          <w:szCs w:val="21"/>
          <w:highlight w:val="none"/>
          <w:u w:val="none"/>
          <w:lang w:val="en-US" w:eastAsia="zh-CN"/>
        </w:rPr>
        <w:t>叠图查询分析</w:t>
      </w:r>
      <w:r>
        <w:rPr>
          <w:rFonts w:hint="default" w:ascii="Times New Roman" w:hAnsi="Times New Roman" w:eastAsia="宋体" w:cs="Times New Roman"/>
          <w:caps w:val="0"/>
          <w:smallCaps w:val="0"/>
          <w:color w:val="auto"/>
          <w:sz w:val="24"/>
          <w:szCs w:val="21"/>
          <w:highlight w:val="none"/>
          <w:u w:val="none"/>
        </w:rPr>
        <w:t>，本项</w:t>
      </w:r>
      <w:r>
        <w:rPr>
          <w:rFonts w:hint="default" w:ascii="Times New Roman" w:hAnsi="Times New Roman" w:eastAsia="宋体" w:cs="Times New Roman"/>
          <w:caps w:val="0"/>
          <w:smallCaps w:val="0"/>
          <w:color w:val="auto"/>
          <w:sz w:val="24"/>
          <w:szCs w:val="21"/>
          <w:highlight w:val="none"/>
          <w:u w:val="none"/>
          <w:lang w:val="en-US" w:eastAsia="zh-CN"/>
        </w:rPr>
        <w:t>目周边分布有国家二级公益林和省级公益林，部分同时属于天然林，主要林木优势种是锥栗、构树、毛竹，均为当地速生造林树种。</w:t>
      </w:r>
    </w:p>
    <w:p w14:paraId="2C571F41">
      <w:pPr>
        <w:spacing w:line="360" w:lineRule="auto"/>
        <w:ind w:firstLine="480" w:firstLineChars="200"/>
        <w:rPr>
          <w:rFonts w:hint="default" w:ascii="Times New Roman" w:hAnsi="Times New Roman" w:eastAsia="宋体" w:cs="Times New Roman"/>
          <w:caps w:val="0"/>
          <w:smallCaps w:val="0"/>
          <w:color w:val="auto"/>
          <w:sz w:val="24"/>
          <w:szCs w:val="21"/>
          <w:highlight w:val="none"/>
        </w:rPr>
      </w:pPr>
      <w:r>
        <w:rPr>
          <w:rFonts w:hint="default" w:ascii="Times New Roman" w:hAnsi="Times New Roman" w:eastAsia="宋体" w:cs="Times New Roman"/>
          <w:caps w:val="0"/>
          <w:smallCaps w:val="0"/>
          <w:color w:val="auto"/>
          <w:sz w:val="24"/>
          <w:szCs w:val="21"/>
          <w:highlight w:val="none"/>
          <w:u w:val="none"/>
          <w:lang w:val="en-US" w:eastAsia="zh-CN"/>
        </w:rPr>
        <w:t>项目</w:t>
      </w:r>
      <w:r>
        <w:rPr>
          <w:rFonts w:hint="default" w:ascii="Times New Roman" w:hAnsi="Times New Roman" w:eastAsia="宋体" w:cs="Times New Roman"/>
          <w:caps w:val="0"/>
          <w:smallCaps w:val="0"/>
          <w:color w:val="auto"/>
          <w:sz w:val="24"/>
          <w:szCs w:val="21"/>
          <w:highlight w:val="none"/>
          <w:u w:val="none"/>
        </w:rPr>
        <w:t>具体</w:t>
      </w:r>
      <w:r>
        <w:rPr>
          <w:rFonts w:hint="default" w:ascii="Times New Roman" w:hAnsi="Times New Roman" w:eastAsia="宋体" w:cs="Times New Roman"/>
          <w:caps w:val="0"/>
          <w:smallCaps w:val="0"/>
          <w:color w:val="auto"/>
          <w:sz w:val="24"/>
          <w:szCs w:val="21"/>
          <w:highlight w:val="none"/>
          <w:u w:val="none"/>
          <w:lang w:val="en-US" w:eastAsia="zh-CN"/>
        </w:rPr>
        <w:t>林地</w:t>
      </w:r>
      <w:r>
        <w:rPr>
          <w:rFonts w:hint="default" w:ascii="Times New Roman" w:hAnsi="Times New Roman" w:eastAsia="宋体" w:cs="Times New Roman"/>
          <w:caps w:val="0"/>
          <w:smallCaps w:val="0"/>
          <w:color w:val="auto"/>
          <w:sz w:val="24"/>
          <w:szCs w:val="21"/>
          <w:highlight w:val="none"/>
          <w:u w:val="none"/>
        </w:rPr>
        <w:t>占用情况以林地使用许可证为准，需严格执行林地补偿政策。</w:t>
      </w:r>
    </w:p>
    <w:p w14:paraId="520C1E9A">
      <w:pPr>
        <w:pStyle w:val="4"/>
        <w:bidi w:val="0"/>
        <w:rPr>
          <w:rFonts w:hint="default" w:ascii="Times New Roman" w:hAnsi="Times New Roman" w:cs="Times New Roman"/>
          <w:lang w:val="en-US" w:eastAsia="zh-CN"/>
        </w:rPr>
      </w:pPr>
      <w:bookmarkStart w:id="240" w:name="_Toc25250"/>
      <w:bookmarkStart w:id="241" w:name="_Toc25621"/>
      <w:bookmarkStart w:id="242" w:name="_Toc2194"/>
      <w:bookmarkStart w:id="243" w:name="_Toc25838"/>
      <w:bookmarkStart w:id="244" w:name="_Toc9158"/>
      <w:r>
        <w:rPr>
          <w:rFonts w:hint="default" w:ascii="Times New Roman" w:hAnsi="Times New Roman" w:cs="Times New Roman"/>
          <w:lang w:val="en-US" w:eastAsia="zh-CN"/>
        </w:rPr>
        <w:t>陆生动物</w:t>
      </w:r>
      <w:bookmarkEnd w:id="240"/>
      <w:bookmarkEnd w:id="241"/>
      <w:bookmarkEnd w:id="242"/>
      <w:bookmarkEnd w:id="243"/>
      <w:r>
        <w:rPr>
          <w:rFonts w:hint="default" w:ascii="Times New Roman" w:hAnsi="Times New Roman" w:cs="Times New Roman"/>
          <w:lang w:val="en-US" w:eastAsia="zh-CN"/>
        </w:rPr>
        <w:t>现状</w:t>
      </w:r>
      <w:bookmarkEnd w:id="244"/>
    </w:p>
    <w:p w14:paraId="4ADCACBF">
      <w:pPr>
        <w:pStyle w:val="5"/>
        <w:bidi w:val="0"/>
        <w:rPr>
          <w:rFonts w:hint="default" w:ascii="Times New Roman" w:hAnsi="Times New Roman" w:cs="Times New Roman"/>
          <w:lang w:val="zh-CN" w:eastAsia="zh-CN"/>
        </w:rPr>
      </w:pPr>
      <w:bookmarkStart w:id="245" w:name="_Toc18248"/>
      <w:bookmarkStart w:id="246" w:name="_Toc23233384"/>
      <w:r>
        <w:rPr>
          <w:rFonts w:hint="default" w:ascii="Times New Roman" w:hAnsi="Times New Roman" w:cs="Times New Roman"/>
          <w:lang w:val="en-US" w:eastAsia="zh-CN"/>
        </w:rPr>
        <w:t>动物区系</w:t>
      </w:r>
      <w:bookmarkEnd w:id="245"/>
      <w:bookmarkEnd w:id="246"/>
    </w:p>
    <w:p w14:paraId="7083696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color w:val="auto"/>
          <w:sz w:val="24"/>
          <w:szCs w:val="24"/>
          <w:highlight w:val="none"/>
          <w:u w:val="none"/>
          <w:lang w:bidi="ar"/>
        </w:rPr>
      </w:pPr>
      <w:r>
        <w:rPr>
          <w:rFonts w:hint="default" w:ascii="Times New Roman" w:hAnsi="Times New Roman" w:eastAsia="宋体" w:cs="Times New Roman"/>
          <w:caps w:val="0"/>
          <w:smallCaps w:val="0"/>
          <w:color w:val="auto"/>
          <w:sz w:val="24"/>
          <w:szCs w:val="24"/>
          <w:highlight w:val="none"/>
          <w:u w:val="none"/>
          <w:lang w:bidi="ar"/>
        </w:rPr>
        <w:t>根据《中国动物地理》（科学出版社，2011），本工程评价区所在区域动物区划属于东洋界—华中区—西部山地高原亚区—黔桂湘低山丘陵省—低山丘陵亚热带林灌-农田动物群</w:t>
      </w:r>
      <w:r>
        <w:rPr>
          <w:rFonts w:hint="default" w:ascii="Times New Roman" w:hAnsi="Times New Roman" w:eastAsia="宋体" w:cs="Times New Roman"/>
          <w:caps w:val="0"/>
          <w:smallCaps w:val="0"/>
          <w:color w:val="auto"/>
          <w:sz w:val="24"/>
          <w:szCs w:val="24"/>
          <w:highlight w:val="none"/>
          <w:u w:val="none"/>
          <w:lang w:val="en-US" w:eastAsia="zh-CN" w:bidi="ar"/>
        </w:rPr>
        <w:t>和</w:t>
      </w:r>
      <w:r>
        <w:rPr>
          <w:rFonts w:hint="default" w:ascii="Times New Roman" w:hAnsi="Times New Roman" w:eastAsia="宋体" w:cs="Times New Roman"/>
          <w:caps w:val="0"/>
          <w:smallCaps w:val="0"/>
          <w:color w:val="auto"/>
          <w:sz w:val="24"/>
          <w:szCs w:val="24"/>
          <w:highlight w:val="none"/>
          <w:u w:val="none"/>
          <w:lang w:bidi="ar"/>
        </w:rPr>
        <w:t>东洋界</w:t>
      </w:r>
      <w:r>
        <w:rPr>
          <w:rFonts w:hint="default" w:ascii="Times New Roman" w:hAnsi="Times New Roman" w:eastAsia="宋体" w:cs="Times New Roman"/>
          <w:caps w:val="0"/>
          <w:smallCaps w:val="0"/>
          <w:color w:val="auto"/>
          <w:sz w:val="24"/>
          <w:szCs w:val="24"/>
          <w:highlight w:val="none"/>
          <w:u w:val="none"/>
          <w:lang w:val="en-US" w:eastAsia="zh-CN" w:bidi="ar"/>
        </w:rPr>
        <w:t>——</w:t>
      </w:r>
      <w:r>
        <w:rPr>
          <w:rFonts w:hint="default" w:ascii="Times New Roman" w:hAnsi="Times New Roman" w:eastAsia="宋体" w:cs="Times New Roman"/>
          <w:caps w:val="0"/>
          <w:smallCaps w:val="0"/>
          <w:color w:val="auto"/>
          <w:sz w:val="24"/>
          <w:szCs w:val="24"/>
          <w:highlight w:val="none"/>
          <w:u w:val="none"/>
          <w:lang w:bidi="ar"/>
        </w:rPr>
        <w:t>华中区</w:t>
      </w:r>
      <w:r>
        <w:rPr>
          <w:rFonts w:hint="default" w:ascii="Times New Roman" w:hAnsi="Times New Roman" w:eastAsia="宋体" w:cs="Times New Roman"/>
          <w:caps w:val="0"/>
          <w:smallCaps w:val="0"/>
          <w:color w:val="auto"/>
          <w:sz w:val="24"/>
          <w:szCs w:val="24"/>
          <w:highlight w:val="none"/>
          <w:u w:val="none"/>
          <w:lang w:val="en-US" w:eastAsia="zh-CN" w:bidi="ar"/>
        </w:rPr>
        <w:t>——东</w:t>
      </w:r>
      <w:r>
        <w:rPr>
          <w:rFonts w:hint="default" w:ascii="Times New Roman" w:hAnsi="Times New Roman" w:eastAsia="宋体" w:cs="Times New Roman"/>
          <w:caps w:val="0"/>
          <w:smallCaps w:val="0"/>
          <w:color w:val="auto"/>
          <w:sz w:val="24"/>
          <w:szCs w:val="24"/>
          <w:highlight w:val="none"/>
          <w:u w:val="none"/>
          <w:lang w:bidi="ar"/>
        </w:rPr>
        <w:t>部</w:t>
      </w:r>
      <w:r>
        <w:rPr>
          <w:rFonts w:hint="default" w:ascii="Times New Roman" w:hAnsi="Times New Roman" w:eastAsia="宋体" w:cs="Times New Roman"/>
          <w:caps w:val="0"/>
          <w:smallCaps w:val="0"/>
          <w:color w:val="auto"/>
          <w:sz w:val="24"/>
          <w:szCs w:val="24"/>
          <w:highlight w:val="none"/>
          <w:u w:val="none"/>
          <w:lang w:val="en-US" w:eastAsia="zh-CN" w:bidi="ar"/>
        </w:rPr>
        <w:t>丘陵平原</w:t>
      </w:r>
      <w:r>
        <w:rPr>
          <w:rFonts w:hint="default" w:ascii="Times New Roman" w:hAnsi="Times New Roman" w:eastAsia="宋体" w:cs="Times New Roman"/>
          <w:caps w:val="0"/>
          <w:smallCaps w:val="0"/>
          <w:color w:val="auto"/>
          <w:sz w:val="24"/>
          <w:szCs w:val="24"/>
          <w:highlight w:val="none"/>
          <w:u w:val="none"/>
          <w:lang w:bidi="ar"/>
        </w:rPr>
        <w:t>亚区</w:t>
      </w:r>
      <w:r>
        <w:rPr>
          <w:rFonts w:hint="default" w:ascii="Times New Roman" w:hAnsi="Times New Roman" w:eastAsia="宋体" w:cs="Times New Roman"/>
          <w:caps w:val="0"/>
          <w:smallCaps w:val="0"/>
          <w:color w:val="auto"/>
          <w:sz w:val="24"/>
          <w:szCs w:val="24"/>
          <w:highlight w:val="none"/>
          <w:u w:val="none"/>
          <w:lang w:val="en-US" w:eastAsia="zh-CN" w:bidi="ar"/>
        </w:rPr>
        <w:t>——长江沿岸平原省——农田湿地动物群</w:t>
      </w:r>
      <w:r>
        <w:rPr>
          <w:rFonts w:hint="default" w:ascii="Times New Roman" w:hAnsi="Times New Roman" w:eastAsia="宋体" w:cs="Times New Roman"/>
          <w:caps w:val="0"/>
          <w:smallCaps w:val="0"/>
          <w:color w:val="auto"/>
          <w:sz w:val="24"/>
          <w:szCs w:val="24"/>
          <w:highlight w:val="none"/>
          <w:u w:val="none"/>
          <w:lang w:bidi="ar"/>
        </w:rPr>
        <w:t>。</w:t>
      </w:r>
      <w:r>
        <w:rPr>
          <w:rFonts w:hint="default" w:ascii="Times New Roman" w:hAnsi="Times New Roman" w:eastAsia="宋体" w:cs="Times New Roman"/>
          <w:caps w:val="0"/>
          <w:smallCaps w:val="0"/>
          <w:color w:val="auto"/>
          <w:sz w:val="24"/>
          <w:szCs w:val="24"/>
          <w:highlight w:val="none"/>
          <w:u w:val="none"/>
          <w:lang w:val="en-US" w:eastAsia="zh-CN" w:bidi="ar"/>
        </w:rPr>
        <w:t>本项目评价区域</w:t>
      </w:r>
      <w:r>
        <w:rPr>
          <w:rFonts w:hint="default" w:ascii="Times New Roman" w:hAnsi="Times New Roman" w:eastAsia="宋体" w:cs="Times New Roman"/>
          <w:caps w:val="0"/>
          <w:smallCaps w:val="0"/>
          <w:color w:val="auto"/>
          <w:sz w:val="24"/>
          <w:szCs w:val="24"/>
          <w:highlight w:val="none"/>
          <w:u w:val="none"/>
          <w:lang w:bidi="ar"/>
        </w:rPr>
        <w:t>人类活动频繁</w:t>
      </w:r>
      <w:r>
        <w:rPr>
          <w:rFonts w:hint="default" w:ascii="Times New Roman" w:hAnsi="Times New Roman" w:eastAsia="宋体" w:cs="Times New Roman"/>
          <w:caps w:val="0"/>
          <w:smallCaps w:val="0"/>
          <w:color w:val="auto"/>
          <w:sz w:val="24"/>
          <w:szCs w:val="24"/>
          <w:highlight w:val="none"/>
          <w:u w:val="none"/>
          <w:lang w:eastAsia="zh-CN" w:bidi="ar"/>
        </w:rPr>
        <w:t>，</w:t>
      </w:r>
      <w:r>
        <w:rPr>
          <w:rFonts w:hint="default" w:ascii="Times New Roman" w:hAnsi="Times New Roman" w:eastAsia="宋体" w:cs="Times New Roman"/>
          <w:caps w:val="0"/>
          <w:smallCaps w:val="0"/>
          <w:color w:val="auto"/>
          <w:sz w:val="24"/>
          <w:szCs w:val="24"/>
          <w:highlight w:val="none"/>
          <w:u w:val="none"/>
          <w:lang w:bidi="ar"/>
        </w:rPr>
        <w:t>受人类活动的干扰，区域内野生动物的种类、分布及数量都很少，以鸟类为主。</w:t>
      </w:r>
    </w:p>
    <w:p w14:paraId="6FFE7B1B">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调查样线布置</w:t>
      </w:r>
    </w:p>
    <w:p w14:paraId="16401982">
      <w:pPr>
        <w:spacing w:line="360" w:lineRule="auto"/>
        <w:ind w:firstLine="480" w:firstLineChars="200"/>
        <w:rPr>
          <w:rFonts w:hint="default" w:ascii="Times New Roman" w:hAnsi="Times New Roman" w:eastAsia="宋体" w:cs="Times New Roman"/>
          <w:sz w:val="24"/>
          <w:szCs w:val="21"/>
          <w:highlight w:val="none"/>
        </w:rPr>
      </w:pPr>
      <w:r>
        <w:rPr>
          <w:rFonts w:hint="default" w:ascii="Times New Roman" w:hAnsi="Times New Roman" w:eastAsia="宋体" w:cs="Times New Roman"/>
          <w:sz w:val="24"/>
          <w:szCs w:val="21"/>
          <w:highlight w:val="none"/>
        </w:rPr>
        <w:t>本项目</w:t>
      </w:r>
      <w:r>
        <w:rPr>
          <w:rFonts w:hint="default" w:ascii="Times New Roman" w:hAnsi="Times New Roman" w:eastAsia="宋体" w:cs="Times New Roman"/>
          <w:sz w:val="24"/>
          <w:szCs w:val="21"/>
          <w:highlight w:val="none"/>
          <w:lang w:bidi="ar"/>
        </w:rPr>
        <w:t>野生动物现状</w:t>
      </w:r>
      <w:r>
        <w:rPr>
          <w:rFonts w:hint="default" w:ascii="Times New Roman" w:hAnsi="Times New Roman" w:eastAsia="宋体" w:cs="Times New Roman"/>
          <w:sz w:val="24"/>
          <w:szCs w:val="21"/>
          <w:highlight w:val="none"/>
        </w:rPr>
        <w:t>调查</w:t>
      </w:r>
      <w:r>
        <w:rPr>
          <w:rFonts w:hint="default" w:ascii="Times New Roman" w:hAnsi="Times New Roman" w:eastAsia="宋体" w:cs="Times New Roman"/>
          <w:sz w:val="24"/>
          <w:szCs w:val="21"/>
          <w:highlight w:val="none"/>
          <w:lang w:val="en-US" w:eastAsia="zh-CN" w:bidi="ar"/>
        </w:rPr>
        <w:t>根据生境类型分别</w:t>
      </w:r>
      <w:r>
        <w:rPr>
          <w:rFonts w:hint="default" w:ascii="Times New Roman" w:hAnsi="Times New Roman" w:eastAsia="宋体" w:cs="Times New Roman"/>
          <w:sz w:val="24"/>
          <w:szCs w:val="21"/>
          <w:highlight w:val="none"/>
        </w:rPr>
        <w:t>设置了评价范围内有代表性的</w:t>
      </w:r>
      <w:r>
        <w:rPr>
          <w:rFonts w:hint="default" w:ascii="Times New Roman" w:hAnsi="Times New Roman" w:eastAsia="宋体" w:cs="Times New Roman"/>
          <w:sz w:val="24"/>
          <w:szCs w:val="21"/>
          <w:highlight w:val="none"/>
          <w:lang w:val="en-US" w:eastAsia="zh-CN"/>
        </w:rPr>
        <w:t>3</w:t>
      </w:r>
      <w:r>
        <w:rPr>
          <w:rFonts w:hint="default" w:ascii="Times New Roman" w:hAnsi="Times New Roman" w:eastAsia="宋体" w:cs="Times New Roman"/>
          <w:sz w:val="24"/>
          <w:szCs w:val="21"/>
          <w:highlight w:val="none"/>
        </w:rPr>
        <w:t>条调查样线。在调查过程中，确定植物种类及资源状况、珍稀濒危植物种类及生存状况等。</w:t>
      </w:r>
    </w:p>
    <w:p w14:paraId="2BBD9A79">
      <w:pPr>
        <w:pStyle w:val="6"/>
        <w:keepNext w:val="0"/>
        <w:keepLines w:val="0"/>
        <w:pageBreakBefore w:val="0"/>
        <w:widowControl w:val="0"/>
        <w:kinsoku w:val="0"/>
        <w:wordWrap w:val="0"/>
        <w:overflowPunct/>
        <w:topLinePunct/>
        <w:autoSpaceDE/>
        <w:autoSpaceDN/>
        <w:bidi w:val="0"/>
        <w:adjustRightInd/>
        <w:snapToGrid/>
        <w:spacing w:before="0" w:beforeLines="50" w:line="360" w:lineRule="auto"/>
        <w:ind w:left="0" w:leftChars="0" w:firstLine="0" w:firstLineChars="0"/>
        <w:jc w:val="center"/>
        <w:textAlignment w:val="auto"/>
        <w:rPr>
          <w:rFonts w:hint="default" w:ascii="Times New Roman" w:hAnsi="Times New Roman" w:eastAsia="宋体" w:cs="Times New Roman"/>
          <w:b/>
          <w:caps w:val="0"/>
          <w:smallCaps w:val="0"/>
          <w:color w:val="auto"/>
          <w:spacing w:val="0"/>
          <w:w w:val="100"/>
          <w:position w:val="0"/>
          <w:sz w:val="21"/>
          <w:szCs w:val="21"/>
          <w:u w:val="none" w:color="auto"/>
          <w:lang w:val="en-US" w:eastAsia="zh-CN"/>
        </w:rPr>
      </w:pP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表3.3-</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begin"/>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instrText xml:space="preserve"> SEQ 表 \* ARABIC \s 1 </w:instrTex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separate"/>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7</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end"/>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 xml:space="preserve">  项目野生动物样线调查分布环境特征</w:t>
      </w:r>
    </w:p>
    <w:tbl>
      <w:tblPr>
        <w:tblStyle w:val="39"/>
        <w:tblW w:w="85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570"/>
        <w:gridCol w:w="999"/>
        <w:gridCol w:w="2129"/>
        <w:gridCol w:w="1998"/>
        <w:gridCol w:w="1065"/>
        <w:gridCol w:w="960"/>
        <w:gridCol w:w="783"/>
      </w:tblGrid>
      <w:tr w14:paraId="56F536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70" w:type="dxa"/>
            <w:noWrap w:val="0"/>
            <w:vAlign w:val="center"/>
          </w:tcPr>
          <w:p w14:paraId="4BF4A88A">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sz w:val="21"/>
                <w:szCs w:val="21"/>
                <w:highlight w:val="none"/>
              </w:rPr>
              <w:t>样线编号</w:t>
            </w:r>
          </w:p>
        </w:tc>
        <w:tc>
          <w:tcPr>
            <w:tcW w:w="999" w:type="dxa"/>
            <w:noWrap w:val="0"/>
            <w:vAlign w:val="center"/>
          </w:tcPr>
          <w:p w14:paraId="5C1675C8">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sz w:val="21"/>
                <w:szCs w:val="21"/>
                <w:highlight w:val="none"/>
              </w:rPr>
              <w:t>地名</w:t>
            </w:r>
          </w:p>
        </w:tc>
        <w:tc>
          <w:tcPr>
            <w:tcW w:w="2129" w:type="dxa"/>
            <w:noWrap w:val="0"/>
            <w:vAlign w:val="center"/>
          </w:tcPr>
          <w:p w14:paraId="35A9D744">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sz w:val="21"/>
                <w:szCs w:val="21"/>
                <w:highlight w:val="none"/>
              </w:rPr>
              <w:t>起点坐标</w:t>
            </w:r>
          </w:p>
        </w:tc>
        <w:tc>
          <w:tcPr>
            <w:tcW w:w="1998" w:type="dxa"/>
            <w:noWrap w:val="0"/>
            <w:vAlign w:val="center"/>
          </w:tcPr>
          <w:p w14:paraId="561E13B6">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lang w:val="en-US" w:eastAsia="zh-CN"/>
              </w:rPr>
            </w:pPr>
            <w:r>
              <w:rPr>
                <w:rFonts w:hint="default" w:ascii="Times New Roman" w:hAnsi="Times New Roman" w:eastAsia="宋体" w:cs="Times New Roman"/>
                <w:b/>
                <w:sz w:val="21"/>
                <w:szCs w:val="21"/>
                <w:highlight w:val="none"/>
                <w:lang w:val="en-US" w:eastAsia="zh-CN"/>
              </w:rPr>
              <w:t>终点坐标</w:t>
            </w:r>
          </w:p>
        </w:tc>
        <w:tc>
          <w:tcPr>
            <w:tcW w:w="1065" w:type="dxa"/>
            <w:noWrap w:val="0"/>
            <w:vAlign w:val="center"/>
          </w:tcPr>
          <w:p w14:paraId="665D3080">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sz w:val="21"/>
                <w:szCs w:val="21"/>
                <w:highlight w:val="none"/>
              </w:rPr>
              <w:t>海拔幅度(m)</w:t>
            </w:r>
          </w:p>
        </w:tc>
        <w:tc>
          <w:tcPr>
            <w:tcW w:w="960" w:type="dxa"/>
            <w:noWrap w:val="0"/>
            <w:vAlign w:val="center"/>
          </w:tcPr>
          <w:p w14:paraId="412AD23A">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sz w:val="21"/>
                <w:szCs w:val="21"/>
                <w:highlight w:val="none"/>
              </w:rPr>
              <w:t>生境</w:t>
            </w:r>
          </w:p>
        </w:tc>
        <w:tc>
          <w:tcPr>
            <w:tcW w:w="783" w:type="dxa"/>
            <w:noWrap w:val="0"/>
            <w:vAlign w:val="center"/>
          </w:tcPr>
          <w:p w14:paraId="1CFDD0C5">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sz w:val="21"/>
                <w:szCs w:val="21"/>
                <w:highlight w:val="none"/>
              </w:rPr>
            </w:pPr>
            <w:r>
              <w:rPr>
                <w:rFonts w:hint="default" w:ascii="Times New Roman" w:hAnsi="Times New Roman" w:eastAsia="宋体" w:cs="Times New Roman"/>
                <w:b/>
                <w:sz w:val="21"/>
                <w:szCs w:val="21"/>
                <w:highlight w:val="none"/>
              </w:rPr>
              <w:t>样线长度（m）</w:t>
            </w:r>
          </w:p>
        </w:tc>
      </w:tr>
      <w:tr w14:paraId="641347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70" w:type="dxa"/>
            <w:noWrap w:val="0"/>
            <w:vAlign w:val="center"/>
          </w:tcPr>
          <w:p w14:paraId="0FEC2725">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YX1</w:t>
            </w:r>
          </w:p>
        </w:tc>
        <w:tc>
          <w:tcPr>
            <w:tcW w:w="999" w:type="dxa"/>
            <w:noWrap w:val="0"/>
            <w:vAlign w:val="center"/>
          </w:tcPr>
          <w:p w14:paraId="2DE215BA">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杀猪港</w:t>
            </w:r>
          </w:p>
        </w:tc>
        <w:tc>
          <w:tcPr>
            <w:tcW w:w="2129" w:type="dxa"/>
            <w:noWrap w:val="0"/>
            <w:vAlign w:val="center"/>
          </w:tcPr>
          <w:p w14:paraId="77944F24">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E112°44'56.3814"</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N29°37'40.8868"</w:t>
            </w:r>
          </w:p>
        </w:tc>
        <w:tc>
          <w:tcPr>
            <w:tcW w:w="1998" w:type="dxa"/>
            <w:noWrap w:val="0"/>
            <w:vAlign w:val="center"/>
          </w:tcPr>
          <w:p w14:paraId="6C97196A">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E112°44'11.3460"</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N29°37'58.2675"</w:t>
            </w:r>
          </w:p>
        </w:tc>
        <w:tc>
          <w:tcPr>
            <w:tcW w:w="1065" w:type="dxa"/>
            <w:noWrap w:val="0"/>
            <w:vAlign w:val="center"/>
          </w:tcPr>
          <w:p w14:paraId="60208E94">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44-50</w:t>
            </w:r>
          </w:p>
        </w:tc>
        <w:tc>
          <w:tcPr>
            <w:tcW w:w="960" w:type="dxa"/>
            <w:noWrap w:val="0"/>
            <w:vAlign w:val="center"/>
          </w:tcPr>
          <w:p w14:paraId="3935D1AB">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农田</w:t>
            </w:r>
          </w:p>
        </w:tc>
        <w:tc>
          <w:tcPr>
            <w:tcW w:w="783" w:type="dxa"/>
            <w:noWrap w:val="0"/>
            <w:vAlign w:val="center"/>
          </w:tcPr>
          <w:p w14:paraId="466CFDBB">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1330</w:t>
            </w:r>
          </w:p>
        </w:tc>
      </w:tr>
      <w:tr w14:paraId="412468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70" w:type="dxa"/>
            <w:noWrap w:val="0"/>
            <w:vAlign w:val="center"/>
          </w:tcPr>
          <w:p w14:paraId="65947F07">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YX2</w:t>
            </w:r>
          </w:p>
        </w:tc>
        <w:tc>
          <w:tcPr>
            <w:tcW w:w="999" w:type="dxa"/>
            <w:noWrap w:val="0"/>
            <w:vAlign w:val="center"/>
          </w:tcPr>
          <w:p w14:paraId="3F0799E4">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黄家湾</w:t>
            </w:r>
          </w:p>
        </w:tc>
        <w:tc>
          <w:tcPr>
            <w:tcW w:w="2129" w:type="dxa"/>
            <w:noWrap w:val="0"/>
            <w:vAlign w:val="center"/>
          </w:tcPr>
          <w:p w14:paraId="65334BB4">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E112°44'30.2717"</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N29°37'50.7745"</w:t>
            </w:r>
          </w:p>
        </w:tc>
        <w:tc>
          <w:tcPr>
            <w:tcW w:w="1998" w:type="dxa"/>
            <w:noWrap w:val="0"/>
            <w:vAlign w:val="center"/>
          </w:tcPr>
          <w:p w14:paraId="4EA6C552">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E112°44'23.6284"</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N29°37'40.2688"</w:t>
            </w:r>
          </w:p>
        </w:tc>
        <w:tc>
          <w:tcPr>
            <w:tcW w:w="1065" w:type="dxa"/>
            <w:noWrap w:val="0"/>
            <w:vAlign w:val="center"/>
          </w:tcPr>
          <w:p w14:paraId="272D85CC">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47-50</w:t>
            </w:r>
          </w:p>
        </w:tc>
        <w:tc>
          <w:tcPr>
            <w:tcW w:w="960" w:type="dxa"/>
            <w:noWrap w:val="0"/>
            <w:vAlign w:val="center"/>
          </w:tcPr>
          <w:p w14:paraId="654283BE">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农田</w:t>
            </w:r>
          </w:p>
        </w:tc>
        <w:tc>
          <w:tcPr>
            <w:tcW w:w="783" w:type="dxa"/>
            <w:noWrap w:val="0"/>
            <w:vAlign w:val="center"/>
          </w:tcPr>
          <w:p w14:paraId="0001C5F7">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428</w:t>
            </w:r>
          </w:p>
        </w:tc>
      </w:tr>
      <w:tr w14:paraId="295325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70" w:type="dxa"/>
            <w:noWrap w:val="0"/>
            <w:vAlign w:val="center"/>
          </w:tcPr>
          <w:p w14:paraId="0E8754BC">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YX3</w:t>
            </w:r>
          </w:p>
        </w:tc>
        <w:tc>
          <w:tcPr>
            <w:tcW w:w="999" w:type="dxa"/>
            <w:noWrap w:val="0"/>
            <w:vAlign w:val="center"/>
          </w:tcPr>
          <w:p w14:paraId="59A11AD9">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李家湾</w:t>
            </w:r>
          </w:p>
        </w:tc>
        <w:tc>
          <w:tcPr>
            <w:tcW w:w="2129" w:type="dxa"/>
            <w:noWrap w:val="0"/>
            <w:vAlign w:val="center"/>
          </w:tcPr>
          <w:p w14:paraId="56B26137">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E112°44'17.3713"</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N29°37'55.7956"</w:t>
            </w:r>
          </w:p>
        </w:tc>
        <w:tc>
          <w:tcPr>
            <w:tcW w:w="1998" w:type="dxa"/>
            <w:noWrap w:val="0"/>
            <w:vAlign w:val="center"/>
          </w:tcPr>
          <w:p w14:paraId="5FF52BCD">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E112°44'14.6677"</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N29°37'45.9851"</w:t>
            </w:r>
          </w:p>
        </w:tc>
        <w:tc>
          <w:tcPr>
            <w:tcW w:w="1065" w:type="dxa"/>
            <w:noWrap w:val="0"/>
            <w:vAlign w:val="center"/>
          </w:tcPr>
          <w:p w14:paraId="5F0C4112">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48-49</w:t>
            </w:r>
          </w:p>
        </w:tc>
        <w:tc>
          <w:tcPr>
            <w:tcW w:w="960" w:type="dxa"/>
            <w:noWrap w:val="0"/>
            <w:vAlign w:val="center"/>
          </w:tcPr>
          <w:p w14:paraId="14AE1905">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农田</w:t>
            </w:r>
          </w:p>
        </w:tc>
        <w:tc>
          <w:tcPr>
            <w:tcW w:w="783" w:type="dxa"/>
            <w:noWrap w:val="0"/>
            <w:vAlign w:val="center"/>
          </w:tcPr>
          <w:p w14:paraId="17C64B3F">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322</w:t>
            </w:r>
          </w:p>
        </w:tc>
      </w:tr>
      <w:tr w14:paraId="408D54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70" w:type="dxa"/>
            <w:noWrap w:val="0"/>
            <w:vAlign w:val="center"/>
          </w:tcPr>
          <w:p w14:paraId="3F72F313">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YX4</w:t>
            </w:r>
          </w:p>
        </w:tc>
        <w:tc>
          <w:tcPr>
            <w:tcW w:w="999" w:type="dxa"/>
            <w:noWrap w:val="0"/>
            <w:vAlign w:val="center"/>
          </w:tcPr>
          <w:p w14:paraId="556A2D71">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老唐屋</w:t>
            </w:r>
          </w:p>
        </w:tc>
        <w:tc>
          <w:tcPr>
            <w:tcW w:w="2129" w:type="dxa"/>
            <w:noWrap w:val="0"/>
            <w:vAlign w:val="center"/>
          </w:tcPr>
          <w:p w14:paraId="0AC9C0A8">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E112°44'07.2519"</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N29°38'05.6060"</w:t>
            </w:r>
          </w:p>
        </w:tc>
        <w:tc>
          <w:tcPr>
            <w:tcW w:w="1998" w:type="dxa"/>
            <w:noWrap w:val="0"/>
            <w:vAlign w:val="center"/>
          </w:tcPr>
          <w:p w14:paraId="77646645">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E112°44'03.6213"</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N29°37'46.5258"</w:t>
            </w:r>
          </w:p>
        </w:tc>
        <w:tc>
          <w:tcPr>
            <w:tcW w:w="1065" w:type="dxa"/>
            <w:noWrap w:val="0"/>
            <w:vAlign w:val="center"/>
          </w:tcPr>
          <w:p w14:paraId="6378E0E2">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66-72</w:t>
            </w:r>
          </w:p>
        </w:tc>
        <w:tc>
          <w:tcPr>
            <w:tcW w:w="960" w:type="dxa"/>
            <w:noWrap w:val="0"/>
            <w:vAlign w:val="center"/>
          </w:tcPr>
          <w:p w14:paraId="0B0D97E6">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湿地</w:t>
            </w:r>
          </w:p>
        </w:tc>
        <w:tc>
          <w:tcPr>
            <w:tcW w:w="783" w:type="dxa"/>
            <w:noWrap w:val="0"/>
            <w:vAlign w:val="center"/>
          </w:tcPr>
          <w:p w14:paraId="4063BB4E">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643</w:t>
            </w:r>
          </w:p>
        </w:tc>
      </w:tr>
      <w:tr w14:paraId="3B6C37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70" w:type="dxa"/>
            <w:noWrap w:val="0"/>
            <w:vAlign w:val="center"/>
          </w:tcPr>
          <w:p w14:paraId="7CF5FFF0">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YX5</w:t>
            </w:r>
          </w:p>
        </w:tc>
        <w:tc>
          <w:tcPr>
            <w:tcW w:w="999" w:type="dxa"/>
            <w:noWrap w:val="0"/>
            <w:vAlign w:val="center"/>
          </w:tcPr>
          <w:p w14:paraId="3452629B">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仙鹅寺</w:t>
            </w:r>
          </w:p>
        </w:tc>
        <w:tc>
          <w:tcPr>
            <w:tcW w:w="2129" w:type="dxa"/>
            <w:noWrap w:val="0"/>
            <w:vAlign w:val="center"/>
          </w:tcPr>
          <w:p w14:paraId="163C5C31">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E112°44'04.2392"</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N29°38'08.7732"</w:t>
            </w:r>
          </w:p>
        </w:tc>
        <w:tc>
          <w:tcPr>
            <w:tcW w:w="1998" w:type="dxa"/>
            <w:noWrap w:val="0"/>
            <w:vAlign w:val="center"/>
          </w:tcPr>
          <w:p w14:paraId="0372A819">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E112°43'24.9202"</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N29°37'59.9669"</w:t>
            </w:r>
          </w:p>
        </w:tc>
        <w:tc>
          <w:tcPr>
            <w:tcW w:w="1065" w:type="dxa"/>
            <w:noWrap w:val="0"/>
            <w:vAlign w:val="center"/>
          </w:tcPr>
          <w:p w14:paraId="753F028C">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65-70</w:t>
            </w:r>
          </w:p>
        </w:tc>
        <w:tc>
          <w:tcPr>
            <w:tcW w:w="960" w:type="dxa"/>
            <w:noWrap w:val="0"/>
            <w:vAlign w:val="center"/>
          </w:tcPr>
          <w:p w14:paraId="1C2D2A49">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湿地</w:t>
            </w:r>
          </w:p>
        </w:tc>
        <w:tc>
          <w:tcPr>
            <w:tcW w:w="783" w:type="dxa"/>
            <w:noWrap w:val="0"/>
            <w:vAlign w:val="center"/>
          </w:tcPr>
          <w:p w14:paraId="33ED76D1">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1087</w:t>
            </w:r>
          </w:p>
        </w:tc>
      </w:tr>
      <w:tr w14:paraId="6D79A4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70" w:type="dxa"/>
            <w:noWrap w:val="0"/>
            <w:vAlign w:val="center"/>
          </w:tcPr>
          <w:p w14:paraId="19A9A7A6">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YX6</w:t>
            </w:r>
          </w:p>
        </w:tc>
        <w:tc>
          <w:tcPr>
            <w:tcW w:w="999" w:type="dxa"/>
            <w:noWrap w:val="0"/>
            <w:vAlign w:val="center"/>
          </w:tcPr>
          <w:p w14:paraId="3F7C6F1B">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李家湾</w:t>
            </w:r>
          </w:p>
        </w:tc>
        <w:tc>
          <w:tcPr>
            <w:tcW w:w="2129" w:type="dxa"/>
            <w:noWrap w:val="0"/>
            <w:vAlign w:val="center"/>
          </w:tcPr>
          <w:p w14:paraId="321B8B49">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E112°44'02.7715"</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N29°37'46.2941"</w:t>
            </w:r>
          </w:p>
        </w:tc>
        <w:tc>
          <w:tcPr>
            <w:tcW w:w="1998" w:type="dxa"/>
            <w:noWrap w:val="0"/>
            <w:vAlign w:val="center"/>
          </w:tcPr>
          <w:p w14:paraId="483E93D8">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E112°43'29.7095"</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N29°37'40.5005"</w:t>
            </w:r>
          </w:p>
        </w:tc>
        <w:tc>
          <w:tcPr>
            <w:tcW w:w="1065" w:type="dxa"/>
            <w:noWrap w:val="0"/>
            <w:vAlign w:val="center"/>
          </w:tcPr>
          <w:p w14:paraId="107C6967">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68-69</w:t>
            </w:r>
          </w:p>
        </w:tc>
        <w:tc>
          <w:tcPr>
            <w:tcW w:w="960" w:type="dxa"/>
            <w:noWrap w:val="0"/>
            <w:vAlign w:val="center"/>
          </w:tcPr>
          <w:p w14:paraId="6395988E">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湿地</w:t>
            </w:r>
          </w:p>
        </w:tc>
        <w:tc>
          <w:tcPr>
            <w:tcW w:w="783" w:type="dxa"/>
            <w:noWrap w:val="0"/>
            <w:vAlign w:val="center"/>
          </w:tcPr>
          <w:p w14:paraId="7351278E">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986</w:t>
            </w:r>
          </w:p>
        </w:tc>
      </w:tr>
      <w:tr w14:paraId="5960F4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70" w:type="dxa"/>
            <w:noWrap w:val="0"/>
            <w:vAlign w:val="center"/>
          </w:tcPr>
          <w:p w14:paraId="047ED130">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YX7</w:t>
            </w:r>
          </w:p>
        </w:tc>
        <w:tc>
          <w:tcPr>
            <w:tcW w:w="999" w:type="dxa"/>
            <w:noWrap w:val="0"/>
            <w:vAlign w:val="center"/>
          </w:tcPr>
          <w:p w14:paraId="65EE54C6">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天上</w:t>
            </w:r>
          </w:p>
        </w:tc>
        <w:tc>
          <w:tcPr>
            <w:tcW w:w="2129" w:type="dxa"/>
            <w:noWrap w:val="0"/>
            <w:vAlign w:val="center"/>
          </w:tcPr>
          <w:p w14:paraId="3352CA06">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E112°44'08.5651"</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N29°38'23.1412"</w:t>
            </w:r>
          </w:p>
        </w:tc>
        <w:tc>
          <w:tcPr>
            <w:tcW w:w="1998" w:type="dxa"/>
            <w:noWrap w:val="0"/>
            <w:vAlign w:val="center"/>
          </w:tcPr>
          <w:p w14:paraId="6DB824EE">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E112°43'33.8809"</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N29°38'19.5106"</w:t>
            </w:r>
          </w:p>
        </w:tc>
        <w:tc>
          <w:tcPr>
            <w:tcW w:w="1065" w:type="dxa"/>
            <w:noWrap w:val="0"/>
            <w:vAlign w:val="center"/>
          </w:tcPr>
          <w:p w14:paraId="1E0D3F1E">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172-222</w:t>
            </w:r>
          </w:p>
        </w:tc>
        <w:tc>
          <w:tcPr>
            <w:tcW w:w="960" w:type="dxa"/>
            <w:noWrap w:val="0"/>
            <w:vAlign w:val="center"/>
          </w:tcPr>
          <w:p w14:paraId="5C8A340A">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森林</w:t>
            </w:r>
          </w:p>
        </w:tc>
        <w:tc>
          <w:tcPr>
            <w:tcW w:w="783" w:type="dxa"/>
            <w:noWrap w:val="0"/>
            <w:vAlign w:val="center"/>
          </w:tcPr>
          <w:p w14:paraId="3716C22F">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929</w:t>
            </w:r>
          </w:p>
        </w:tc>
      </w:tr>
      <w:tr w14:paraId="5BBB6B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70" w:type="dxa"/>
            <w:noWrap w:val="0"/>
            <w:vAlign w:val="center"/>
          </w:tcPr>
          <w:p w14:paraId="5225202D">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YX8</w:t>
            </w:r>
          </w:p>
        </w:tc>
        <w:tc>
          <w:tcPr>
            <w:tcW w:w="999" w:type="dxa"/>
            <w:noWrap w:val="0"/>
            <w:vAlign w:val="center"/>
          </w:tcPr>
          <w:p w14:paraId="44BC9CF4">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龟颈</w:t>
            </w:r>
          </w:p>
        </w:tc>
        <w:tc>
          <w:tcPr>
            <w:tcW w:w="2129" w:type="dxa"/>
            <w:noWrap w:val="0"/>
            <w:vAlign w:val="center"/>
          </w:tcPr>
          <w:p w14:paraId="5FFC530F">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E112°43'11.9426"</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N29°38'23.5275"</w:t>
            </w:r>
          </w:p>
        </w:tc>
        <w:tc>
          <w:tcPr>
            <w:tcW w:w="1998" w:type="dxa"/>
            <w:noWrap w:val="0"/>
            <w:vAlign w:val="center"/>
          </w:tcPr>
          <w:p w14:paraId="257F0574">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E112°43'08.0802"</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N29°37'46.0624"</w:t>
            </w:r>
          </w:p>
        </w:tc>
        <w:tc>
          <w:tcPr>
            <w:tcW w:w="1065" w:type="dxa"/>
            <w:noWrap w:val="0"/>
            <w:vAlign w:val="center"/>
          </w:tcPr>
          <w:p w14:paraId="458DA4A3">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147-166</w:t>
            </w:r>
          </w:p>
        </w:tc>
        <w:tc>
          <w:tcPr>
            <w:tcW w:w="960" w:type="dxa"/>
            <w:noWrap w:val="0"/>
            <w:vAlign w:val="center"/>
          </w:tcPr>
          <w:p w14:paraId="3C98F9A3">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森林</w:t>
            </w:r>
          </w:p>
        </w:tc>
        <w:tc>
          <w:tcPr>
            <w:tcW w:w="783" w:type="dxa"/>
            <w:noWrap w:val="0"/>
            <w:vAlign w:val="center"/>
          </w:tcPr>
          <w:p w14:paraId="4BF5B142">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1156</w:t>
            </w:r>
          </w:p>
        </w:tc>
      </w:tr>
      <w:tr w14:paraId="7598AC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70" w:type="dxa"/>
            <w:noWrap w:val="0"/>
            <w:vAlign w:val="center"/>
          </w:tcPr>
          <w:p w14:paraId="1817414B">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YX9</w:t>
            </w:r>
          </w:p>
        </w:tc>
        <w:tc>
          <w:tcPr>
            <w:tcW w:w="999" w:type="dxa"/>
            <w:noWrap w:val="0"/>
            <w:vAlign w:val="center"/>
          </w:tcPr>
          <w:p w14:paraId="618BB140">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洞口山</w:t>
            </w:r>
          </w:p>
        </w:tc>
        <w:tc>
          <w:tcPr>
            <w:tcW w:w="2129" w:type="dxa"/>
            <w:noWrap w:val="0"/>
            <w:vAlign w:val="center"/>
          </w:tcPr>
          <w:p w14:paraId="4A56987E">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E112°44'04.1620"</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N29°37'35.7884"</w:t>
            </w:r>
          </w:p>
        </w:tc>
        <w:tc>
          <w:tcPr>
            <w:tcW w:w="1998" w:type="dxa"/>
            <w:noWrap w:val="0"/>
            <w:vAlign w:val="center"/>
          </w:tcPr>
          <w:p w14:paraId="1BF7682F">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E112°43'26.9286"</w:t>
            </w:r>
            <w:r>
              <w:rPr>
                <w:rFonts w:hint="default" w:ascii="Times New Roman" w:hAnsi="Times New Roman" w:eastAsia="宋体" w:cs="Times New Roman"/>
                <w:bCs/>
                <w:sz w:val="21"/>
                <w:szCs w:val="21"/>
                <w:highlight w:val="none"/>
                <w:lang w:val="en-US" w:eastAsia="zh-CN"/>
              </w:rPr>
              <w:tab/>
            </w:r>
            <w:r>
              <w:rPr>
                <w:rFonts w:hint="default" w:ascii="Times New Roman" w:hAnsi="Times New Roman" w:eastAsia="宋体" w:cs="Times New Roman"/>
                <w:bCs/>
                <w:sz w:val="21"/>
                <w:szCs w:val="21"/>
                <w:highlight w:val="none"/>
                <w:lang w:val="en-US" w:eastAsia="zh-CN"/>
              </w:rPr>
              <w:t>N29°37'24.2013"</w:t>
            </w:r>
          </w:p>
        </w:tc>
        <w:tc>
          <w:tcPr>
            <w:tcW w:w="1065" w:type="dxa"/>
            <w:noWrap w:val="0"/>
            <w:vAlign w:val="center"/>
          </w:tcPr>
          <w:p w14:paraId="113870A1">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114-253</w:t>
            </w:r>
          </w:p>
        </w:tc>
        <w:tc>
          <w:tcPr>
            <w:tcW w:w="960" w:type="dxa"/>
            <w:noWrap w:val="0"/>
            <w:vAlign w:val="center"/>
          </w:tcPr>
          <w:p w14:paraId="278C3B82">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森林</w:t>
            </w:r>
          </w:p>
        </w:tc>
        <w:tc>
          <w:tcPr>
            <w:tcW w:w="783" w:type="dxa"/>
            <w:noWrap w:val="0"/>
            <w:vAlign w:val="center"/>
          </w:tcPr>
          <w:p w14:paraId="73AFC039">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1063</w:t>
            </w:r>
          </w:p>
        </w:tc>
      </w:tr>
    </w:tbl>
    <w:p w14:paraId="586E04D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color w:val="auto"/>
          <w:sz w:val="24"/>
          <w:szCs w:val="24"/>
          <w:highlight w:val="none"/>
          <w:u w:val="none"/>
          <w:lang w:bidi="ar"/>
        </w:rPr>
      </w:pPr>
    </w:p>
    <w:p w14:paraId="188D4100">
      <w:pPr>
        <w:pStyle w:val="5"/>
        <w:bidi w:val="0"/>
        <w:rPr>
          <w:rFonts w:hint="default" w:ascii="Times New Roman" w:hAnsi="Times New Roman" w:cs="Times New Roman"/>
          <w:lang w:val="zh-CN" w:eastAsia="zh-CN"/>
        </w:rPr>
      </w:pPr>
      <w:r>
        <w:rPr>
          <w:rFonts w:hint="default" w:ascii="Times New Roman" w:hAnsi="Times New Roman" w:cs="Times New Roman"/>
          <w:lang w:val="zh-CN" w:eastAsia="zh-CN"/>
        </w:rPr>
        <w:t>物种组成及分布特征</w:t>
      </w:r>
    </w:p>
    <w:p w14:paraId="53DE00AF">
      <w:pPr>
        <w:spacing w:line="360" w:lineRule="auto"/>
        <w:ind w:firstLine="424" w:firstLineChars="177"/>
        <w:rPr>
          <w:rFonts w:hint="default" w:ascii="Times New Roman" w:hAnsi="Times New Roman" w:eastAsia="宋体" w:cs="Times New Roman"/>
          <w:bCs/>
          <w:caps w:val="0"/>
          <w:smallCaps w:val="0"/>
          <w:color w:val="auto"/>
          <w:sz w:val="24"/>
          <w:szCs w:val="24"/>
        </w:rPr>
      </w:pPr>
      <w:r>
        <w:rPr>
          <w:rFonts w:hint="default" w:ascii="Times New Roman" w:hAnsi="Times New Roman" w:eastAsia="宋体" w:cs="Times New Roman"/>
          <w:caps w:val="0"/>
          <w:smallCaps w:val="0"/>
          <w:sz w:val="24"/>
          <w:szCs w:val="24"/>
        </w:rPr>
        <w:t>根据实地考察及对相关资料的综合分析，评价区范围内共有野生脊椎动物</w:t>
      </w:r>
      <w:r>
        <w:rPr>
          <w:rFonts w:hint="default" w:ascii="Times New Roman" w:hAnsi="Times New Roman" w:eastAsia="宋体" w:cs="Times New Roman"/>
          <w:caps w:val="0"/>
          <w:smallCaps w:val="0"/>
          <w:sz w:val="24"/>
          <w:szCs w:val="24"/>
          <w:lang w:val="en-US" w:eastAsia="zh-CN"/>
        </w:rPr>
        <w:t>4纲19目54科93种</w:t>
      </w:r>
      <w:r>
        <w:rPr>
          <w:rFonts w:hint="default" w:ascii="Times New Roman" w:hAnsi="Times New Roman" w:eastAsia="宋体" w:cs="Times New Roman"/>
          <w:caps w:val="0"/>
          <w:smallCaps w:val="0"/>
          <w:sz w:val="24"/>
          <w:szCs w:val="24"/>
          <w:lang w:eastAsia="zh-CN"/>
        </w:rPr>
        <w:t>，</w:t>
      </w:r>
      <w:r>
        <w:rPr>
          <w:rFonts w:hint="default" w:ascii="Times New Roman" w:hAnsi="Times New Roman" w:eastAsia="宋体" w:cs="Times New Roman"/>
          <w:caps w:val="0"/>
          <w:smallCaps w:val="0"/>
          <w:sz w:val="24"/>
          <w:szCs w:val="24"/>
          <w:lang w:val="en-US" w:eastAsia="zh-CN"/>
        </w:rPr>
        <w:t>无</w:t>
      </w:r>
      <w:r>
        <w:rPr>
          <w:rFonts w:hint="default" w:ascii="Times New Roman" w:hAnsi="Times New Roman" w:eastAsia="宋体" w:cs="Times New Roman"/>
          <w:caps w:val="0"/>
          <w:smallCaps w:val="0"/>
          <w:sz w:val="24"/>
          <w:szCs w:val="24"/>
        </w:rPr>
        <w:t>国家级重点保护野生动物，有湖南省级重点保护野生动物</w:t>
      </w:r>
      <w:r>
        <w:rPr>
          <w:rFonts w:hint="default" w:ascii="Times New Roman" w:hAnsi="Times New Roman" w:eastAsia="宋体" w:cs="Times New Roman"/>
          <w:caps w:val="0"/>
          <w:smallCaps w:val="0"/>
          <w:sz w:val="24"/>
          <w:szCs w:val="24"/>
          <w:lang w:val="en-US" w:eastAsia="zh-CN"/>
        </w:rPr>
        <w:t>34</w:t>
      </w:r>
      <w:r>
        <w:rPr>
          <w:rFonts w:hint="default" w:ascii="Times New Roman" w:hAnsi="Times New Roman" w:eastAsia="宋体" w:cs="Times New Roman"/>
          <w:caps w:val="0"/>
          <w:smallCaps w:val="0"/>
          <w:sz w:val="24"/>
          <w:szCs w:val="24"/>
        </w:rPr>
        <w:t>种。评价区各纲的种类组成、区系、保护等级参见</w:t>
      </w:r>
      <w:r>
        <w:rPr>
          <w:rFonts w:hint="default" w:ascii="Times New Roman" w:hAnsi="Times New Roman" w:eastAsia="宋体" w:cs="Times New Roman"/>
          <w:caps w:val="0"/>
          <w:smallCaps w:val="0"/>
          <w:sz w:val="24"/>
          <w:szCs w:val="24"/>
          <w:lang w:val="en-US" w:eastAsia="zh-CN"/>
        </w:rPr>
        <w:t>下表</w:t>
      </w:r>
      <w:r>
        <w:rPr>
          <w:rFonts w:hint="default" w:ascii="Times New Roman" w:hAnsi="Times New Roman" w:eastAsia="宋体" w:cs="Times New Roman"/>
          <w:caps w:val="0"/>
          <w:smallCaps w:val="0"/>
          <w:color w:val="auto"/>
          <w:sz w:val="24"/>
          <w:szCs w:val="24"/>
        </w:rPr>
        <w:t>。</w:t>
      </w:r>
    </w:p>
    <w:p w14:paraId="0D883A47">
      <w:pPr>
        <w:pStyle w:val="6"/>
        <w:keepNext w:val="0"/>
        <w:keepLines w:val="0"/>
        <w:pageBreakBefore w:val="0"/>
        <w:widowControl w:val="0"/>
        <w:kinsoku w:val="0"/>
        <w:wordWrap w:val="0"/>
        <w:overflowPunct/>
        <w:topLinePunct/>
        <w:autoSpaceDE/>
        <w:autoSpaceDN/>
        <w:bidi w:val="0"/>
        <w:adjustRightInd/>
        <w:snapToGrid/>
        <w:spacing w:before="0" w:beforeLines="50" w:line="360" w:lineRule="auto"/>
        <w:ind w:left="0" w:leftChars="0" w:firstLine="0" w:firstLineChars="0"/>
        <w:jc w:val="center"/>
        <w:textAlignment w:val="auto"/>
        <w:rPr>
          <w:rFonts w:hint="default" w:ascii="Times New Roman" w:hAnsi="Times New Roman" w:eastAsia="宋体" w:cs="Times New Roman"/>
          <w:b/>
          <w:caps w:val="0"/>
          <w:smallCaps w:val="0"/>
          <w:color w:val="auto"/>
          <w:spacing w:val="0"/>
          <w:w w:val="100"/>
          <w:position w:val="0"/>
          <w:sz w:val="21"/>
          <w:szCs w:val="21"/>
          <w:u w:val="none" w:color="auto"/>
          <w:lang w:val="en-US" w:eastAsia="zh-CN"/>
        </w:rPr>
      </w:pP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表3.3-</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begin"/>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instrText xml:space="preserve"> SEQ 表 \* ARABIC \s 1 </w:instrTex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separate"/>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8</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end"/>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 xml:space="preserve"> 评价区陆生脊椎动物种类组成、区系和保护等级</w:t>
      </w:r>
    </w:p>
    <w:tbl>
      <w:tblPr>
        <w:tblStyle w:val="3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7" w:type="dxa"/>
          <w:bottom w:w="0" w:type="dxa"/>
          <w:right w:w="57" w:type="dxa"/>
        </w:tblCellMar>
      </w:tblPr>
      <w:tblGrid>
        <w:gridCol w:w="1050"/>
        <w:gridCol w:w="633"/>
        <w:gridCol w:w="633"/>
        <w:gridCol w:w="799"/>
        <w:gridCol w:w="952"/>
        <w:gridCol w:w="1028"/>
        <w:gridCol w:w="1036"/>
        <w:gridCol w:w="829"/>
        <w:gridCol w:w="829"/>
        <w:gridCol w:w="633"/>
      </w:tblGrid>
      <w:tr w14:paraId="5F7D95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49" w:type="pct"/>
            <w:gridSpan w:val="4"/>
            <w:tcBorders>
              <w:tl2br w:val="nil"/>
              <w:tr2bl w:val="nil"/>
            </w:tcBorders>
            <w:vAlign w:val="center"/>
          </w:tcPr>
          <w:p w14:paraId="4569E3F0">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种类组成</w:t>
            </w:r>
          </w:p>
        </w:tc>
        <w:tc>
          <w:tcPr>
            <w:tcW w:w="1790" w:type="pct"/>
            <w:gridSpan w:val="3"/>
            <w:tcBorders>
              <w:tl2br w:val="nil"/>
              <w:tr2bl w:val="nil"/>
            </w:tcBorders>
            <w:vAlign w:val="center"/>
          </w:tcPr>
          <w:p w14:paraId="739F92FD">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动物区系</w:t>
            </w:r>
          </w:p>
        </w:tc>
        <w:tc>
          <w:tcPr>
            <w:tcW w:w="1360" w:type="pct"/>
            <w:gridSpan w:val="3"/>
            <w:tcBorders>
              <w:tl2br w:val="nil"/>
              <w:tr2bl w:val="nil"/>
            </w:tcBorders>
            <w:vAlign w:val="center"/>
          </w:tcPr>
          <w:p w14:paraId="49BC34AB">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保护级别</w:t>
            </w:r>
          </w:p>
        </w:tc>
      </w:tr>
      <w:tr w14:paraId="72CC58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23" w:type="pct"/>
            <w:tcBorders>
              <w:tl2br w:val="nil"/>
              <w:tr2bl w:val="nil"/>
            </w:tcBorders>
            <w:vAlign w:val="center"/>
          </w:tcPr>
          <w:p w14:paraId="77F780BF">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纲</w:t>
            </w:r>
          </w:p>
        </w:tc>
        <w:tc>
          <w:tcPr>
            <w:tcW w:w="376" w:type="pct"/>
            <w:tcBorders>
              <w:tl2br w:val="nil"/>
              <w:tr2bl w:val="nil"/>
            </w:tcBorders>
            <w:vAlign w:val="center"/>
          </w:tcPr>
          <w:p w14:paraId="55D449CA">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目</w:t>
            </w:r>
          </w:p>
        </w:tc>
        <w:tc>
          <w:tcPr>
            <w:tcW w:w="376" w:type="pct"/>
            <w:tcBorders>
              <w:tl2br w:val="nil"/>
              <w:tr2bl w:val="nil"/>
            </w:tcBorders>
            <w:vAlign w:val="center"/>
          </w:tcPr>
          <w:p w14:paraId="6BBF37EF">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科</w:t>
            </w:r>
          </w:p>
        </w:tc>
        <w:tc>
          <w:tcPr>
            <w:tcW w:w="473" w:type="pct"/>
            <w:tcBorders>
              <w:tl2br w:val="nil"/>
              <w:tr2bl w:val="nil"/>
            </w:tcBorders>
            <w:vAlign w:val="center"/>
          </w:tcPr>
          <w:p w14:paraId="049618FE">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种</w:t>
            </w:r>
          </w:p>
        </w:tc>
        <w:tc>
          <w:tcPr>
            <w:tcW w:w="565" w:type="pct"/>
            <w:tcBorders>
              <w:tl2br w:val="nil"/>
              <w:tr2bl w:val="nil"/>
            </w:tcBorders>
            <w:vAlign w:val="center"/>
          </w:tcPr>
          <w:p w14:paraId="58445BD1">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东洋种</w:t>
            </w:r>
          </w:p>
        </w:tc>
        <w:tc>
          <w:tcPr>
            <w:tcW w:w="610" w:type="pct"/>
            <w:tcBorders>
              <w:tl2br w:val="nil"/>
              <w:tr2bl w:val="nil"/>
            </w:tcBorders>
            <w:vAlign w:val="center"/>
          </w:tcPr>
          <w:p w14:paraId="60F563BB">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古北种</w:t>
            </w:r>
          </w:p>
        </w:tc>
        <w:tc>
          <w:tcPr>
            <w:tcW w:w="614" w:type="pct"/>
            <w:tcBorders>
              <w:tl2br w:val="nil"/>
              <w:tr2bl w:val="nil"/>
            </w:tcBorders>
            <w:vAlign w:val="center"/>
          </w:tcPr>
          <w:p w14:paraId="609258FA">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广布种</w:t>
            </w:r>
          </w:p>
        </w:tc>
        <w:tc>
          <w:tcPr>
            <w:tcW w:w="492" w:type="pct"/>
            <w:tcBorders>
              <w:tl2br w:val="nil"/>
              <w:tr2bl w:val="nil"/>
            </w:tcBorders>
            <w:vAlign w:val="center"/>
          </w:tcPr>
          <w:p w14:paraId="3175BD3C">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国家</w:t>
            </w:r>
          </w:p>
          <w:p w14:paraId="5381277D">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I级</w:t>
            </w:r>
          </w:p>
        </w:tc>
        <w:tc>
          <w:tcPr>
            <w:tcW w:w="492" w:type="pct"/>
            <w:tcBorders>
              <w:tl2br w:val="nil"/>
              <w:tr2bl w:val="nil"/>
            </w:tcBorders>
            <w:vAlign w:val="center"/>
          </w:tcPr>
          <w:p w14:paraId="2084086E">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国家</w:t>
            </w:r>
          </w:p>
          <w:p w14:paraId="50CD4FC8">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Ⅱ级</w:t>
            </w:r>
          </w:p>
        </w:tc>
        <w:tc>
          <w:tcPr>
            <w:tcW w:w="376" w:type="pct"/>
            <w:tcBorders>
              <w:tl2br w:val="nil"/>
              <w:tr2bl w:val="nil"/>
            </w:tcBorders>
            <w:vAlign w:val="center"/>
          </w:tcPr>
          <w:p w14:paraId="442431CF">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湖南省级</w:t>
            </w:r>
          </w:p>
        </w:tc>
      </w:tr>
      <w:tr w14:paraId="689BBB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23" w:type="pct"/>
            <w:tcBorders>
              <w:tl2br w:val="nil"/>
              <w:tr2bl w:val="nil"/>
            </w:tcBorders>
            <w:vAlign w:val="center"/>
          </w:tcPr>
          <w:p w14:paraId="1021F732">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两栖纲</w:t>
            </w:r>
          </w:p>
        </w:tc>
        <w:tc>
          <w:tcPr>
            <w:tcW w:w="376" w:type="pct"/>
            <w:tcBorders>
              <w:tl2br w:val="nil"/>
              <w:tr2bl w:val="nil"/>
            </w:tcBorders>
            <w:vAlign w:val="center"/>
          </w:tcPr>
          <w:p w14:paraId="488E6808">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1</w:t>
            </w:r>
          </w:p>
        </w:tc>
        <w:tc>
          <w:tcPr>
            <w:tcW w:w="376" w:type="pct"/>
            <w:tcBorders>
              <w:tl2br w:val="nil"/>
              <w:tr2bl w:val="nil"/>
            </w:tcBorders>
            <w:vAlign w:val="center"/>
          </w:tcPr>
          <w:p w14:paraId="139E9357">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4</w:t>
            </w:r>
          </w:p>
        </w:tc>
        <w:tc>
          <w:tcPr>
            <w:tcW w:w="473" w:type="pct"/>
            <w:tcBorders>
              <w:tl2br w:val="nil"/>
              <w:tr2bl w:val="nil"/>
            </w:tcBorders>
            <w:vAlign w:val="center"/>
          </w:tcPr>
          <w:p w14:paraId="09DB1291">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7</w:t>
            </w:r>
          </w:p>
        </w:tc>
        <w:tc>
          <w:tcPr>
            <w:tcW w:w="565" w:type="pct"/>
            <w:tcBorders>
              <w:tl2br w:val="nil"/>
              <w:tr2bl w:val="nil"/>
            </w:tcBorders>
            <w:vAlign w:val="center"/>
          </w:tcPr>
          <w:p w14:paraId="1EFE98A4">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4</w:t>
            </w:r>
          </w:p>
        </w:tc>
        <w:tc>
          <w:tcPr>
            <w:tcW w:w="610" w:type="pct"/>
            <w:tcBorders>
              <w:tl2br w:val="nil"/>
              <w:tr2bl w:val="nil"/>
            </w:tcBorders>
            <w:vAlign w:val="center"/>
          </w:tcPr>
          <w:p w14:paraId="7C56DA33">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0</w:t>
            </w:r>
          </w:p>
        </w:tc>
        <w:tc>
          <w:tcPr>
            <w:tcW w:w="614" w:type="pct"/>
            <w:tcBorders>
              <w:tl2br w:val="nil"/>
              <w:tr2bl w:val="nil"/>
            </w:tcBorders>
            <w:vAlign w:val="center"/>
          </w:tcPr>
          <w:p w14:paraId="2A2E96B3">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3</w:t>
            </w:r>
          </w:p>
        </w:tc>
        <w:tc>
          <w:tcPr>
            <w:tcW w:w="492" w:type="pct"/>
            <w:tcBorders>
              <w:tl2br w:val="nil"/>
              <w:tr2bl w:val="nil"/>
            </w:tcBorders>
            <w:vAlign w:val="center"/>
          </w:tcPr>
          <w:p w14:paraId="30380653">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0</w:t>
            </w:r>
          </w:p>
        </w:tc>
        <w:tc>
          <w:tcPr>
            <w:tcW w:w="492" w:type="pct"/>
            <w:tcBorders>
              <w:tl2br w:val="nil"/>
              <w:tr2bl w:val="nil"/>
            </w:tcBorders>
            <w:vAlign w:val="center"/>
          </w:tcPr>
          <w:p w14:paraId="5F3470CF">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0</w:t>
            </w:r>
          </w:p>
        </w:tc>
        <w:tc>
          <w:tcPr>
            <w:tcW w:w="376" w:type="pct"/>
            <w:tcBorders>
              <w:tl2br w:val="nil"/>
              <w:tr2bl w:val="nil"/>
            </w:tcBorders>
            <w:vAlign w:val="center"/>
          </w:tcPr>
          <w:p w14:paraId="2A062FC8">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2</w:t>
            </w:r>
          </w:p>
        </w:tc>
      </w:tr>
      <w:tr w14:paraId="473462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23" w:type="pct"/>
            <w:tcBorders>
              <w:tl2br w:val="nil"/>
              <w:tr2bl w:val="nil"/>
            </w:tcBorders>
            <w:vAlign w:val="center"/>
          </w:tcPr>
          <w:p w14:paraId="552DA6F0">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爬行纲</w:t>
            </w:r>
          </w:p>
        </w:tc>
        <w:tc>
          <w:tcPr>
            <w:tcW w:w="376" w:type="pct"/>
            <w:tcBorders>
              <w:tl2br w:val="nil"/>
              <w:tr2bl w:val="nil"/>
            </w:tcBorders>
            <w:vAlign w:val="center"/>
          </w:tcPr>
          <w:p w14:paraId="76410B91">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2</w:t>
            </w:r>
          </w:p>
        </w:tc>
        <w:tc>
          <w:tcPr>
            <w:tcW w:w="376" w:type="pct"/>
            <w:tcBorders>
              <w:tl2br w:val="nil"/>
              <w:tr2bl w:val="nil"/>
            </w:tcBorders>
            <w:vAlign w:val="center"/>
          </w:tcPr>
          <w:p w14:paraId="0550BB72">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9</w:t>
            </w:r>
          </w:p>
        </w:tc>
        <w:tc>
          <w:tcPr>
            <w:tcW w:w="473" w:type="pct"/>
            <w:tcBorders>
              <w:tl2br w:val="nil"/>
              <w:tr2bl w:val="nil"/>
            </w:tcBorders>
            <w:vAlign w:val="center"/>
          </w:tcPr>
          <w:p w14:paraId="302A56D4">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14</w:t>
            </w:r>
          </w:p>
        </w:tc>
        <w:tc>
          <w:tcPr>
            <w:tcW w:w="565" w:type="pct"/>
            <w:tcBorders>
              <w:tl2br w:val="nil"/>
              <w:tr2bl w:val="nil"/>
            </w:tcBorders>
            <w:vAlign w:val="center"/>
          </w:tcPr>
          <w:p w14:paraId="17A8CE2E">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6</w:t>
            </w:r>
          </w:p>
        </w:tc>
        <w:tc>
          <w:tcPr>
            <w:tcW w:w="610" w:type="pct"/>
            <w:tcBorders>
              <w:tl2br w:val="nil"/>
              <w:tr2bl w:val="nil"/>
            </w:tcBorders>
            <w:vAlign w:val="center"/>
          </w:tcPr>
          <w:p w14:paraId="42C3C849">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0</w:t>
            </w:r>
          </w:p>
        </w:tc>
        <w:tc>
          <w:tcPr>
            <w:tcW w:w="614" w:type="pct"/>
            <w:tcBorders>
              <w:tl2br w:val="nil"/>
              <w:tr2bl w:val="nil"/>
            </w:tcBorders>
            <w:vAlign w:val="center"/>
          </w:tcPr>
          <w:p w14:paraId="5EB5D514">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8</w:t>
            </w:r>
          </w:p>
        </w:tc>
        <w:tc>
          <w:tcPr>
            <w:tcW w:w="492" w:type="pct"/>
            <w:tcBorders>
              <w:tl2br w:val="nil"/>
              <w:tr2bl w:val="nil"/>
            </w:tcBorders>
            <w:vAlign w:val="center"/>
          </w:tcPr>
          <w:p w14:paraId="7C719AA6">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0</w:t>
            </w:r>
          </w:p>
        </w:tc>
        <w:tc>
          <w:tcPr>
            <w:tcW w:w="492" w:type="pct"/>
            <w:tcBorders>
              <w:tl2br w:val="nil"/>
              <w:tr2bl w:val="nil"/>
            </w:tcBorders>
            <w:vAlign w:val="center"/>
          </w:tcPr>
          <w:p w14:paraId="654E7507">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0</w:t>
            </w:r>
          </w:p>
        </w:tc>
        <w:tc>
          <w:tcPr>
            <w:tcW w:w="376" w:type="pct"/>
            <w:tcBorders>
              <w:tl2br w:val="nil"/>
              <w:tr2bl w:val="nil"/>
            </w:tcBorders>
            <w:vAlign w:val="center"/>
          </w:tcPr>
          <w:p w14:paraId="78C7BA4C">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13</w:t>
            </w:r>
          </w:p>
        </w:tc>
      </w:tr>
      <w:tr w14:paraId="64A235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23" w:type="pct"/>
            <w:tcBorders>
              <w:tl2br w:val="nil"/>
              <w:tr2bl w:val="nil"/>
            </w:tcBorders>
            <w:vAlign w:val="center"/>
          </w:tcPr>
          <w:p w14:paraId="1A9D5206">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鸟纲</w:t>
            </w:r>
          </w:p>
        </w:tc>
        <w:tc>
          <w:tcPr>
            <w:tcW w:w="376" w:type="pct"/>
            <w:tcBorders>
              <w:tl2br w:val="nil"/>
              <w:tr2bl w:val="nil"/>
            </w:tcBorders>
            <w:vAlign w:val="center"/>
          </w:tcPr>
          <w:p w14:paraId="485422F0">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12</w:t>
            </w:r>
          </w:p>
        </w:tc>
        <w:tc>
          <w:tcPr>
            <w:tcW w:w="376" w:type="pct"/>
            <w:tcBorders>
              <w:tl2br w:val="nil"/>
              <w:tr2bl w:val="nil"/>
            </w:tcBorders>
            <w:vAlign w:val="center"/>
          </w:tcPr>
          <w:p w14:paraId="0D41C123">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34</w:t>
            </w:r>
          </w:p>
        </w:tc>
        <w:tc>
          <w:tcPr>
            <w:tcW w:w="473" w:type="pct"/>
            <w:tcBorders>
              <w:tl2br w:val="nil"/>
              <w:tr2bl w:val="nil"/>
            </w:tcBorders>
            <w:vAlign w:val="center"/>
          </w:tcPr>
          <w:p w14:paraId="1F66D5FD">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rPr>
            </w:pPr>
            <w:r>
              <w:rPr>
                <w:rFonts w:hint="default" w:ascii="Times New Roman" w:hAnsi="Times New Roman" w:eastAsia="宋体" w:cs="Times New Roman"/>
                <w:caps w:val="0"/>
                <w:smallCaps w:val="0"/>
                <w:sz w:val="21"/>
                <w:szCs w:val="21"/>
                <w:lang w:val="en-US" w:eastAsia="zh-CN"/>
              </w:rPr>
              <w:t>60</w:t>
            </w:r>
          </w:p>
        </w:tc>
        <w:tc>
          <w:tcPr>
            <w:tcW w:w="565" w:type="pct"/>
            <w:tcBorders>
              <w:tl2br w:val="nil"/>
              <w:tr2bl w:val="nil"/>
            </w:tcBorders>
            <w:vAlign w:val="center"/>
          </w:tcPr>
          <w:p w14:paraId="0491BD5A">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rPr>
            </w:pPr>
            <w:r>
              <w:rPr>
                <w:rFonts w:hint="default" w:ascii="Times New Roman" w:hAnsi="Times New Roman" w:eastAsia="宋体" w:cs="Times New Roman"/>
                <w:caps w:val="0"/>
                <w:smallCaps w:val="0"/>
                <w:sz w:val="21"/>
                <w:szCs w:val="21"/>
                <w:lang w:val="en-US" w:eastAsia="zh-CN"/>
              </w:rPr>
              <w:t>40</w:t>
            </w:r>
          </w:p>
        </w:tc>
        <w:tc>
          <w:tcPr>
            <w:tcW w:w="610" w:type="pct"/>
            <w:tcBorders>
              <w:tl2br w:val="nil"/>
              <w:tr2bl w:val="nil"/>
            </w:tcBorders>
            <w:vAlign w:val="center"/>
          </w:tcPr>
          <w:p w14:paraId="6090B34E">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5</w:t>
            </w:r>
          </w:p>
        </w:tc>
        <w:tc>
          <w:tcPr>
            <w:tcW w:w="614" w:type="pct"/>
            <w:tcBorders>
              <w:tl2br w:val="nil"/>
              <w:tr2bl w:val="nil"/>
            </w:tcBorders>
            <w:vAlign w:val="center"/>
          </w:tcPr>
          <w:p w14:paraId="4FCB89C0">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15</w:t>
            </w:r>
          </w:p>
        </w:tc>
        <w:tc>
          <w:tcPr>
            <w:tcW w:w="492" w:type="pct"/>
            <w:tcBorders>
              <w:tl2br w:val="nil"/>
              <w:tr2bl w:val="nil"/>
            </w:tcBorders>
            <w:vAlign w:val="center"/>
          </w:tcPr>
          <w:p w14:paraId="02F04071">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0</w:t>
            </w:r>
          </w:p>
        </w:tc>
        <w:tc>
          <w:tcPr>
            <w:tcW w:w="492" w:type="pct"/>
            <w:tcBorders>
              <w:tl2br w:val="nil"/>
              <w:tr2bl w:val="nil"/>
            </w:tcBorders>
            <w:vAlign w:val="center"/>
          </w:tcPr>
          <w:p w14:paraId="56A3E1F7">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0</w:t>
            </w:r>
          </w:p>
        </w:tc>
        <w:tc>
          <w:tcPr>
            <w:tcW w:w="376" w:type="pct"/>
            <w:tcBorders>
              <w:tl2br w:val="nil"/>
              <w:tr2bl w:val="nil"/>
            </w:tcBorders>
            <w:vAlign w:val="center"/>
          </w:tcPr>
          <w:p w14:paraId="435AEE37">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12</w:t>
            </w:r>
          </w:p>
        </w:tc>
      </w:tr>
      <w:tr w14:paraId="6F7824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23" w:type="pct"/>
            <w:tcBorders>
              <w:tl2br w:val="nil"/>
              <w:tr2bl w:val="nil"/>
            </w:tcBorders>
            <w:vAlign w:val="center"/>
          </w:tcPr>
          <w:p w14:paraId="5DF878C9">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哺乳纲</w:t>
            </w:r>
          </w:p>
        </w:tc>
        <w:tc>
          <w:tcPr>
            <w:tcW w:w="376" w:type="pct"/>
            <w:tcBorders>
              <w:tl2br w:val="nil"/>
              <w:tr2bl w:val="nil"/>
            </w:tcBorders>
            <w:vAlign w:val="center"/>
          </w:tcPr>
          <w:p w14:paraId="438964CD">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4</w:t>
            </w:r>
          </w:p>
        </w:tc>
        <w:tc>
          <w:tcPr>
            <w:tcW w:w="376" w:type="pct"/>
            <w:tcBorders>
              <w:tl2br w:val="nil"/>
              <w:tr2bl w:val="nil"/>
            </w:tcBorders>
            <w:vAlign w:val="center"/>
          </w:tcPr>
          <w:p w14:paraId="26065257">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7</w:t>
            </w:r>
          </w:p>
        </w:tc>
        <w:tc>
          <w:tcPr>
            <w:tcW w:w="473" w:type="pct"/>
            <w:tcBorders>
              <w:tl2br w:val="nil"/>
              <w:tr2bl w:val="nil"/>
            </w:tcBorders>
            <w:vAlign w:val="center"/>
          </w:tcPr>
          <w:p w14:paraId="66F84956">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12</w:t>
            </w:r>
          </w:p>
        </w:tc>
        <w:tc>
          <w:tcPr>
            <w:tcW w:w="565" w:type="pct"/>
            <w:tcBorders>
              <w:tl2br w:val="nil"/>
              <w:tr2bl w:val="nil"/>
            </w:tcBorders>
            <w:vAlign w:val="center"/>
          </w:tcPr>
          <w:p w14:paraId="3DF1B783">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5</w:t>
            </w:r>
          </w:p>
        </w:tc>
        <w:tc>
          <w:tcPr>
            <w:tcW w:w="610" w:type="pct"/>
            <w:tcBorders>
              <w:tl2br w:val="nil"/>
              <w:tr2bl w:val="nil"/>
            </w:tcBorders>
            <w:vAlign w:val="center"/>
          </w:tcPr>
          <w:p w14:paraId="160E1DA6">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0</w:t>
            </w:r>
          </w:p>
        </w:tc>
        <w:tc>
          <w:tcPr>
            <w:tcW w:w="614" w:type="pct"/>
            <w:tcBorders>
              <w:tl2br w:val="nil"/>
              <w:tr2bl w:val="nil"/>
            </w:tcBorders>
            <w:vAlign w:val="center"/>
          </w:tcPr>
          <w:p w14:paraId="5156948D">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7</w:t>
            </w:r>
          </w:p>
        </w:tc>
        <w:tc>
          <w:tcPr>
            <w:tcW w:w="492" w:type="pct"/>
            <w:tcBorders>
              <w:tl2br w:val="nil"/>
              <w:tr2bl w:val="nil"/>
            </w:tcBorders>
            <w:vAlign w:val="center"/>
          </w:tcPr>
          <w:p w14:paraId="032044F8">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0</w:t>
            </w:r>
          </w:p>
        </w:tc>
        <w:tc>
          <w:tcPr>
            <w:tcW w:w="492" w:type="pct"/>
            <w:tcBorders>
              <w:tl2br w:val="nil"/>
              <w:tr2bl w:val="nil"/>
            </w:tcBorders>
            <w:vAlign w:val="center"/>
          </w:tcPr>
          <w:p w14:paraId="31B366B7">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rPr>
            </w:pPr>
            <w:r>
              <w:rPr>
                <w:rFonts w:hint="default" w:ascii="Times New Roman" w:hAnsi="Times New Roman" w:eastAsia="宋体" w:cs="Times New Roman"/>
                <w:caps w:val="0"/>
                <w:smallCaps w:val="0"/>
                <w:sz w:val="21"/>
                <w:szCs w:val="21"/>
                <w:lang w:val="en-US" w:eastAsia="zh-CN"/>
              </w:rPr>
              <w:t>0</w:t>
            </w:r>
          </w:p>
        </w:tc>
        <w:tc>
          <w:tcPr>
            <w:tcW w:w="376" w:type="pct"/>
            <w:tcBorders>
              <w:tl2br w:val="nil"/>
              <w:tr2bl w:val="nil"/>
            </w:tcBorders>
            <w:vAlign w:val="center"/>
          </w:tcPr>
          <w:p w14:paraId="09496254">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eastAsia="zh-CN"/>
              </w:rPr>
            </w:pPr>
            <w:r>
              <w:rPr>
                <w:rFonts w:hint="default" w:ascii="Times New Roman" w:hAnsi="Times New Roman" w:eastAsia="宋体" w:cs="Times New Roman"/>
                <w:caps w:val="0"/>
                <w:smallCaps w:val="0"/>
                <w:sz w:val="21"/>
                <w:szCs w:val="21"/>
                <w:lang w:val="en-US" w:eastAsia="zh-CN"/>
              </w:rPr>
              <w:t>7</w:t>
            </w:r>
          </w:p>
        </w:tc>
      </w:tr>
      <w:tr w14:paraId="0A221F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23" w:type="pct"/>
            <w:tcBorders>
              <w:tl2br w:val="nil"/>
              <w:tr2bl w:val="nil"/>
            </w:tcBorders>
            <w:vAlign w:val="center"/>
          </w:tcPr>
          <w:p w14:paraId="75222D08">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sz w:val="21"/>
                <w:szCs w:val="21"/>
              </w:rPr>
            </w:pPr>
            <w:r>
              <w:rPr>
                <w:rFonts w:hint="default" w:ascii="Times New Roman" w:hAnsi="Times New Roman" w:eastAsia="宋体" w:cs="Times New Roman"/>
                <w:b/>
                <w:bCs/>
                <w:caps w:val="0"/>
                <w:smallCaps w:val="0"/>
                <w:sz w:val="21"/>
                <w:szCs w:val="21"/>
              </w:rPr>
              <w:t>合计</w:t>
            </w:r>
          </w:p>
        </w:tc>
        <w:tc>
          <w:tcPr>
            <w:tcW w:w="633" w:type="dxa"/>
            <w:tcBorders>
              <w:tl2br w:val="nil"/>
              <w:tr2bl w:val="nil"/>
            </w:tcBorders>
            <w:vAlign w:val="center"/>
          </w:tcPr>
          <w:p w14:paraId="76A3A088">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19</w:t>
            </w:r>
          </w:p>
        </w:tc>
        <w:tc>
          <w:tcPr>
            <w:tcW w:w="633" w:type="dxa"/>
            <w:tcBorders>
              <w:tl2br w:val="nil"/>
              <w:tr2bl w:val="nil"/>
            </w:tcBorders>
            <w:vAlign w:val="center"/>
          </w:tcPr>
          <w:p w14:paraId="4C3308C3">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54</w:t>
            </w:r>
          </w:p>
        </w:tc>
        <w:tc>
          <w:tcPr>
            <w:tcW w:w="799" w:type="dxa"/>
            <w:tcBorders>
              <w:tl2br w:val="nil"/>
              <w:tr2bl w:val="nil"/>
            </w:tcBorders>
            <w:vAlign w:val="center"/>
          </w:tcPr>
          <w:p w14:paraId="4523D7E2">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93</w:t>
            </w:r>
          </w:p>
        </w:tc>
        <w:tc>
          <w:tcPr>
            <w:tcW w:w="952" w:type="dxa"/>
            <w:tcBorders>
              <w:tl2br w:val="nil"/>
              <w:tr2bl w:val="nil"/>
            </w:tcBorders>
            <w:vAlign w:val="center"/>
          </w:tcPr>
          <w:p w14:paraId="08F405AA">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55</w:t>
            </w:r>
          </w:p>
        </w:tc>
        <w:tc>
          <w:tcPr>
            <w:tcW w:w="1028" w:type="dxa"/>
            <w:tcBorders>
              <w:tl2br w:val="nil"/>
              <w:tr2bl w:val="nil"/>
            </w:tcBorders>
            <w:vAlign w:val="center"/>
          </w:tcPr>
          <w:p w14:paraId="5F0C9F86">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5</w:t>
            </w:r>
          </w:p>
        </w:tc>
        <w:tc>
          <w:tcPr>
            <w:tcW w:w="1036" w:type="dxa"/>
            <w:tcBorders>
              <w:tl2br w:val="nil"/>
              <w:tr2bl w:val="nil"/>
            </w:tcBorders>
            <w:vAlign w:val="center"/>
          </w:tcPr>
          <w:p w14:paraId="2C71EE77">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33</w:t>
            </w:r>
          </w:p>
        </w:tc>
        <w:tc>
          <w:tcPr>
            <w:tcW w:w="492" w:type="pct"/>
            <w:tcBorders>
              <w:tl2br w:val="nil"/>
              <w:tr2bl w:val="nil"/>
            </w:tcBorders>
            <w:vAlign w:val="center"/>
          </w:tcPr>
          <w:p w14:paraId="10E2FA7D">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0</w:t>
            </w:r>
          </w:p>
        </w:tc>
        <w:tc>
          <w:tcPr>
            <w:tcW w:w="492" w:type="pct"/>
            <w:tcBorders>
              <w:tl2br w:val="nil"/>
              <w:tr2bl w:val="nil"/>
            </w:tcBorders>
            <w:vAlign w:val="center"/>
          </w:tcPr>
          <w:p w14:paraId="21BF8271">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0</w:t>
            </w:r>
          </w:p>
        </w:tc>
        <w:tc>
          <w:tcPr>
            <w:tcW w:w="376" w:type="pct"/>
            <w:tcBorders>
              <w:tl2br w:val="nil"/>
              <w:tr2bl w:val="nil"/>
            </w:tcBorders>
            <w:vAlign w:val="center"/>
          </w:tcPr>
          <w:p w14:paraId="1BEBAACA">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lang w:val="en-US" w:eastAsia="zh-CN"/>
              </w:rPr>
            </w:pPr>
            <w:r>
              <w:rPr>
                <w:rFonts w:hint="default" w:ascii="Times New Roman" w:hAnsi="Times New Roman" w:eastAsia="宋体" w:cs="Times New Roman"/>
                <w:caps w:val="0"/>
                <w:smallCaps w:val="0"/>
                <w:sz w:val="21"/>
                <w:szCs w:val="21"/>
                <w:lang w:val="en-US" w:eastAsia="zh-CN"/>
              </w:rPr>
              <w:t>34</w:t>
            </w:r>
          </w:p>
        </w:tc>
      </w:tr>
    </w:tbl>
    <w:p w14:paraId="51BCDD3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color w:val="auto"/>
          <w:sz w:val="24"/>
          <w:szCs w:val="24"/>
          <w:highlight w:val="none"/>
          <w:u w:val="none"/>
          <w:lang w:val="en-US" w:eastAsia="zh-CN" w:bidi="ar"/>
        </w:rPr>
      </w:pPr>
      <w:r>
        <w:rPr>
          <w:rFonts w:hint="default" w:ascii="Times New Roman" w:hAnsi="Times New Roman" w:eastAsia="宋体" w:cs="Times New Roman"/>
          <w:bCs/>
          <w:caps w:val="0"/>
          <w:smallCaps w:val="0"/>
          <w:sz w:val="24"/>
          <w:szCs w:val="24"/>
        </w:rPr>
        <w:t>从动物区系成分分析，评价区脊椎动物东洋种数量较多。其中东洋种</w:t>
      </w:r>
      <w:r>
        <w:rPr>
          <w:rFonts w:hint="default" w:ascii="Times New Roman" w:hAnsi="Times New Roman" w:eastAsia="宋体" w:cs="Times New Roman"/>
          <w:bCs/>
          <w:caps w:val="0"/>
          <w:smallCaps w:val="0"/>
          <w:sz w:val="24"/>
          <w:szCs w:val="24"/>
          <w:lang w:val="en-US" w:eastAsia="zh-CN"/>
        </w:rPr>
        <w:t>55</w:t>
      </w:r>
      <w:r>
        <w:rPr>
          <w:rFonts w:hint="default" w:ascii="Times New Roman" w:hAnsi="Times New Roman" w:eastAsia="宋体" w:cs="Times New Roman"/>
          <w:bCs/>
          <w:caps w:val="0"/>
          <w:smallCaps w:val="0"/>
          <w:sz w:val="24"/>
          <w:szCs w:val="24"/>
        </w:rPr>
        <w:t>种，占评价区总种数的</w:t>
      </w:r>
      <w:r>
        <w:rPr>
          <w:rFonts w:hint="default" w:ascii="Times New Roman" w:hAnsi="Times New Roman" w:eastAsia="宋体" w:cs="Times New Roman"/>
          <w:bCs/>
          <w:caps w:val="0"/>
          <w:smallCaps w:val="0"/>
          <w:sz w:val="24"/>
          <w:szCs w:val="24"/>
          <w:lang w:val="en-US" w:eastAsia="zh-CN"/>
        </w:rPr>
        <w:t>59.14</w:t>
      </w:r>
      <w:r>
        <w:rPr>
          <w:rFonts w:hint="default" w:ascii="Times New Roman" w:hAnsi="Times New Roman" w:eastAsia="宋体" w:cs="Times New Roman"/>
          <w:bCs/>
          <w:caps w:val="0"/>
          <w:smallCaps w:val="0"/>
          <w:sz w:val="24"/>
          <w:szCs w:val="24"/>
        </w:rPr>
        <w:t>%；古北种5种，占评价区总种数的</w:t>
      </w:r>
      <w:r>
        <w:rPr>
          <w:rFonts w:hint="default" w:ascii="Times New Roman" w:hAnsi="Times New Roman" w:eastAsia="宋体" w:cs="Times New Roman"/>
          <w:bCs/>
          <w:caps w:val="0"/>
          <w:smallCaps w:val="0"/>
          <w:sz w:val="24"/>
          <w:szCs w:val="24"/>
          <w:lang w:val="en-US" w:eastAsia="zh-CN"/>
        </w:rPr>
        <w:t>5.38</w:t>
      </w:r>
      <w:r>
        <w:rPr>
          <w:rFonts w:hint="default" w:ascii="Times New Roman" w:hAnsi="Times New Roman" w:eastAsia="宋体" w:cs="Times New Roman"/>
          <w:bCs/>
          <w:caps w:val="0"/>
          <w:smallCaps w:val="0"/>
          <w:sz w:val="24"/>
          <w:szCs w:val="24"/>
        </w:rPr>
        <w:t>%；广布种</w:t>
      </w:r>
      <w:r>
        <w:rPr>
          <w:rFonts w:hint="default" w:ascii="Times New Roman" w:hAnsi="Times New Roman" w:eastAsia="宋体" w:cs="Times New Roman"/>
          <w:bCs/>
          <w:caps w:val="0"/>
          <w:smallCaps w:val="0"/>
          <w:sz w:val="24"/>
          <w:szCs w:val="24"/>
          <w:lang w:val="en-US" w:eastAsia="zh-CN"/>
        </w:rPr>
        <w:t>34</w:t>
      </w:r>
      <w:r>
        <w:rPr>
          <w:rFonts w:hint="default" w:ascii="Times New Roman" w:hAnsi="Times New Roman" w:eastAsia="宋体" w:cs="Times New Roman"/>
          <w:bCs/>
          <w:caps w:val="0"/>
          <w:smallCaps w:val="0"/>
          <w:sz w:val="24"/>
          <w:szCs w:val="24"/>
        </w:rPr>
        <w:t>种，占评价区总种数的</w:t>
      </w:r>
      <w:r>
        <w:rPr>
          <w:rFonts w:hint="default" w:ascii="Times New Roman" w:hAnsi="Times New Roman" w:eastAsia="宋体" w:cs="Times New Roman"/>
          <w:bCs/>
          <w:caps w:val="0"/>
          <w:smallCaps w:val="0"/>
          <w:sz w:val="24"/>
          <w:szCs w:val="24"/>
          <w:lang w:val="en-US" w:eastAsia="zh-CN"/>
        </w:rPr>
        <w:t>35.48</w:t>
      </w:r>
      <w:r>
        <w:rPr>
          <w:rFonts w:hint="default" w:ascii="Times New Roman" w:hAnsi="Times New Roman" w:eastAsia="宋体" w:cs="Times New Roman"/>
          <w:bCs/>
          <w:caps w:val="0"/>
          <w:smallCaps w:val="0"/>
          <w:sz w:val="24"/>
          <w:szCs w:val="24"/>
        </w:rPr>
        <w:t>%。可见，评价区动物区系特征中，东洋种所占比例较大，这与评价区地处东洋界的地理位置是吻合的。</w:t>
      </w:r>
    </w:p>
    <w:p w14:paraId="5564C1BC">
      <w:pPr>
        <w:pStyle w:val="9"/>
        <w:bidi w:val="0"/>
        <w:rPr>
          <w:rFonts w:hint="default" w:ascii="Times New Roman" w:hAnsi="Times New Roman" w:cs="Times New Roman"/>
          <w:lang w:val="zh-CN" w:eastAsia="zh-CN"/>
        </w:rPr>
      </w:pPr>
      <w:r>
        <w:rPr>
          <w:rFonts w:hint="default" w:ascii="Times New Roman" w:hAnsi="Times New Roman" w:cs="Times New Roman"/>
          <w:lang w:val="en-US" w:eastAsia="zh-CN"/>
        </w:rPr>
        <w:t>两栖类</w:t>
      </w:r>
    </w:p>
    <w:p w14:paraId="1D9E7722">
      <w:pPr>
        <w:autoSpaceDE w:val="0"/>
        <w:autoSpaceDN w:val="0"/>
        <w:adjustRightInd w:val="0"/>
        <w:snapToGrid w:val="0"/>
        <w:spacing w:line="360" w:lineRule="auto"/>
        <w:ind w:firstLine="480" w:firstLineChars="200"/>
        <w:rPr>
          <w:rFonts w:hint="default" w:ascii="Times New Roman" w:hAnsi="Times New Roman" w:eastAsia="宋体" w:cs="Times New Roman"/>
          <w:bCs/>
          <w:caps w:val="0"/>
          <w:smallCaps w:val="0"/>
          <w:kern w:val="0"/>
          <w:sz w:val="24"/>
          <w:szCs w:val="24"/>
          <w:lang w:val="zh-CN"/>
        </w:rPr>
      </w:pPr>
      <w:r>
        <w:rPr>
          <w:rFonts w:hint="default" w:ascii="Times New Roman" w:hAnsi="Times New Roman" w:eastAsia="宋体" w:cs="Times New Roman"/>
          <w:bCs/>
          <w:caps w:val="0"/>
          <w:smallCaps w:val="0"/>
          <w:kern w:val="0"/>
          <w:sz w:val="24"/>
          <w:szCs w:val="24"/>
        </w:rPr>
        <w:t>主要通过座谈访问和查阅已发表的在评价区及其附近的相关文献资料，得出评价区野生两栖类种类、数量及分布现状如下：</w:t>
      </w:r>
    </w:p>
    <w:p w14:paraId="66816BAB">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outlineLvl w:val="9"/>
        <w:rPr>
          <w:rFonts w:hint="default" w:ascii="Times New Roman" w:hAnsi="Times New Roman" w:eastAsia="宋体" w:cs="Times New Roman"/>
          <w:b/>
          <w:bCs/>
          <w:caps w:val="0"/>
          <w:smallCaps w:val="0"/>
          <w:kern w:val="0"/>
          <w:sz w:val="24"/>
          <w:szCs w:val="24"/>
          <w:lang w:val="zh-CN"/>
        </w:rPr>
      </w:pPr>
      <w:r>
        <w:rPr>
          <w:rFonts w:hint="default" w:ascii="Times New Roman" w:hAnsi="Times New Roman" w:eastAsia="宋体" w:cs="Times New Roman"/>
          <w:b/>
          <w:bCs/>
          <w:caps w:val="0"/>
          <w:smallCaps w:val="0"/>
          <w:kern w:val="0"/>
          <w:sz w:val="24"/>
          <w:szCs w:val="24"/>
          <w:lang w:val="zh-CN"/>
        </w:rPr>
        <w:t>（1）种类、数量及分布</w:t>
      </w:r>
    </w:p>
    <w:p w14:paraId="6950BC52">
      <w:pPr>
        <w:autoSpaceDE w:val="0"/>
        <w:autoSpaceDN w:val="0"/>
        <w:adjustRightInd w:val="0"/>
        <w:snapToGrid w:val="0"/>
        <w:spacing w:line="360" w:lineRule="auto"/>
        <w:ind w:firstLine="480" w:firstLineChars="200"/>
        <w:rPr>
          <w:rFonts w:hint="default" w:ascii="Times New Roman" w:hAnsi="Times New Roman" w:eastAsia="宋体" w:cs="Times New Roman"/>
          <w:bCs/>
          <w:caps w:val="0"/>
          <w:smallCaps w:val="0"/>
          <w:kern w:val="0"/>
          <w:sz w:val="24"/>
          <w:szCs w:val="24"/>
          <w:lang w:val="zh-CN"/>
        </w:rPr>
      </w:pPr>
      <w:r>
        <w:rPr>
          <w:rFonts w:hint="default" w:ascii="Times New Roman" w:hAnsi="Times New Roman" w:eastAsia="宋体" w:cs="Times New Roman"/>
          <w:bCs/>
          <w:caps w:val="0"/>
          <w:smallCaps w:val="0"/>
          <w:kern w:val="0"/>
          <w:sz w:val="24"/>
          <w:szCs w:val="24"/>
          <w:lang w:val="zh-CN"/>
        </w:rPr>
        <w:t>根据现场调查、区域文献及相关资料，评价区内有两栖类1目4科7种，以蛙科种类最多，共3种，占评价区两栖类总种数的42.86%。评价区域内未发现国家级重点保护两栖类；有湖南省级重点保护两栖类2种，为中华蟾蜍和黑斑侧褶蛙；无《中国生物多样性红色名录》评级为极危（CR）、濒危（EN）、易危（VU）级别的物种；有中国特有种2种，为镇海林蛙（</w:t>
      </w:r>
      <w:r>
        <w:rPr>
          <w:rFonts w:hint="default" w:ascii="Times New Roman" w:hAnsi="Times New Roman" w:eastAsia="宋体" w:cs="Times New Roman"/>
          <w:bCs/>
          <w:i/>
          <w:iCs/>
          <w:caps w:val="0"/>
          <w:smallCaps w:val="0"/>
          <w:kern w:val="0"/>
          <w:sz w:val="24"/>
          <w:szCs w:val="24"/>
          <w:lang w:val="zh-CN"/>
        </w:rPr>
        <w:t>Rana zhenhaiensis</w:t>
      </w:r>
      <w:r>
        <w:rPr>
          <w:rFonts w:hint="default" w:ascii="Times New Roman" w:hAnsi="Times New Roman" w:eastAsia="宋体" w:cs="Times New Roman"/>
          <w:bCs/>
          <w:caps w:val="0"/>
          <w:smallCaps w:val="0"/>
          <w:kern w:val="0"/>
          <w:sz w:val="24"/>
          <w:szCs w:val="24"/>
          <w:lang w:val="zh-CN"/>
        </w:rPr>
        <w:t>）和湖北侧褶蛙。评价区内中华蟾蜍、黑斑侧褶蛙等适应能力强，分布广，为评价区常见种。</w:t>
      </w:r>
    </w:p>
    <w:p w14:paraId="3B8B8A16">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rPr>
          <w:rFonts w:hint="default" w:ascii="Times New Roman" w:hAnsi="Times New Roman" w:eastAsia="宋体" w:cs="Times New Roman"/>
          <w:b/>
          <w:bCs/>
          <w:caps w:val="0"/>
          <w:smallCaps w:val="0"/>
          <w:kern w:val="0"/>
          <w:sz w:val="24"/>
          <w:szCs w:val="24"/>
          <w:lang w:val="zh-CN"/>
        </w:rPr>
      </w:pPr>
      <w:r>
        <w:rPr>
          <w:rFonts w:hint="default" w:ascii="Times New Roman" w:hAnsi="Times New Roman" w:eastAsia="宋体" w:cs="Times New Roman"/>
          <w:b/>
          <w:bCs/>
          <w:caps w:val="0"/>
          <w:smallCaps w:val="0"/>
          <w:kern w:val="0"/>
          <w:sz w:val="24"/>
          <w:szCs w:val="24"/>
          <w:lang w:val="zh-CN"/>
        </w:rPr>
        <w:t>（2）生态类型</w:t>
      </w:r>
    </w:p>
    <w:p w14:paraId="118D67EA">
      <w:pPr>
        <w:spacing w:line="360" w:lineRule="auto"/>
        <w:ind w:firstLine="480" w:firstLineChars="200"/>
        <w:rPr>
          <w:rFonts w:hint="default" w:ascii="Times New Roman" w:hAnsi="Times New Roman" w:eastAsia="宋体" w:cs="Times New Roman"/>
          <w:bCs/>
          <w:caps w:val="0"/>
          <w:smallCaps w:val="0"/>
          <w:kern w:val="0"/>
          <w:sz w:val="24"/>
          <w:szCs w:val="24"/>
        </w:rPr>
      </w:pPr>
      <w:r>
        <w:rPr>
          <w:rFonts w:hint="default" w:ascii="Times New Roman" w:hAnsi="Times New Roman" w:eastAsia="宋体" w:cs="Times New Roman"/>
          <w:bCs/>
          <w:caps w:val="0"/>
          <w:smallCaps w:val="0"/>
          <w:kern w:val="0"/>
          <w:sz w:val="24"/>
          <w:szCs w:val="24"/>
        </w:rPr>
        <w:t>根据生活习性的不同，评价区内7种两栖动物可以分为2种生态类型：</w:t>
      </w:r>
    </w:p>
    <w:p w14:paraId="2E9F3843">
      <w:pPr>
        <w:spacing w:line="360" w:lineRule="auto"/>
        <w:ind w:firstLine="480" w:firstLineChars="200"/>
        <w:rPr>
          <w:rFonts w:hint="default" w:ascii="Times New Roman" w:hAnsi="Times New Roman" w:eastAsia="宋体" w:cs="Times New Roman"/>
          <w:bCs/>
          <w:caps w:val="0"/>
          <w:smallCaps w:val="0"/>
          <w:kern w:val="0"/>
          <w:sz w:val="24"/>
          <w:szCs w:val="24"/>
        </w:rPr>
      </w:pPr>
      <w:r>
        <w:rPr>
          <w:rFonts w:hint="default" w:ascii="Times New Roman" w:hAnsi="Times New Roman" w:eastAsia="宋体" w:cs="Times New Roman"/>
          <w:bCs/>
          <w:caps w:val="0"/>
          <w:smallCaps w:val="0"/>
          <w:kern w:val="0"/>
          <w:sz w:val="24"/>
          <w:szCs w:val="24"/>
        </w:rPr>
        <w:t>静水型（在静水或缓流中觅食）：有黑斑侧褶蛙、湖北侧褶蛙2种，主要在评价区内的沟渠、水库区域活动。</w:t>
      </w:r>
    </w:p>
    <w:p w14:paraId="75971A64">
      <w:pPr>
        <w:spacing w:line="360" w:lineRule="auto"/>
        <w:ind w:firstLine="480" w:firstLineChars="200"/>
        <w:rPr>
          <w:rFonts w:hint="default" w:ascii="Times New Roman" w:hAnsi="Times New Roman" w:eastAsia="宋体" w:cs="Times New Roman"/>
          <w:bCs/>
          <w:caps w:val="0"/>
          <w:smallCaps w:val="0"/>
          <w:kern w:val="0"/>
          <w:sz w:val="24"/>
          <w:szCs w:val="24"/>
        </w:rPr>
      </w:pPr>
      <w:r>
        <w:rPr>
          <w:rFonts w:hint="default" w:ascii="Times New Roman" w:hAnsi="Times New Roman" w:eastAsia="宋体" w:cs="Times New Roman"/>
          <w:bCs/>
          <w:caps w:val="0"/>
          <w:smallCaps w:val="0"/>
          <w:kern w:val="0"/>
          <w:sz w:val="24"/>
          <w:szCs w:val="24"/>
        </w:rPr>
        <w:t>陆栖型（在陆地上活动觅食）：包括中华蟾蜍、镇海林蛙、川村陆蛙、小弧斑姬蛙（</w:t>
      </w:r>
      <w:r>
        <w:rPr>
          <w:rFonts w:hint="default" w:ascii="Times New Roman" w:hAnsi="Times New Roman" w:eastAsia="宋体" w:cs="Times New Roman"/>
          <w:bCs/>
          <w:i/>
          <w:iCs/>
          <w:caps w:val="0"/>
          <w:smallCaps w:val="0"/>
          <w:kern w:val="0"/>
          <w:sz w:val="24"/>
          <w:szCs w:val="24"/>
        </w:rPr>
        <w:t>Microhyla</w:t>
      </w:r>
      <w:r>
        <w:rPr>
          <w:rFonts w:hint="default" w:ascii="Times New Roman" w:hAnsi="Times New Roman" w:eastAsia="宋体" w:cs="Times New Roman"/>
          <w:bCs/>
          <w:i/>
          <w:iCs/>
          <w:caps w:val="0"/>
          <w:smallCaps w:val="0"/>
          <w:kern w:val="0"/>
          <w:sz w:val="24"/>
          <w:szCs w:val="24"/>
          <w:lang w:val="en-US" w:eastAsia="zh-CN"/>
        </w:rPr>
        <w:t xml:space="preserve"> </w:t>
      </w:r>
      <w:r>
        <w:rPr>
          <w:rFonts w:hint="default" w:ascii="Times New Roman" w:hAnsi="Times New Roman" w:eastAsia="宋体" w:cs="Times New Roman"/>
          <w:bCs/>
          <w:i/>
          <w:iCs/>
          <w:caps w:val="0"/>
          <w:smallCaps w:val="0"/>
          <w:kern w:val="0"/>
          <w:sz w:val="24"/>
          <w:szCs w:val="24"/>
        </w:rPr>
        <w:t>heymonsi</w:t>
      </w:r>
      <w:r>
        <w:rPr>
          <w:rFonts w:hint="default" w:ascii="Times New Roman" w:hAnsi="Times New Roman" w:eastAsia="宋体" w:cs="Times New Roman"/>
          <w:bCs/>
          <w:caps w:val="0"/>
          <w:smallCaps w:val="0"/>
          <w:kern w:val="0"/>
          <w:sz w:val="24"/>
          <w:szCs w:val="24"/>
        </w:rPr>
        <w:t>）和饰纹姬蛙5种，它们主要是在评价区内离水源不远的陆地上活动。</w:t>
      </w:r>
    </w:p>
    <w:p w14:paraId="1B1248F7">
      <w:pPr>
        <w:spacing w:line="360" w:lineRule="auto"/>
        <w:ind w:firstLine="482" w:firstLineChars="200"/>
        <w:rPr>
          <w:rFonts w:hint="default" w:ascii="Times New Roman" w:hAnsi="Times New Roman" w:eastAsia="宋体" w:cs="Times New Roman"/>
          <w:b/>
          <w:bCs w:val="0"/>
          <w:caps w:val="0"/>
          <w:smallCaps w:val="0"/>
          <w:kern w:val="0"/>
          <w:sz w:val="24"/>
          <w:szCs w:val="24"/>
          <w:lang w:eastAsia="zh-CN"/>
        </w:rPr>
      </w:pPr>
      <w:r>
        <w:rPr>
          <w:rFonts w:hint="default" w:ascii="Times New Roman" w:hAnsi="Times New Roman" w:eastAsia="宋体" w:cs="Times New Roman"/>
          <w:b/>
          <w:bCs w:val="0"/>
          <w:caps w:val="0"/>
          <w:smallCaps w:val="0"/>
          <w:kern w:val="0"/>
          <w:sz w:val="24"/>
          <w:szCs w:val="24"/>
          <w:lang w:eastAsia="zh-CN"/>
        </w:rPr>
        <w:t>（</w:t>
      </w:r>
      <w:r>
        <w:rPr>
          <w:rFonts w:hint="default" w:ascii="Times New Roman" w:hAnsi="Times New Roman" w:eastAsia="宋体" w:cs="Times New Roman"/>
          <w:b/>
          <w:bCs w:val="0"/>
          <w:caps w:val="0"/>
          <w:smallCaps w:val="0"/>
          <w:kern w:val="0"/>
          <w:sz w:val="24"/>
          <w:szCs w:val="24"/>
          <w:lang w:val="en-US" w:eastAsia="zh-CN"/>
        </w:rPr>
        <w:t>3</w:t>
      </w:r>
      <w:r>
        <w:rPr>
          <w:rFonts w:hint="default" w:ascii="Times New Roman" w:hAnsi="Times New Roman" w:eastAsia="宋体" w:cs="Times New Roman"/>
          <w:b/>
          <w:bCs w:val="0"/>
          <w:caps w:val="0"/>
          <w:smallCaps w:val="0"/>
          <w:kern w:val="0"/>
          <w:sz w:val="24"/>
          <w:szCs w:val="24"/>
          <w:lang w:eastAsia="zh-CN"/>
        </w:rPr>
        <w:t>）区系类型</w:t>
      </w:r>
    </w:p>
    <w:p w14:paraId="3F0D2E01">
      <w:pPr>
        <w:widowControl/>
        <w:spacing w:line="360" w:lineRule="auto"/>
        <w:ind w:firstLine="480" w:firstLineChars="200"/>
        <w:rPr>
          <w:rFonts w:hint="default" w:ascii="Times New Roman" w:hAnsi="Times New Roman" w:eastAsia="宋体" w:cs="Times New Roman"/>
          <w:caps w:val="0"/>
          <w:smallCaps w:val="0"/>
          <w:color w:val="auto"/>
          <w:kern w:val="0"/>
          <w:sz w:val="24"/>
          <w:szCs w:val="24"/>
        </w:rPr>
      </w:pPr>
      <w:r>
        <w:rPr>
          <w:rFonts w:hint="default" w:ascii="Times New Roman" w:hAnsi="Times New Roman" w:eastAsia="宋体" w:cs="Times New Roman"/>
          <w:bCs/>
          <w:caps w:val="0"/>
          <w:smallCaps w:val="0"/>
          <w:kern w:val="0"/>
          <w:sz w:val="24"/>
          <w:szCs w:val="24"/>
        </w:rPr>
        <w:t>评价区内分布的7种两栖类中，东洋种有4种，占两栖动物总数的57.14%，广布种3种，占两栖动物总数的42.86%，无古北种分布。评价区内的两栖类以东洋界成分占优势，这与评价区内地处东洋界的地理位置一致。</w:t>
      </w:r>
    </w:p>
    <w:p w14:paraId="391013AC">
      <w:pPr>
        <w:pStyle w:val="9"/>
        <w:bidi w:val="0"/>
        <w:rPr>
          <w:rFonts w:hint="default" w:ascii="Times New Roman" w:hAnsi="Times New Roman" w:cs="Times New Roman"/>
          <w:lang w:val="zh-CN" w:eastAsia="zh-CN"/>
        </w:rPr>
      </w:pPr>
      <w:r>
        <w:rPr>
          <w:rFonts w:hint="default" w:ascii="Times New Roman" w:hAnsi="Times New Roman" w:cs="Times New Roman"/>
          <w:lang w:val="en-US" w:eastAsia="zh-CN"/>
        </w:rPr>
        <w:t>爬行类</w:t>
      </w:r>
    </w:p>
    <w:p w14:paraId="0B8E5D39">
      <w:pPr>
        <w:spacing w:line="360" w:lineRule="auto"/>
        <w:ind w:firstLine="480" w:firstLineChars="200"/>
        <w:jc w:val="left"/>
        <w:rPr>
          <w:rFonts w:hint="default" w:ascii="Times New Roman" w:hAnsi="Times New Roman" w:eastAsia="宋体" w:cs="Times New Roman"/>
          <w:caps w:val="0"/>
          <w:smallCaps w:val="0"/>
          <w:sz w:val="24"/>
          <w:szCs w:val="24"/>
        </w:rPr>
      </w:pPr>
      <w:r>
        <w:rPr>
          <w:rFonts w:hint="default" w:ascii="Times New Roman" w:hAnsi="Times New Roman" w:eastAsia="宋体" w:cs="Times New Roman"/>
          <w:bCs/>
          <w:caps w:val="0"/>
          <w:smallCaps w:val="0"/>
          <w:kern w:val="0"/>
          <w:sz w:val="24"/>
          <w:szCs w:val="24"/>
        </w:rPr>
        <w:t>主要通过</w:t>
      </w:r>
      <w:r>
        <w:rPr>
          <w:rFonts w:hint="default" w:ascii="Times New Roman" w:hAnsi="Times New Roman" w:eastAsia="宋体" w:cs="Times New Roman"/>
          <w:bCs/>
          <w:caps w:val="0"/>
          <w:smallCaps w:val="0"/>
          <w:kern w:val="0"/>
          <w:sz w:val="24"/>
          <w:szCs w:val="24"/>
          <w:lang w:val="zh-CN"/>
        </w:rPr>
        <w:t>调查访问和查阅已发表的在评价区及附近的相关的文献资料，得出评价区野生</w:t>
      </w:r>
      <w:r>
        <w:rPr>
          <w:rFonts w:hint="default" w:ascii="Times New Roman" w:hAnsi="Times New Roman" w:eastAsia="宋体" w:cs="Times New Roman"/>
          <w:bCs/>
          <w:caps w:val="0"/>
          <w:smallCaps w:val="0"/>
          <w:sz w:val="24"/>
          <w:szCs w:val="24"/>
        </w:rPr>
        <w:t>爬行类种类、数量及分布</w:t>
      </w:r>
      <w:r>
        <w:rPr>
          <w:rFonts w:hint="default" w:ascii="Times New Roman" w:hAnsi="Times New Roman" w:eastAsia="宋体" w:cs="Times New Roman"/>
          <w:bCs/>
          <w:caps w:val="0"/>
          <w:smallCaps w:val="0"/>
          <w:kern w:val="0"/>
          <w:sz w:val="24"/>
          <w:szCs w:val="24"/>
          <w:lang w:val="zh-CN"/>
        </w:rPr>
        <w:t>现状如下：</w:t>
      </w:r>
    </w:p>
    <w:p w14:paraId="5D818B6B">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caps w:val="0"/>
          <w:smallCaps w:val="0"/>
          <w:sz w:val="24"/>
          <w:szCs w:val="24"/>
        </w:rPr>
      </w:pPr>
      <w:r>
        <w:rPr>
          <w:rFonts w:hint="default" w:ascii="Times New Roman" w:hAnsi="Times New Roman" w:eastAsia="宋体" w:cs="Times New Roman"/>
          <w:b/>
          <w:caps w:val="0"/>
          <w:smallCaps w:val="0"/>
          <w:sz w:val="24"/>
          <w:szCs w:val="24"/>
        </w:rPr>
        <w:t>（1）</w:t>
      </w:r>
      <w:r>
        <w:rPr>
          <w:rFonts w:hint="default" w:ascii="Times New Roman" w:hAnsi="Times New Roman" w:eastAsia="宋体" w:cs="Times New Roman"/>
          <w:b/>
          <w:bCs/>
          <w:caps w:val="0"/>
          <w:smallCaps w:val="0"/>
          <w:kern w:val="0"/>
          <w:sz w:val="24"/>
          <w:szCs w:val="24"/>
          <w:lang w:val="zh-CN"/>
        </w:rPr>
        <w:t>种类、数量及分布</w:t>
      </w:r>
    </w:p>
    <w:p w14:paraId="734537A0">
      <w:pPr>
        <w:spacing w:line="360" w:lineRule="auto"/>
        <w:ind w:firstLine="480" w:firstLineChars="200"/>
        <w:rPr>
          <w:rFonts w:hint="default" w:ascii="Times New Roman" w:hAnsi="Times New Roman" w:eastAsia="宋体" w:cs="Times New Roman"/>
          <w:caps w:val="0"/>
          <w:smallCaps w:val="0"/>
          <w:sz w:val="24"/>
          <w:szCs w:val="24"/>
        </w:rPr>
      </w:pPr>
      <w:r>
        <w:rPr>
          <w:rFonts w:hint="default" w:ascii="Times New Roman" w:hAnsi="Times New Roman" w:eastAsia="宋体" w:cs="Times New Roman"/>
          <w:bCs/>
          <w:caps w:val="0"/>
          <w:smallCaps w:val="0"/>
          <w:sz w:val="24"/>
          <w:szCs w:val="24"/>
        </w:rPr>
        <w:t>评价区内爬行类共有2目</w:t>
      </w:r>
      <w:r>
        <w:rPr>
          <w:rFonts w:hint="default" w:ascii="Times New Roman" w:hAnsi="Times New Roman" w:eastAsia="宋体" w:cs="Times New Roman"/>
          <w:bCs/>
          <w:caps w:val="0"/>
          <w:smallCaps w:val="0"/>
          <w:sz w:val="24"/>
          <w:szCs w:val="24"/>
          <w:lang w:val="en-US" w:eastAsia="zh-CN"/>
        </w:rPr>
        <w:t>9</w:t>
      </w:r>
      <w:r>
        <w:rPr>
          <w:rFonts w:hint="default" w:ascii="Times New Roman" w:hAnsi="Times New Roman" w:eastAsia="宋体" w:cs="Times New Roman"/>
          <w:bCs/>
          <w:caps w:val="0"/>
          <w:smallCaps w:val="0"/>
          <w:sz w:val="24"/>
          <w:szCs w:val="24"/>
        </w:rPr>
        <w:t>科</w:t>
      </w:r>
      <w:r>
        <w:rPr>
          <w:rFonts w:hint="default" w:ascii="Times New Roman" w:hAnsi="Times New Roman" w:eastAsia="宋体" w:cs="Times New Roman"/>
          <w:bCs/>
          <w:caps w:val="0"/>
          <w:smallCaps w:val="0"/>
          <w:sz w:val="24"/>
          <w:szCs w:val="24"/>
          <w:lang w:val="en-US" w:eastAsia="zh-CN"/>
        </w:rPr>
        <w:t>14</w:t>
      </w:r>
      <w:r>
        <w:rPr>
          <w:rFonts w:hint="default" w:ascii="Times New Roman" w:hAnsi="Times New Roman" w:eastAsia="宋体" w:cs="Times New Roman"/>
          <w:bCs/>
          <w:caps w:val="0"/>
          <w:smallCaps w:val="0"/>
          <w:sz w:val="24"/>
          <w:szCs w:val="24"/>
        </w:rPr>
        <w:t>种，以游蛇科的种类最多，共4种，占评价区野生爬行类种类总数的28.57%。评价区内有1</w:t>
      </w:r>
      <w:r>
        <w:rPr>
          <w:rFonts w:hint="default" w:ascii="Times New Roman" w:hAnsi="Times New Roman" w:eastAsia="宋体" w:cs="Times New Roman"/>
          <w:bCs/>
          <w:caps w:val="0"/>
          <w:smallCaps w:val="0"/>
          <w:sz w:val="24"/>
          <w:szCs w:val="24"/>
          <w:lang w:val="en-US" w:eastAsia="zh-CN"/>
        </w:rPr>
        <w:t>3</w:t>
      </w:r>
      <w:r>
        <w:rPr>
          <w:rFonts w:hint="default" w:ascii="Times New Roman" w:hAnsi="Times New Roman" w:eastAsia="宋体" w:cs="Times New Roman"/>
          <w:bCs/>
          <w:caps w:val="0"/>
          <w:smallCaps w:val="0"/>
          <w:sz w:val="24"/>
          <w:szCs w:val="24"/>
        </w:rPr>
        <w:t>种湖南省级重点保护野生爬行类；有《中国生物多样性红色名录》评级为濒危（EN）级别的</w:t>
      </w:r>
      <w:r>
        <w:rPr>
          <w:rFonts w:hint="default" w:ascii="Times New Roman" w:hAnsi="Times New Roman" w:eastAsia="宋体" w:cs="Times New Roman"/>
          <w:bCs/>
          <w:caps w:val="0"/>
          <w:smallCaps w:val="0"/>
          <w:sz w:val="24"/>
          <w:szCs w:val="24"/>
          <w:lang w:val="en-US" w:eastAsia="zh-CN"/>
        </w:rPr>
        <w:t>1</w:t>
      </w:r>
      <w:r>
        <w:rPr>
          <w:rFonts w:hint="default" w:ascii="Times New Roman" w:hAnsi="Times New Roman" w:eastAsia="宋体" w:cs="Times New Roman"/>
          <w:bCs/>
          <w:caps w:val="0"/>
          <w:smallCaps w:val="0"/>
          <w:sz w:val="24"/>
          <w:szCs w:val="24"/>
        </w:rPr>
        <w:t>种，为中华鳖，易危（VU）级别的4种，为中国水蛇、银环蛇、乌梢蛇和黑眉锦蛇；有中国特有1种，为北草蜥。在评价区内北草蜥、乌梢蛇等较为常见，主要分布于林缘灌丛及农田区域。</w:t>
      </w:r>
    </w:p>
    <w:p w14:paraId="764C589A">
      <w:pPr>
        <w:autoSpaceDE w:val="0"/>
        <w:autoSpaceDN w:val="0"/>
        <w:adjustRightInd w:val="0"/>
        <w:spacing w:line="360" w:lineRule="auto"/>
        <w:ind w:firstLine="482" w:firstLineChars="200"/>
        <w:rPr>
          <w:rFonts w:hint="default" w:ascii="Times New Roman" w:hAnsi="Times New Roman" w:eastAsia="宋体" w:cs="Times New Roman"/>
          <w:b/>
          <w:caps w:val="0"/>
          <w:smallCaps w:val="0"/>
          <w:kern w:val="0"/>
          <w:sz w:val="24"/>
          <w:szCs w:val="24"/>
          <w:lang w:val="zh-CN"/>
        </w:rPr>
      </w:pPr>
      <w:r>
        <w:rPr>
          <w:rFonts w:hint="default" w:ascii="Times New Roman" w:hAnsi="Times New Roman" w:eastAsia="宋体" w:cs="Times New Roman"/>
          <w:b/>
          <w:caps w:val="0"/>
          <w:smallCaps w:val="0"/>
          <w:kern w:val="0"/>
          <w:sz w:val="24"/>
          <w:szCs w:val="24"/>
          <w:lang w:val="zh-CN"/>
        </w:rPr>
        <w:t>（2）生态类型</w:t>
      </w:r>
    </w:p>
    <w:p w14:paraId="17578A02">
      <w:pPr>
        <w:spacing w:line="360" w:lineRule="auto"/>
        <w:ind w:firstLine="480" w:firstLineChars="200"/>
        <w:jc w:val="left"/>
        <w:rPr>
          <w:rFonts w:hint="default" w:ascii="Times New Roman" w:hAnsi="Times New Roman" w:eastAsia="宋体" w:cs="Times New Roman"/>
          <w:bCs/>
          <w:caps w:val="0"/>
          <w:smallCaps w:val="0"/>
          <w:sz w:val="24"/>
          <w:szCs w:val="24"/>
        </w:rPr>
      </w:pPr>
      <w:r>
        <w:rPr>
          <w:rFonts w:hint="default" w:ascii="Times New Roman" w:hAnsi="Times New Roman" w:eastAsia="宋体" w:cs="Times New Roman"/>
          <w:bCs/>
          <w:caps w:val="0"/>
          <w:smallCaps w:val="0"/>
          <w:sz w:val="24"/>
          <w:szCs w:val="24"/>
        </w:rPr>
        <w:t>按照生活习性，评价区内爬行类可分为以下4种生态类型：</w:t>
      </w:r>
    </w:p>
    <w:p w14:paraId="3A7D90E6">
      <w:pPr>
        <w:spacing w:line="360" w:lineRule="auto"/>
        <w:ind w:firstLine="480" w:firstLineChars="200"/>
        <w:jc w:val="left"/>
        <w:rPr>
          <w:rFonts w:hint="default" w:ascii="Times New Roman" w:hAnsi="Times New Roman" w:eastAsia="宋体" w:cs="Times New Roman"/>
          <w:bCs/>
          <w:caps w:val="0"/>
          <w:smallCaps w:val="0"/>
          <w:sz w:val="24"/>
          <w:szCs w:val="24"/>
        </w:rPr>
      </w:pPr>
      <w:r>
        <w:rPr>
          <w:rFonts w:hint="default" w:ascii="Times New Roman" w:hAnsi="Times New Roman" w:eastAsia="宋体" w:cs="Times New Roman"/>
          <w:bCs/>
          <w:caps w:val="0"/>
          <w:smallCaps w:val="0"/>
          <w:sz w:val="24"/>
          <w:szCs w:val="24"/>
        </w:rPr>
        <w:t>灌丛石隙型（经常活动在灌丛下面，路边石缝中的爬行类）：包括中国石龙子、北草蜥、短尾蝮、中国小头蛇（</w:t>
      </w:r>
      <w:r>
        <w:rPr>
          <w:rFonts w:hint="default" w:ascii="Times New Roman" w:hAnsi="Times New Roman" w:eastAsia="宋体" w:cs="Times New Roman"/>
          <w:bCs/>
          <w:i/>
          <w:iCs/>
          <w:caps w:val="0"/>
          <w:smallCaps w:val="0"/>
          <w:sz w:val="24"/>
          <w:szCs w:val="24"/>
        </w:rPr>
        <w:t>Oligodon chinensis</w:t>
      </w:r>
      <w:r>
        <w:rPr>
          <w:rFonts w:hint="default" w:ascii="Times New Roman" w:hAnsi="Times New Roman" w:eastAsia="宋体" w:cs="Times New Roman"/>
          <w:bCs/>
          <w:caps w:val="0"/>
          <w:smallCaps w:val="0"/>
          <w:sz w:val="24"/>
          <w:szCs w:val="24"/>
        </w:rPr>
        <w:t>）、赤链蛇5种，在评价区内分布较为广泛，主要活动于评价区内路旁的杂草、灌丛、林地中。</w:t>
      </w:r>
    </w:p>
    <w:p w14:paraId="4CEFF82B">
      <w:pPr>
        <w:spacing w:line="360" w:lineRule="auto"/>
        <w:ind w:firstLine="480" w:firstLineChars="200"/>
        <w:jc w:val="left"/>
        <w:rPr>
          <w:rFonts w:hint="default" w:ascii="Times New Roman" w:hAnsi="Times New Roman" w:eastAsia="宋体" w:cs="Times New Roman"/>
          <w:bCs/>
          <w:caps w:val="0"/>
          <w:smallCaps w:val="0"/>
          <w:sz w:val="24"/>
          <w:szCs w:val="24"/>
        </w:rPr>
      </w:pPr>
      <w:r>
        <w:rPr>
          <w:rFonts w:hint="default" w:ascii="Times New Roman" w:hAnsi="Times New Roman" w:eastAsia="宋体" w:cs="Times New Roman"/>
          <w:bCs/>
          <w:caps w:val="0"/>
          <w:smallCaps w:val="0"/>
          <w:sz w:val="24"/>
          <w:szCs w:val="24"/>
        </w:rPr>
        <w:t>林栖傍水型（在山谷间有溪流的山坡上活动）：包括银环蛇、乌梢蛇、王锦蛇、黑眉锦蛇、虎斑颈槽蛇、乌华游蛇</w:t>
      </w:r>
      <w:r>
        <w:rPr>
          <w:rFonts w:hint="default" w:ascii="Times New Roman" w:hAnsi="Times New Roman" w:eastAsia="宋体" w:cs="Times New Roman"/>
          <w:bCs/>
          <w:caps w:val="0"/>
          <w:smallCaps w:val="0"/>
          <w:sz w:val="24"/>
          <w:szCs w:val="24"/>
          <w:lang w:val="en-US" w:eastAsia="zh-CN"/>
        </w:rPr>
        <w:t>6</w:t>
      </w:r>
      <w:r>
        <w:rPr>
          <w:rFonts w:hint="default" w:ascii="Times New Roman" w:hAnsi="Times New Roman" w:eastAsia="宋体" w:cs="Times New Roman"/>
          <w:bCs/>
          <w:caps w:val="0"/>
          <w:smallCaps w:val="0"/>
          <w:sz w:val="24"/>
          <w:szCs w:val="24"/>
        </w:rPr>
        <w:t>种，主要分布在靠近水域的林地、灌丛内。</w:t>
      </w:r>
    </w:p>
    <w:p w14:paraId="1679FE66">
      <w:pPr>
        <w:spacing w:line="360" w:lineRule="auto"/>
        <w:ind w:firstLine="480" w:firstLineChars="200"/>
        <w:jc w:val="left"/>
        <w:rPr>
          <w:rFonts w:hint="default" w:ascii="Times New Roman" w:hAnsi="Times New Roman" w:eastAsia="宋体" w:cs="Times New Roman"/>
          <w:bCs/>
          <w:caps w:val="0"/>
          <w:smallCaps w:val="0"/>
          <w:sz w:val="24"/>
          <w:szCs w:val="24"/>
        </w:rPr>
      </w:pPr>
      <w:r>
        <w:rPr>
          <w:rFonts w:hint="default" w:ascii="Times New Roman" w:hAnsi="Times New Roman" w:eastAsia="宋体" w:cs="Times New Roman"/>
          <w:bCs/>
          <w:caps w:val="0"/>
          <w:smallCaps w:val="0"/>
          <w:sz w:val="24"/>
          <w:szCs w:val="24"/>
        </w:rPr>
        <w:t>住宅型（在住宅区的建筑物中筑巢、繁殖、活动的爬行类）：仅多疣壁虎1种，主要在居民点附近活动，与人为活动关系密切。</w:t>
      </w:r>
    </w:p>
    <w:p w14:paraId="6E06273B">
      <w:pPr>
        <w:spacing w:line="360" w:lineRule="auto"/>
        <w:ind w:firstLine="480" w:firstLineChars="200"/>
        <w:jc w:val="left"/>
        <w:rPr>
          <w:rFonts w:hint="default" w:ascii="Times New Roman" w:hAnsi="Times New Roman" w:eastAsia="宋体" w:cs="Times New Roman"/>
          <w:bCs/>
          <w:caps w:val="0"/>
          <w:smallCaps w:val="0"/>
          <w:sz w:val="24"/>
          <w:szCs w:val="24"/>
        </w:rPr>
      </w:pPr>
      <w:r>
        <w:rPr>
          <w:rFonts w:hint="default" w:ascii="Times New Roman" w:hAnsi="Times New Roman" w:eastAsia="宋体" w:cs="Times New Roman"/>
          <w:bCs/>
          <w:caps w:val="0"/>
          <w:smallCaps w:val="0"/>
          <w:sz w:val="24"/>
          <w:szCs w:val="24"/>
        </w:rPr>
        <w:t>水栖型（在水中生活、觅食的爬行类）：包括中华鳖、中国水蛇</w:t>
      </w:r>
      <w:r>
        <w:rPr>
          <w:rFonts w:hint="default" w:ascii="Times New Roman" w:hAnsi="Times New Roman" w:eastAsia="宋体" w:cs="Times New Roman"/>
          <w:bCs/>
          <w:caps w:val="0"/>
          <w:smallCaps w:val="0"/>
          <w:sz w:val="24"/>
          <w:szCs w:val="24"/>
          <w:lang w:val="en-US" w:eastAsia="zh-CN"/>
        </w:rPr>
        <w:t>2</w:t>
      </w:r>
      <w:r>
        <w:rPr>
          <w:rFonts w:hint="default" w:ascii="Times New Roman" w:hAnsi="Times New Roman" w:eastAsia="宋体" w:cs="Times New Roman"/>
          <w:bCs/>
          <w:caps w:val="0"/>
          <w:smallCaps w:val="0"/>
          <w:sz w:val="24"/>
          <w:szCs w:val="24"/>
        </w:rPr>
        <w:t>种，主要在评价区内的水库区域。</w:t>
      </w:r>
    </w:p>
    <w:p w14:paraId="18D5687F">
      <w:pPr>
        <w:spacing w:line="360" w:lineRule="auto"/>
        <w:ind w:firstLine="482" w:firstLineChars="200"/>
        <w:jc w:val="left"/>
        <w:rPr>
          <w:rFonts w:hint="default" w:ascii="Times New Roman" w:hAnsi="Times New Roman" w:eastAsia="宋体" w:cs="Times New Roman"/>
          <w:b/>
          <w:bCs w:val="0"/>
          <w:caps w:val="0"/>
          <w:smallCaps w:val="0"/>
          <w:sz w:val="24"/>
          <w:szCs w:val="24"/>
        </w:rPr>
      </w:pPr>
      <w:r>
        <w:rPr>
          <w:rFonts w:hint="default" w:ascii="Times New Roman" w:hAnsi="Times New Roman" w:eastAsia="宋体" w:cs="Times New Roman"/>
          <w:b/>
          <w:bCs w:val="0"/>
          <w:caps w:val="0"/>
          <w:smallCaps w:val="0"/>
          <w:sz w:val="24"/>
          <w:szCs w:val="24"/>
        </w:rPr>
        <w:t>（3）区系类型</w:t>
      </w:r>
    </w:p>
    <w:p w14:paraId="38E11F20">
      <w:pPr>
        <w:spacing w:line="360" w:lineRule="auto"/>
        <w:ind w:firstLine="480" w:firstLineChars="200"/>
        <w:jc w:val="left"/>
        <w:rPr>
          <w:rFonts w:hint="default" w:ascii="Times New Roman" w:hAnsi="Times New Roman" w:eastAsia="宋体" w:cs="Times New Roman"/>
          <w:bCs/>
          <w:caps w:val="0"/>
          <w:smallCaps w:val="0"/>
          <w:sz w:val="24"/>
          <w:szCs w:val="24"/>
        </w:rPr>
      </w:pPr>
      <w:r>
        <w:rPr>
          <w:rFonts w:hint="default" w:ascii="Times New Roman" w:hAnsi="Times New Roman" w:eastAsia="宋体" w:cs="Times New Roman"/>
          <w:bCs/>
          <w:caps w:val="0"/>
          <w:smallCaps w:val="0"/>
          <w:sz w:val="24"/>
          <w:szCs w:val="24"/>
        </w:rPr>
        <w:t>评价区内分布的</w:t>
      </w:r>
      <w:r>
        <w:rPr>
          <w:rFonts w:hint="default" w:ascii="Times New Roman" w:hAnsi="Times New Roman" w:eastAsia="宋体" w:cs="Times New Roman"/>
          <w:bCs/>
          <w:caps w:val="0"/>
          <w:smallCaps w:val="0"/>
          <w:sz w:val="24"/>
          <w:szCs w:val="24"/>
          <w:lang w:val="en-US" w:eastAsia="zh-CN"/>
        </w:rPr>
        <w:t>14</w:t>
      </w:r>
      <w:r>
        <w:rPr>
          <w:rFonts w:hint="default" w:ascii="Times New Roman" w:hAnsi="Times New Roman" w:eastAsia="宋体" w:cs="Times New Roman"/>
          <w:bCs/>
          <w:caps w:val="0"/>
          <w:smallCaps w:val="0"/>
          <w:sz w:val="24"/>
          <w:szCs w:val="24"/>
        </w:rPr>
        <w:t>种爬行动物中，东洋种</w:t>
      </w:r>
      <w:r>
        <w:rPr>
          <w:rFonts w:hint="default" w:ascii="Times New Roman" w:hAnsi="Times New Roman" w:eastAsia="宋体" w:cs="Times New Roman"/>
          <w:bCs/>
          <w:caps w:val="0"/>
          <w:smallCaps w:val="0"/>
          <w:sz w:val="24"/>
          <w:szCs w:val="24"/>
          <w:lang w:val="en-US" w:eastAsia="zh-CN"/>
        </w:rPr>
        <w:t>6</w:t>
      </w:r>
      <w:r>
        <w:rPr>
          <w:rFonts w:hint="default" w:ascii="Times New Roman" w:hAnsi="Times New Roman" w:eastAsia="宋体" w:cs="Times New Roman"/>
          <w:bCs/>
          <w:caps w:val="0"/>
          <w:smallCaps w:val="0"/>
          <w:sz w:val="24"/>
          <w:szCs w:val="24"/>
        </w:rPr>
        <w:t>种，占评价区总种数的</w:t>
      </w:r>
      <w:r>
        <w:rPr>
          <w:rFonts w:hint="default" w:ascii="Times New Roman" w:hAnsi="Times New Roman" w:eastAsia="宋体" w:cs="Times New Roman"/>
          <w:bCs/>
          <w:caps w:val="0"/>
          <w:smallCaps w:val="0"/>
          <w:sz w:val="24"/>
          <w:szCs w:val="24"/>
          <w:lang w:val="en-US" w:eastAsia="zh-CN"/>
        </w:rPr>
        <w:t>42.86</w:t>
      </w:r>
      <w:r>
        <w:rPr>
          <w:rFonts w:hint="default" w:ascii="Times New Roman" w:hAnsi="Times New Roman" w:eastAsia="宋体" w:cs="Times New Roman"/>
          <w:bCs/>
          <w:caps w:val="0"/>
          <w:smallCaps w:val="0"/>
          <w:sz w:val="24"/>
          <w:szCs w:val="24"/>
        </w:rPr>
        <w:t>%；广布种</w:t>
      </w:r>
      <w:r>
        <w:rPr>
          <w:rFonts w:hint="default" w:ascii="Times New Roman" w:hAnsi="Times New Roman" w:eastAsia="宋体" w:cs="Times New Roman"/>
          <w:bCs/>
          <w:caps w:val="0"/>
          <w:smallCaps w:val="0"/>
          <w:sz w:val="24"/>
          <w:szCs w:val="24"/>
          <w:lang w:val="en-US" w:eastAsia="zh-CN"/>
        </w:rPr>
        <w:t>8</w:t>
      </w:r>
      <w:r>
        <w:rPr>
          <w:rFonts w:hint="default" w:ascii="Times New Roman" w:hAnsi="Times New Roman" w:eastAsia="宋体" w:cs="Times New Roman"/>
          <w:bCs/>
          <w:caps w:val="0"/>
          <w:smallCaps w:val="0"/>
          <w:sz w:val="24"/>
          <w:szCs w:val="24"/>
        </w:rPr>
        <w:t>种，占评价区总种数的</w:t>
      </w:r>
      <w:r>
        <w:rPr>
          <w:rFonts w:hint="default" w:ascii="Times New Roman" w:hAnsi="Times New Roman" w:eastAsia="宋体" w:cs="Times New Roman"/>
          <w:bCs/>
          <w:caps w:val="0"/>
          <w:smallCaps w:val="0"/>
          <w:sz w:val="24"/>
          <w:szCs w:val="24"/>
          <w:lang w:val="en-US" w:eastAsia="zh-CN"/>
        </w:rPr>
        <w:t>57.14</w:t>
      </w:r>
      <w:r>
        <w:rPr>
          <w:rFonts w:hint="default" w:ascii="Times New Roman" w:hAnsi="Times New Roman" w:eastAsia="宋体" w:cs="Times New Roman"/>
          <w:bCs/>
          <w:caps w:val="0"/>
          <w:smallCaps w:val="0"/>
          <w:sz w:val="24"/>
          <w:szCs w:val="24"/>
        </w:rPr>
        <w:t>%。评价区内的爬行类广布种成分占优势，无古北种分布。</w:t>
      </w:r>
    </w:p>
    <w:p w14:paraId="6BE879E8">
      <w:pPr>
        <w:pStyle w:val="9"/>
        <w:bidi w:val="0"/>
        <w:rPr>
          <w:rFonts w:hint="default" w:ascii="Times New Roman" w:hAnsi="Times New Roman" w:cs="Times New Roman"/>
          <w:lang w:val="zh-CN" w:eastAsia="zh-CN"/>
        </w:rPr>
      </w:pPr>
      <w:bookmarkStart w:id="247" w:name="_Toc443555137"/>
      <w:bookmarkEnd w:id="247"/>
      <w:r>
        <w:rPr>
          <w:rFonts w:hint="default" w:ascii="Times New Roman" w:hAnsi="Times New Roman" w:cs="Times New Roman"/>
          <w:lang w:val="en-US" w:eastAsia="zh-CN"/>
        </w:rPr>
        <w:t>鸟类</w:t>
      </w:r>
    </w:p>
    <w:p w14:paraId="79CDB539">
      <w:pPr>
        <w:spacing w:line="360" w:lineRule="auto"/>
        <w:ind w:firstLine="480" w:firstLineChars="200"/>
        <w:jc w:val="left"/>
        <w:rPr>
          <w:rFonts w:hint="default" w:ascii="Times New Roman" w:hAnsi="Times New Roman" w:eastAsia="宋体" w:cs="Times New Roman"/>
          <w:bCs/>
          <w:caps w:val="0"/>
          <w:smallCaps w:val="0"/>
          <w:kern w:val="0"/>
          <w:sz w:val="24"/>
          <w:szCs w:val="24"/>
          <w:lang w:val="zh-CN"/>
        </w:rPr>
      </w:pPr>
      <w:r>
        <w:rPr>
          <w:rFonts w:hint="default" w:ascii="Times New Roman" w:hAnsi="Times New Roman" w:eastAsia="宋体" w:cs="Times New Roman"/>
          <w:caps w:val="0"/>
          <w:smallCaps w:val="0"/>
          <w:kern w:val="0"/>
          <w:sz w:val="24"/>
          <w:szCs w:val="24"/>
        </w:rPr>
        <w:t>通过实地调查，</w:t>
      </w:r>
      <w:r>
        <w:rPr>
          <w:rFonts w:hint="default" w:ascii="Times New Roman" w:hAnsi="Times New Roman" w:eastAsia="宋体" w:cs="Times New Roman"/>
          <w:bCs/>
          <w:caps w:val="0"/>
          <w:smallCaps w:val="0"/>
          <w:kern w:val="0"/>
          <w:sz w:val="24"/>
          <w:szCs w:val="24"/>
          <w:lang w:val="zh-CN"/>
        </w:rPr>
        <w:t>并查阅相关文献</w:t>
      </w:r>
      <w:r>
        <w:rPr>
          <w:rFonts w:hint="default" w:ascii="Times New Roman" w:hAnsi="Times New Roman" w:eastAsia="宋体" w:cs="Times New Roman"/>
          <w:bCs/>
          <w:caps w:val="0"/>
          <w:smallCaps w:val="0"/>
          <w:kern w:val="0"/>
          <w:sz w:val="24"/>
          <w:szCs w:val="24"/>
        </w:rPr>
        <w:t>与访问</w:t>
      </w:r>
      <w:r>
        <w:rPr>
          <w:rFonts w:hint="default" w:ascii="Times New Roman" w:hAnsi="Times New Roman" w:eastAsia="宋体" w:cs="Times New Roman"/>
          <w:bCs/>
          <w:caps w:val="0"/>
          <w:smallCaps w:val="0"/>
          <w:kern w:val="0"/>
          <w:sz w:val="24"/>
          <w:szCs w:val="24"/>
          <w:lang w:val="zh-CN"/>
        </w:rPr>
        <w:t>，进行综合分析，得出</w:t>
      </w:r>
      <w:r>
        <w:rPr>
          <w:rFonts w:hint="default" w:ascii="Times New Roman" w:hAnsi="Times New Roman" w:eastAsia="宋体" w:cs="Times New Roman"/>
          <w:bCs/>
          <w:caps w:val="0"/>
          <w:smallCaps w:val="0"/>
          <w:kern w:val="0"/>
          <w:sz w:val="24"/>
          <w:szCs w:val="24"/>
        </w:rPr>
        <w:t>评价区</w:t>
      </w:r>
      <w:r>
        <w:rPr>
          <w:rFonts w:hint="default" w:ascii="Times New Roman" w:hAnsi="Times New Roman" w:eastAsia="宋体" w:cs="Times New Roman"/>
          <w:bCs/>
          <w:caps w:val="0"/>
          <w:smallCaps w:val="0"/>
          <w:kern w:val="0"/>
          <w:sz w:val="24"/>
          <w:szCs w:val="24"/>
          <w:lang w:val="zh-CN"/>
        </w:rPr>
        <w:t>内野生</w:t>
      </w:r>
      <w:r>
        <w:rPr>
          <w:rFonts w:hint="default" w:ascii="Times New Roman" w:hAnsi="Times New Roman" w:eastAsia="宋体" w:cs="Times New Roman"/>
          <w:bCs/>
          <w:caps w:val="0"/>
          <w:smallCaps w:val="0"/>
          <w:kern w:val="0"/>
          <w:sz w:val="24"/>
          <w:szCs w:val="24"/>
        </w:rPr>
        <w:t>鸟类种类、数量及分布</w:t>
      </w:r>
      <w:r>
        <w:rPr>
          <w:rFonts w:hint="default" w:ascii="Times New Roman" w:hAnsi="Times New Roman" w:eastAsia="宋体" w:cs="Times New Roman"/>
          <w:bCs/>
          <w:caps w:val="0"/>
          <w:smallCaps w:val="0"/>
          <w:kern w:val="0"/>
          <w:sz w:val="24"/>
          <w:szCs w:val="24"/>
          <w:lang w:val="zh-CN"/>
        </w:rPr>
        <w:t>现状如下：</w:t>
      </w:r>
    </w:p>
    <w:p w14:paraId="4A3DF7F6">
      <w:pPr>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textAlignment w:val="auto"/>
        <w:outlineLvl w:val="9"/>
        <w:rPr>
          <w:rFonts w:hint="default" w:ascii="Times New Roman" w:hAnsi="Times New Roman" w:eastAsia="宋体" w:cs="Times New Roman"/>
          <w:b/>
          <w:caps w:val="0"/>
          <w:smallCaps w:val="0"/>
          <w:kern w:val="0"/>
          <w:sz w:val="24"/>
          <w:szCs w:val="24"/>
          <w:lang w:val="zh-CN"/>
        </w:rPr>
      </w:pPr>
      <w:r>
        <w:rPr>
          <w:rFonts w:hint="default" w:ascii="Times New Roman" w:hAnsi="Times New Roman" w:eastAsia="宋体" w:cs="Times New Roman"/>
          <w:b/>
          <w:caps w:val="0"/>
          <w:smallCaps w:val="0"/>
          <w:kern w:val="0"/>
          <w:sz w:val="24"/>
          <w:szCs w:val="24"/>
          <w:lang w:val="zh-CN"/>
        </w:rPr>
        <w:t>（1）种类、数量及分布</w:t>
      </w:r>
    </w:p>
    <w:p w14:paraId="7D785E7B">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left"/>
        <w:textAlignment w:val="auto"/>
        <w:outlineLvl w:val="9"/>
        <w:rPr>
          <w:rFonts w:hint="default" w:ascii="Times New Roman" w:hAnsi="Times New Roman" w:eastAsia="宋体" w:cs="Times New Roman"/>
          <w:b/>
          <w:caps w:val="0"/>
          <w:smallCaps w:val="0"/>
          <w:sz w:val="24"/>
          <w:szCs w:val="24"/>
        </w:rPr>
      </w:pPr>
      <w:r>
        <w:rPr>
          <w:rFonts w:hint="default" w:ascii="Times New Roman" w:hAnsi="Times New Roman" w:eastAsia="宋体" w:cs="Times New Roman"/>
          <w:bCs/>
          <w:caps w:val="0"/>
          <w:smallCaps w:val="0"/>
          <w:kern w:val="0"/>
          <w:sz w:val="24"/>
          <w:szCs w:val="24"/>
        </w:rPr>
        <w:t>评价区内共分布有野生鸟类</w:t>
      </w:r>
      <w:r>
        <w:rPr>
          <w:rFonts w:hint="default" w:ascii="Times New Roman" w:hAnsi="Times New Roman" w:eastAsia="宋体" w:cs="Times New Roman"/>
          <w:bCs/>
          <w:caps w:val="0"/>
          <w:smallCaps w:val="0"/>
          <w:kern w:val="0"/>
          <w:sz w:val="24"/>
          <w:szCs w:val="24"/>
          <w:lang w:val="en-US" w:eastAsia="zh-CN"/>
        </w:rPr>
        <w:t>60</w:t>
      </w:r>
      <w:r>
        <w:rPr>
          <w:rFonts w:hint="default" w:ascii="Times New Roman" w:hAnsi="Times New Roman" w:eastAsia="宋体" w:cs="Times New Roman"/>
          <w:bCs/>
          <w:caps w:val="0"/>
          <w:smallCaps w:val="0"/>
          <w:kern w:val="0"/>
          <w:sz w:val="24"/>
          <w:szCs w:val="24"/>
        </w:rPr>
        <w:t>种，隶属于</w:t>
      </w:r>
      <w:r>
        <w:rPr>
          <w:rFonts w:hint="default" w:ascii="Times New Roman" w:hAnsi="Times New Roman" w:eastAsia="宋体" w:cs="Times New Roman"/>
          <w:bCs/>
          <w:caps w:val="0"/>
          <w:smallCaps w:val="0"/>
          <w:kern w:val="0"/>
          <w:sz w:val="24"/>
          <w:szCs w:val="24"/>
          <w:lang w:val="en-US" w:eastAsia="zh-CN"/>
        </w:rPr>
        <w:t>12</w:t>
      </w:r>
      <w:r>
        <w:rPr>
          <w:rFonts w:hint="default" w:ascii="Times New Roman" w:hAnsi="Times New Roman" w:eastAsia="宋体" w:cs="Times New Roman"/>
          <w:bCs/>
          <w:caps w:val="0"/>
          <w:smallCaps w:val="0"/>
          <w:kern w:val="0"/>
          <w:sz w:val="24"/>
          <w:szCs w:val="24"/>
        </w:rPr>
        <w:t>目34科。其中，以雀形目鸟类最多，共</w:t>
      </w:r>
      <w:r>
        <w:rPr>
          <w:rFonts w:hint="default" w:ascii="Times New Roman" w:hAnsi="Times New Roman" w:eastAsia="宋体" w:cs="Times New Roman"/>
          <w:bCs/>
          <w:caps w:val="0"/>
          <w:smallCaps w:val="0"/>
          <w:kern w:val="0"/>
          <w:sz w:val="24"/>
          <w:szCs w:val="24"/>
          <w:lang w:val="en-US" w:eastAsia="zh-CN"/>
        </w:rPr>
        <w:t>36</w:t>
      </w:r>
      <w:r>
        <w:rPr>
          <w:rFonts w:hint="default" w:ascii="Times New Roman" w:hAnsi="Times New Roman" w:eastAsia="宋体" w:cs="Times New Roman"/>
          <w:bCs/>
          <w:caps w:val="0"/>
          <w:smallCaps w:val="0"/>
          <w:kern w:val="0"/>
          <w:sz w:val="24"/>
          <w:szCs w:val="24"/>
        </w:rPr>
        <w:t>种，占评价区内野生鸟类总数的</w:t>
      </w:r>
      <w:r>
        <w:rPr>
          <w:rFonts w:hint="default" w:ascii="Times New Roman" w:hAnsi="Times New Roman" w:eastAsia="宋体" w:cs="Times New Roman"/>
          <w:bCs/>
          <w:caps w:val="0"/>
          <w:smallCaps w:val="0"/>
          <w:kern w:val="0"/>
          <w:sz w:val="24"/>
          <w:szCs w:val="24"/>
          <w:lang w:val="en-US" w:eastAsia="zh-CN"/>
        </w:rPr>
        <w:t>60</w:t>
      </w:r>
      <w:r>
        <w:rPr>
          <w:rFonts w:hint="default" w:ascii="Times New Roman" w:hAnsi="Times New Roman" w:eastAsia="宋体" w:cs="Times New Roman"/>
          <w:bCs/>
          <w:caps w:val="0"/>
          <w:smallCaps w:val="0"/>
          <w:kern w:val="0"/>
          <w:sz w:val="24"/>
          <w:szCs w:val="24"/>
        </w:rPr>
        <w:t>%。评价区内</w:t>
      </w:r>
      <w:r>
        <w:rPr>
          <w:rFonts w:hint="default" w:ascii="Times New Roman" w:hAnsi="Times New Roman" w:eastAsia="宋体" w:cs="Times New Roman"/>
          <w:bCs/>
          <w:caps w:val="0"/>
          <w:smallCaps w:val="0"/>
          <w:kern w:val="0"/>
          <w:sz w:val="24"/>
          <w:szCs w:val="24"/>
          <w:lang w:val="en-US" w:eastAsia="zh-CN"/>
        </w:rPr>
        <w:t>无</w:t>
      </w:r>
      <w:r>
        <w:rPr>
          <w:rFonts w:hint="default" w:ascii="Times New Roman" w:hAnsi="Times New Roman" w:eastAsia="宋体" w:cs="Times New Roman"/>
          <w:bCs/>
          <w:caps w:val="0"/>
          <w:smallCaps w:val="0"/>
          <w:kern w:val="0"/>
          <w:sz w:val="24"/>
          <w:szCs w:val="24"/>
        </w:rPr>
        <w:t>国家级重点保护野生鸟类；有湖南省级重点保护野生鸟</w:t>
      </w:r>
      <w:r>
        <w:rPr>
          <w:rFonts w:hint="default" w:ascii="Times New Roman" w:hAnsi="Times New Roman" w:eastAsia="宋体" w:cs="Times New Roman"/>
          <w:bCs/>
          <w:caps w:val="0"/>
          <w:smallCaps w:val="0"/>
          <w:kern w:val="0"/>
          <w:sz w:val="24"/>
          <w:szCs w:val="24"/>
          <w:highlight w:val="none"/>
        </w:rPr>
        <w:t>类</w:t>
      </w:r>
      <w:r>
        <w:rPr>
          <w:rFonts w:hint="default" w:ascii="Times New Roman" w:hAnsi="Times New Roman" w:eastAsia="宋体" w:cs="Times New Roman"/>
          <w:bCs/>
          <w:caps w:val="0"/>
          <w:smallCaps w:val="0"/>
          <w:kern w:val="0"/>
          <w:sz w:val="24"/>
          <w:szCs w:val="24"/>
          <w:highlight w:val="none"/>
          <w:lang w:val="en-US" w:eastAsia="zh-CN"/>
        </w:rPr>
        <w:t>12</w:t>
      </w:r>
      <w:r>
        <w:rPr>
          <w:rFonts w:hint="default" w:ascii="Times New Roman" w:hAnsi="Times New Roman" w:eastAsia="宋体" w:cs="Times New Roman"/>
          <w:bCs/>
          <w:caps w:val="0"/>
          <w:smallCaps w:val="0"/>
          <w:kern w:val="0"/>
          <w:sz w:val="24"/>
          <w:szCs w:val="24"/>
          <w:highlight w:val="none"/>
        </w:rPr>
        <w:t>种</w:t>
      </w:r>
      <w:r>
        <w:rPr>
          <w:rFonts w:hint="default" w:ascii="Times New Roman" w:hAnsi="Times New Roman" w:eastAsia="宋体" w:cs="Times New Roman"/>
          <w:bCs/>
          <w:caps w:val="0"/>
          <w:smallCaps w:val="0"/>
          <w:kern w:val="0"/>
          <w:sz w:val="24"/>
          <w:szCs w:val="24"/>
        </w:rPr>
        <w:t>，为</w:t>
      </w:r>
      <w:r>
        <w:rPr>
          <w:rFonts w:hint="default" w:ascii="Times New Roman" w:hAnsi="Times New Roman" w:eastAsia="宋体" w:cs="Times New Roman"/>
          <w:caps w:val="0"/>
          <w:smallCaps w:val="0"/>
          <w:sz w:val="24"/>
          <w:szCs w:val="24"/>
          <w:lang w:val="en-US" w:eastAsia="zh-CN"/>
        </w:rPr>
        <w:t>大白鹭（</w:t>
      </w:r>
      <w:r>
        <w:rPr>
          <w:rFonts w:hint="default" w:ascii="Times New Roman" w:hAnsi="Times New Roman" w:eastAsia="宋体" w:cs="Times New Roman"/>
          <w:i/>
          <w:iCs/>
          <w:caps w:val="0"/>
          <w:smallCaps w:val="0"/>
          <w:sz w:val="24"/>
          <w:szCs w:val="24"/>
          <w:lang w:val="en-US" w:eastAsia="zh-CN"/>
        </w:rPr>
        <w:t>Ardea alba</w:t>
      </w:r>
      <w:r>
        <w:rPr>
          <w:rFonts w:hint="default" w:ascii="Times New Roman" w:hAnsi="Times New Roman" w:eastAsia="宋体" w:cs="Times New Roman"/>
          <w:caps w:val="0"/>
          <w:smallCaps w:val="0"/>
          <w:sz w:val="24"/>
          <w:szCs w:val="24"/>
          <w:lang w:val="en-US" w:eastAsia="zh-CN"/>
        </w:rPr>
        <w:t>）、牛背鹭（</w:t>
      </w:r>
      <w:r>
        <w:rPr>
          <w:rFonts w:hint="default" w:ascii="Times New Roman" w:hAnsi="Times New Roman" w:eastAsia="宋体" w:cs="Times New Roman"/>
          <w:i/>
          <w:iCs/>
          <w:caps w:val="0"/>
          <w:smallCaps w:val="0"/>
          <w:sz w:val="24"/>
          <w:szCs w:val="24"/>
          <w:lang w:val="en-US" w:eastAsia="zh-CN"/>
        </w:rPr>
        <w:t>Bubulcus ibis</w:t>
      </w:r>
      <w:r>
        <w:rPr>
          <w:rFonts w:hint="default" w:ascii="Times New Roman" w:hAnsi="Times New Roman" w:eastAsia="宋体" w:cs="Times New Roman"/>
          <w:caps w:val="0"/>
          <w:smallCaps w:val="0"/>
          <w:sz w:val="24"/>
          <w:szCs w:val="24"/>
          <w:lang w:val="en-US" w:eastAsia="zh-CN"/>
        </w:rPr>
        <w:t>）、</w:t>
      </w:r>
      <w:r>
        <w:rPr>
          <w:rFonts w:hint="default" w:ascii="Times New Roman" w:hAnsi="Times New Roman" w:eastAsia="宋体" w:cs="Times New Roman"/>
          <w:bCs/>
          <w:caps w:val="0"/>
          <w:smallCaps w:val="0"/>
          <w:kern w:val="0"/>
          <w:sz w:val="24"/>
          <w:szCs w:val="24"/>
        </w:rPr>
        <w:t>喜鹊（</w:t>
      </w:r>
      <w:r>
        <w:rPr>
          <w:rFonts w:hint="default" w:ascii="Times New Roman" w:hAnsi="Times New Roman" w:eastAsia="宋体" w:cs="Times New Roman"/>
          <w:bCs/>
          <w:i/>
          <w:caps w:val="0"/>
          <w:smallCaps w:val="0"/>
          <w:kern w:val="0"/>
          <w:sz w:val="24"/>
          <w:szCs w:val="24"/>
        </w:rPr>
        <w:t>Pica pica</w:t>
      </w:r>
      <w:r>
        <w:rPr>
          <w:rFonts w:hint="default" w:ascii="Times New Roman" w:hAnsi="Times New Roman" w:eastAsia="宋体" w:cs="Times New Roman"/>
          <w:bCs/>
          <w:caps w:val="0"/>
          <w:smallCaps w:val="0"/>
          <w:kern w:val="0"/>
          <w:sz w:val="24"/>
          <w:szCs w:val="24"/>
        </w:rPr>
        <w:t>）、山斑鸠</w:t>
      </w:r>
      <w:r>
        <w:rPr>
          <w:rFonts w:hint="default" w:ascii="Times New Roman" w:hAnsi="Times New Roman" w:eastAsia="宋体" w:cs="Times New Roman"/>
          <w:bCs/>
          <w:caps w:val="0"/>
          <w:smallCaps w:val="0"/>
          <w:kern w:val="0"/>
          <w:sz w:val="24"/>
          <w:szCs w:val="24"/>
          <w:lang w:eastAsia="zh-CN"/>
        </w:rPr>
        <w:t>（</w:t>
      </w:r>
      <w:r>
        <w:rPr>
          <w:rFonts w:hint="default" w:ascii="Times New Roman" w:hAnsi="Times New Roman" w:eastAsia="宋体" w:cs="Times New Roman"/>
          <w:bCs/>
          <w:i/>
          <w:iCs/>
          <w:caps w:val="0"/>
          <w:smallCaps w:val="0"/>
          <w:kern w:val="0"/>
          <w:sz w:val="24"/>
          <w:szCs w:val="24"/>
        </w:rPr>
        <w:t>Streptopelia orientalis</w:t>
      </w:r>
      <w:r>
        <w:rPr>
          <w:rFonts w:hint="default" w:ascii="Times New Roman" w:hAnsi="Times New Roman" w:eastAsia="宋体" w:cs="Times New Roman"/>
          <w:bCs/>
          <w:caps w:val="0"/>
          <w:smallCaps w:val="0"/>
          <w:kern w:val="0"/>
          <w:sz w:val="24"/>
          <w:szCs w:val="24"/>
          <w:lang w:eastAsia="zh-CN"/>
        </w:rPr>
        <w:t>）、</w:t>
      </w:r>
      <w:r>
        <w:rPr>
          <w:rFonts w:hint="default" w:ascii="Times New Roman" w:hAnsi="Times New Roman" w:eastAsia="宋体" w:cs="Times New Roman"/>
          <w:bCs/>
          <w:caps w:val="0"/>
          <w:smallCaps w:val="0"/>
          <w:kern w:val="0"/>
          <w:sz w:val="24"/>
          <w:szCs w:val="24"/>
        </w:rPr>
        <w:t>普通翠鸟（</w:t>
      </w:r>
      <w:r>
        <w:rPr>
          <w:rFonts w:hint="default" w:ascii="Times New Roman" w:hAnsi="Times New Roman" w:eastAsia="宋体" w:cs="Times New Roman"/>
          <w:bCs/>
          <w:i/>
          <w:iCs/>
          <w:caps w:val="0"/>
          <w:smallCaps w:val="0"/>
          <w:kern w:val="0"/>
          <w:sz w:val="24"/>
          <w:szCs w:val="24"/>
        </w:rPr>
        <w:t>Alcedo atthis</w:t>
      </w:r>
      <w:r>
        <w:rPr>
          <w:rFonts w:hint="default" w:ascii="Times New Roman" w:hAnsi="Times New Roman" w:eastAsia="宋体" w:cs="Times New Roman"/>
          <w:bCs/>
          <w:caps w:val="0"/>
          <w:smallCaps w:val="0"/>
          <w:kern w:val="0"/>
          <w:sz w:val="24"/>
          <w:szCs w:val="24"/>
        </w:rPr>
        <w:t>）、家燕</w:t>
      </w:r>
      <w:r>
        <w:rPr>
          <w:rFonts w:hint="default" w:ascii="Times New Roman" w:hAnsi="Times New Roman" w:eastAsia="宋体" w:cs="Times New Roman"/>
          <w:bCs/>
          <w:caps w:val="0"/>
          <w:smallCaps w:val="0"/>
          <w:kern w:val="0"/>
          <w:sz w:val="24"/>
          <w:szCs w:val="24"/>
          <w:lang w:eastAsia="zh-CN"/>
        </w:rPr>
        <w:t>（</w:t>
      </w:r>
      <w:r>
        <w:rPr>
          <w:rFonts w:hint="default" w:ascii="Times New Roman" w:hAnsi="Times New Roman" w:eastAsia="宋体" w:cs="Times New Roman"/>
          <w:bCs/>
          <w:i/>
          <w:iCs/>
          <w:caps w:val="0"/>
          <w:smallCaps w:val="0"/>
          <w:kern w:val="0"/>
          <w:sz w:val="24"/>
          <w:szCs w:val="24"/>
          <w:lang w:val="en-US" w:eastAsia="zh-CN"/>
        </w:rPr>
        <w:t>Hirundo rustica</w:t>
      </w:r>
      <w:r>
        <w:rPr>
          <w:rFonts w:hint="default" w:ascii="Times New Roman" w:hAnsi="Times New Roman" w:eastAsia="宋体" w:cs="Times New Roman"/>
          <w:bCs/>
          <w:caps w:val="0"/>
          <w:smallCaps w:val="0"/>
          <w:kern w:val="0"/>
          <w:sz w:val="24"/>
          <w:szCs w:val="24"/>
          <w:lang w:eastAsia="zh-CN"/>
        </w:rPr>
        <w:t>）</w:t>
      </w:r>
      <w:r>
        <w:rPr>
          <w:rFonts w:hint="default" w:ascii="Times New Roman" w:hAnsi="Times New Roman" w:eastAsia="宋体" w:cs="Times New Roman"/>
          <w:bCs/>
          <w:caps w:val="0"/>
          <w:smallCaps w:val="0"/>
          <w:kern w:val="0"/>
          <w:sz w:val="24"/>
          <w:szCs w:val="24"/>
        </w:rPr>
        <w:t>、</w:t>
      </w:r>
      <w:r>
        <w:rPr>
          <w:rFonts w:hint="default" w:ascii="Times New Roman" w:hAnsi="Times New Roman" w:eastAsia="宋体" w:cs="Times New Roman"/>
          <w:bCs/>
          <w:caps w:val="0"/>
          <w:smallCaps w:val="0"/>
          <w:kern w:val="0"/>
          <w:sz w:val="24"/>
          <w:szCs w:val="24"/>
          <w:highlight w:val="none"/>
          <w:lang w:eastAsia="zh-CN"/>
        </w:rPr>
        <w:t>小䴙䴘</w:t>
      </w:r>
      <w:r>
        <w:rPr>
          <w:rFonts w:hint="default" w:ascii="Times New Roman" w:hAnsi="Times New Roman" w:eastAsia="宋体" w:cs="Times New Roman"/>
          <w:bCs/>
          <w:caps w:val="0"/>
          <w:smallCaps w:val="0"/>
          <w:kern w:val="0"/>
          <w:sz w:val="24"/>
          <w:szCs w:val="24"/>
          <w:lang w:eastAsia="zh-CN"/>
        </w:rPr>
        <w:t>、</w:t>
      </w:r>
      <w:r>
        <w:rPr>
          <w:rFonts w:hint="default" w:ascii="Times New Roman" w:hAnsi="Times New Roman" w:eastAsia="宋体" w:cs="Times New Roman"/>
          <w:bCs/>
          <w:caps w:val="0"/>
          <w:smallCaps w:val="0"/>
          <w:kern w:val="0"/>
          <w:sz w:val="24"/>
          <w:szCs w:val="24"/>
          <w:lang w:val="en-US" w:eastAsia="zh-CN"/>
        </w:rPr>
        <w:t>黑卷尾（</w:t>
      </w:r>
      <w:r>
        <w:rPr>
          <w:rFonts w:hint="default" w:ascii="Times New Roman" w:hAnsi="Times New Roman" w:eastAsia="宋体" w:cs="Times New Roman"/>
          <w:bCs/>
          <w:i/>
          <w:iCs/>
          <w:caps w:val="0"/>
          <w:smallCaps w:val="0"/>
          <w:kern w:val="0"/>
          <w:sz w:val="24"/>
          <w:szCs w:val="24"/>
          <w:lang w:val="en-US" w:eastAsia="zh-CN"/>
        </w:rPr>
        <w:t>Dicrurus macrocercus</w:t>
      </w:r>
      <w:r>
        <w:rPr>
          <w:rFonts w:hint="default" w:ascii="Times New Roman" w:hAnsi="Times New Roman" w:eastAsia="宋体" w:cs="Times New Roman"/>
          <w:bCs/>
          <w:caps w:val="0"/>
          <w:smallCaps w:val="0"/>
          <w:kern w:val="0"/>
          <w:sz w:val="24"/>
          <w:szCs w:val="24"/>
          <w:lang w:val="en-US" w:eastAsia="zh-CN"/>
        </w:rPr>
        <w:t>）、</w:t>
      </w:r>
      <w:r>
        <w:rPr>
          <w:rFonts w:hint="default" w:ascii="Times New Roman" w:hAnsi="Times New Roman" w:eastAsia="宋体" w:cs="Times New Roman"/>
          <w:color w:val="000000"/>
          <w:kern w:val="0"/>
          <w:sz w:val="24"/>
          <w:szCs w:val="24"/>
        </w:rPr>
        <w:t>白头鹎</w:t>
      </w:r>
      <w:r>
        <w:rPr>
          <w:rFonts w:hint="default" w:ascii="Times New Roman" w:hAnsi="Times New Roman" w:eastAsia="宋体" w:cs="Times New Roman"/>
          <w:color w:val="000000"/>
          <w:kern w:val="0"/>
          <w:sz w:val="24"/>
          <w:szCs w:val="24"/>
          <w:lang w:eastAsia="zh-CN"/>
        </w:rPr>
        <w:t>（</w:t>
      </w:r>
      <w:r>
        <w:rPr>
          <w:rFonts w:hint="default" w:ascii="Times New Roman" w:hAnsi="Times New Roman" w:eastAsia="宋体" w:cs="Times New Roman"/>
          <w:i/>
          <w:iCs/>
          <w:color w:val="000000"/>
          <w:kern w:val="0"/>
          <w:sz w:val="24"/>
          <w:szCs w:val="24"/>
          <w:lang w:eastAsia="zh-CN"/>
        </w:rPr>
        <w:t>Pycnonotus sinensis</w:t>
      </w:r>
      <w:r>
        <w:rPr>
          <w:rFonts w:hint="default" w:ascii="Times New Roman" w:hAnsi="Times New Roman" w:eastAsia="宋体" w:cs="Times New Roman"/>
          <w:color w:val="000000"/>
          <w:kern w:val="0"/>
          <w:sz w:val="24"/>
          <w:szCs w:val="24"/>
          <w:lang w:eastAsia="zh-CN"/>
        </w:rPr>
        <w:t>）、乌鸫（</w:t>
      </w:r>
      <w:r>
        <w:rPr>
          <w:rFonts w:hint="default" w:ascii="Times New Roman" w:hAnsi="Times New Roman" w:eastAsia="宋体" w:cs="Times New Roman"/>
          <w:i/>
          <w:iCs/>
          <w:color w:val="000000"/>
          <w:kern w:val="0"/>
          <w:sz w:val="24"/>
          <w:szCs w:val="24"/>
          <w:lang w:eastAsia="zh-CN"/>
        </w:rPr>
        <w:t>Turdus merula</w:t>
      </w:r>
      <w:r>
        <w:rPr>
          <w:rFonts w:hint="default" w:ascii="Times New Roman" w:hAnsi="Times New Roman" w:eastAsia="宋体" w:cs="Times New Roman"/>
          <w:color w:val="000000"/>
          <w:kern w:val="0"/>
          <w:sz w:val="24"/>
          <w:szCs w:val="24"/>
          <w:lang w:eastAsia="zh-CN"/>
        </w:rPr>
        <w:t>）、环颈雉、红尾伯劳</w:t>
      </w:r>
      <w:r>
        <w:rPr>
          <w:rFonts w:hint="default" w:ascii="Times New Roman" w:hAnsi="Times New Roman" w:eastAsia="宋体" w:cs="Times New Roman"/>
          <w:bCs/>
          <w:caps w:val="0"/>
          <w:smallCaps w:val="0"/>
          <w:kern w:val="0"/>
          <w:sz w:val="24"/>
          <w:szCs w:val="24"/>
        </w:rPr>
        <w:t>。</w:t>
      </w:r>
    </w:p>
    <w:p w14:paraId="6807923A">
      <w:pPr>
        <w:keepNext w:val="0"/>
        <w:keepLines w:val="0"/>
        <w:pageBreakBefore w:val="0"/>
        <w:widowControl w:val="0"/>
        <w:kinsoku/>
        <w:wordWrap/>
        <w:overflowPunct/>
        <w:topLinePunct w:val="0"/>
        <w:autoSpaceDE w:val="0"/>
        <w:autoSpaceDN w:val="0"/>
        <w:bidi w:val="0"/>
        <w:adjustRightInd w:val="0"/>
        <w:spacing w:line="360" w:lineRule="auto"/>
        <w:ind w:firstLine="482" w:firstLineChars="200"/>
        <w:jc w:val="left"/>
        <w:textAlignment w:val="auto"/>
        <w:outlineLvl w:val="9"/>
        <w:rPr>
          <w:rFonts w:hint="default" w:ascii="Times New Roman" w:hAnsi="Times New Roman" w:eastAsia="宋体" w:cs="Times New Roman"/>
          <w:b/>
          <w:caps w:val="0"/>
          <w:smallCaps w:val="0"/>
          <w:sz w:val="24"/>
          <w:szCs w:val="24"/>
        </w:rPr>
      </w:pPr>
      <w:r>
        <w:rPr>
          <w:rFonts w:hint="default" w:ascii="Times New Roman" w:hAnsi="Times New Roman" w:eastAsia="宋体" w:cs="Times New Roman"/>
          <w:b/>
          <w:caps w:val="0"/>
          <w:smallCaps w:val="0"/>
          <w:sz w:val="24"/>
          <w:szCs w:val="24"/>
        </w:rPr>
        <w:t>（2）生态类型</w:t>
      </w:r>
    </w:p>
    <w:p w14:paraId="5BACD2D0">
      <w:pPr>
        <w:keepNext w:val="0"/>
        <w:keepLines w:val="0"/>
        <w:pageBreakBefore w:val="0"/>
        <w:widowControl w:val="0"/>
        <w:kinsoku/>
        <w:wordWrap/>
        <w:overflowPunct/>
        <w:topLinePunct w:val="0"/>
        <w:bidi w:val="0"/>
        <w:spacing w:line="360" w:lineRule="auto"/>
        <w:ind w:firstLine="480" w:firstLineChars="200"/>
        <w:textAlignment w:val="auto"/>
        <w:outlineLvl w:val="9"/>
        <w:rPr>
          <w:rFonts w:hint="default" w:ascii="Times New Roman" w:hAnsi="Times New Roman" w:eastAsia="宋体" w:cs="Times New Roman"/>
          <w:bCs/>
          <w:caps w:val="0"/>
          <w:smallCaps w:val="0"/>
          <w:sz w:val="24"/>
          <w:szCs w:val="24"/>
        </w:rPr>
      </w:pPr>
      <w:r>
        <w:rPr>
          <w:rFonts w:hint="default" w:ascii="Times New Roman" w:hAnsi="Times New Roman" w:eastAsia="宋体" w:cs="Times New Roman"/>
          <w:bCs/>
          <w:caps w:val="0"/>
          <w:smallCaps w:val="0"/>
          <w:kern w:val="0"/>
          <w:sz w:val="24"/>
          <w:szCs w:val="24"/>
          <w:lang w:val="zh-CN"/>
        </w:rPr>
        <w:t>根据鸟类生活习性的不同，将野生鸟类分为以下</w:t>
      </w:r>
      <w:r>
        <w:rPr>
          <w:rFonts w:hint="default" w:ascii="Times New Roman" w:hAnsi="Times New Roman" w:eastAsia="宋体" w:cs="Times New Roman"/>
          <w:bCs/>
          <w:caps w:val="0"/>
          <w:smallCaps w:val="0"/>
          <w:kern w:val="0"/>
          <w:sz w:val="24"/>
          <w:szCs w:val="24"/>
        </w:rPr>
        <w:t>6</w:t>
      </w:r>
      <w:r>
        <w:rPr>
          <w:rFonts w:hint="default" w:ascii="Times New Roman" w:hAnsi="Times New Roman" w:eastAsia="宋体" w:cs="Times New Roman"/>
          <w:bCs/>
          <w:caps w:val="0"/>
          <w:smallCaps w:val="0"/>
          <w:kern w:val="0"/>
          <w:sz w:val="24"/>
          <w:szCs w:val="24"/>
          <w:lang w:val="zh-CN"/>
        </w:rPr>
        <w:t>种生态类型</w:t>
      </w:r>
      <w:r>
        <w:rPr>
          <w:rFonts w:hint="default" w:ascii="Times New Roman" w:hAnsi="Times New Roman" w:eastAsia="宋体" w:cs="Times New Roman"/>
          <w:bCs/>
          <w:caps w:val="0"/>
          <w:smallCaps w:val="0"/>
          <w:sz w:val="24"/>
          <w:szCs w:val="24"/>
        </w:rPr>
        <w:t>：</w:t>
      </w:r>
    </w:p>
    <w:p w14:paraId="529A2BAC">
      <w:pPr>
        <w:keepNext w:val="0"/>
        <w:keepLines w:val="0"/>
        <w:pageBreakBefore w:val="0"/>
        <w:widowControl w:val="0"/>
        <w:kinsoku/>
        <w:wordWrap/>
        <w:overflowPunct/>
        <w:topLinePunct w:val="0"/>
        <w:bidi w:val="0"/>
        <w:spacing w:line="360" w:lineRule="auto"/>
        <w:ind w:firstLine="482" w:firstLineChars="200"/>
        <w:jc w:val="both"/>
        <w:textAlignment w:val="auto"/>
        <w:outlineLvl w:val="9"/>
        <w:rPr>
          <w:rFonts w:hint="default" w:ascii="Times New Roman" w:hAnsi="Times New Roman" w:eastAsia="宋体" w:cs="Times New Roman"/>
          <w:bCs/>
          <w:caps w:val="0"/>
          <w:smallCaps w:val="0"/>
          <w:sz w:val="24"/>
          <w:szCs w:val="24"/>
        </w:rPr>
      </w:pPr>
      <w:r>
        <w:rPr>
          <w:rFonts w:hint="default" w:ascii="Times New Roman" w:hAnsi="Times New Roman" w:eastAsia="宋体" w:cs="Times New Roman"/>
          <w:b/>
          <w:bCs/>
          <w:caps w:val="0"/>
          <w:smallCaps w:val="0"/>
          <w:sz w:val="24"/>
          <w:szCs w:val="24"/>
        </w:rPr>
        <w:t>游禽</w:t>
      </w:r>
      <w:r>
        <w:rPr>
          <w:rFonts w:hint="default" w:ascii="Times New Roman" w:hAnsi="Times New Roman" w:eastAsia="宋体" w:cs="Times New Roman"/>
          <w:bCs/>
          <w:caps w:val="0"/>
          <w:smallCaps w:val="0"/>
          <w:sz w:val="24"/>
          <w:szCs w:val="24"/>
        </w:rPr>
        <w:t>（脚向后伸，趾间有蹼，有扁阔的或尖嘴，善于游泳、潜水和在水中掏取食物）：主要分布于</w:t>
      </w:r>
      <w:r>
        <w:rPr>
          <w:rFonts w:hint="default" w:ascii="Times New Roman" w:hAnsi="Times New Roman" w:eastAsia="宋体" w:cs="Times New Roman"/>
          <w:bCs/>
          <w:caps w:val="0"/>
          <w:smallCaps w:val="0"/>
          <w:sz w:val="24"/>
          <w:szCs w:val="24"/>
          <w:lang w:val="en-US" w:eastAsia="zh-CN"/>
        </w:rPr>
        <w:t>河流、</w:t>
      </w:r>
      <w:r>
        <w:rPr>
          <w:rFonts w:hint="default" w:ascii="Times New Roman" w:hAnsi="Times New Roman" w:eastAsia="宋体" w:cs="Times New Roman"/>
          <w:bCs/>
          <w:caps w:val="0"/>
          <w:smallCaps w:val="0"/>
          <w:sz w:val="24"/>
          <w:szCs w:val="24"/>
        </w:rPr>
        <w:t>池塘</w:t>
      </w:r>
      <w:r>
        <w:rPr>
          <w:rFonts w:hint="default" w:ascii="Times New Roman" w:hAnsi="Times New Roman" w:eastAsia="宋体" w:cs="Times New Roman"/>
          <w:bCs/>
          <w:caps w:val="0"/>
          <w:smallCaps w:val="0"/>
          <w:sz w:val="24"/>
          <w:szCs w:val="24"/>
          <w:lang w:val="en-US" w:eastAsia="zh-CN"/>
        </w:rPr>
        <w:t>区域。</w:t>
      </w:r>
      <w:r>
        <w:rPr>
          <w:rFonts w:hint="default" w:ascii="Times New Roman" w:hAnsi="Times New Roman" w:eastAsia="宋体" w:cs="Times New Roman"/>
          <w:bCs/>
          <w:caps w:val="0"/>
          <w:smallCaps w:val="0"/>
          <w:sz w:val="24"/>
          <w:szCs w:val="24"/>
        </w:rPr>
        <w:t>评价区内仅有䴙䴘目的1种，为小䴙䴘</w:t>
      </w:r>
      <w:r>
        <w:rPr>
          <w:rFonts w:hint="default" w:ascii="Times New Roman" w:hAnsi="Times New Roman" w:eastAsia="宋体" w:cs="Times New Roman"/>
          <w:bCs/>
          <w:caps w:val="0"/>
          <w:smallCaps w:val="0"/>
          <w:sz w:val="24"/>
          <w:szCs w:val="24"/>
          <w:lang w:eastAsia="zh-CN"/>
        </w:rPr>
        <w:t>（</w:t>
      </w:r>
      <w:r>
        <w:rPr>
          <w:rFonts w:hint="default" w:ascii="Times New Roman" w:hAnsi="Times New Roman" w:eastAsia="宋体" w:cs="Times New Roman"/>
          <w:bCs/>
          <w:i/>
          <w:iCs/>
          <w:caps w:val="0"/>
          <w:smallCaps w:val="0"/>
          <w:sz w:val="24"/>
          <w:szCs w:val="24"/>
          <w:lang w:eastAsia="zh-CN"/>
        </w:rPr>
        <w:t>Tachybaptus ruficollis</w:t>
      </w:r>
      <w:r>
        <w:rPr>
          <w:rFonts w:hint="default" w:ascii="Times New Roman" w:hAnsi="Times New Roman" w:eastAsia="宋体" w:cs="Times New Roman"/>
          <w:bCs/>
          <w:caps w:val="0"/>
          <w:smallCaps w:val="0"/>
          <w:sz w:val="24"/>
          <w:szCs w:val="24"/>
          <w:lang w:eastAsia="zh-CN"/>
        </w:rPr>
        <w:t>）</w:t>
      </w:r>
      <w:r>
        <w:rPr>
          <w:rFonts w:hint="default" w:ascii="Times New Roman" w:hAnsi="Times New Roman" w:eastAsia="宋体" w:cs="Times New Roman"/>
          <w:bCs/>
          <w:caps w:val="0"/>
          <w:smallCaps w:val="0"/>
          <w:sz w:val="24"/>
          <w:szCs w:val="24"/>
        </w:rPr>
        <w:t>。</w:t>
      </w:r>
    </w:p>
    <w:p w14:paraId="063BFA4B">
      <w:pPr>
        <w:keepNext w:val="0"/>
        <w:keepLines w:val="0"/>
        <w:pageBreakBefore w:val="0"/>
        <w:widowControl w:val="0"/>
        <w:kinsoku/>
        <w:wordWrap/>
        <w:overflowPunct/>
        <w:topLinePunct w:val="0"/>
        <w:bidi w:val="0"/>
        <w:spacing w:line="360" w:lineRule="auto"/>
        <w:ind w:firstLine="482" w:firstLineChars="200"/>
        <w:textAlignment w:val="auto"/>
        <w:outlineLvl w:val="9"/>
        <w:rPr>
          <w:rFonts w:hint="default" w:ascii="Times New Roman" w:hAnsi="Times New Roman" w:eastAsia="宋体" w:cs="Times New Roman"/>
          <w:caps w:val="0"/>
          <w:smallCaps w:val="0"/>
          <w:sz w:val="24"/>
          <w:szCs w:val="24"/>
          <w:lang w:val="en-US" w:eastAsia="zh-CN"/>
        </w:rPr>
      </w:pPr>
      <w:r>
        <w:rPr>
          <w:rFonts w:hint="default" w:ascii="Times New Roman" w:hAnsi="Times New Roman" w:eastAsia="宋体" w:cs="Times New Roman"/>
          <w:b/>
          <w:bCs/>
          <w:caps w:val="0"/>
          <w:smallCaps w:val="0"/>
          <w:sz w:val="24"/>
          <w:szCs w:val="24"/>
        </w:rPr>
        <w:t>涉禽</w:t>
      </w:r>
      <w:r>
        <w:rPr>
          <w:rFonts w:hint="default" w:ascii="Times New Roman" w:hAnsi="Times New Roman" w:eastAsia="宋体" w:cs="Times New Roman"/>
          <w:caps w:val="0"/>
          <w:smallCaps w:val="0"/>
          <w:sz w:val="24"/>
          <w:szCs w:val="24"/>
        </w:rPr>
        <w:t>（嘴，颈和脚都比较长，脚趾也很长，适于涉水行进，不会游泳，常用长嘴插入水底或地面取食）：主要分布于河流、水库岸边的滩涂，以及池塘、水田等处。</w:t>
      </w:r>
      <w:r>
        <w:rPr>
          <w:rFonts w:hint="default" w:ascii="Times New Roman" w:hAnsi="Times New Roman" w:eastAsia="宋体" w:cs="Times New Roman"/>
          <w:bCs/>
          <w:caps w:val="0"/>
          <w:smallCaps w:val="0"/>
          <w:sz w:val="24"/>
          <w:szCs w:val="24"/>
        </w:rPr>
        <w:t>评价区</w:t>
      </w:r>
      <w:r>
        <w:rPr>
          <w:rFonts w:hint="default" w:ascii="Times New Roman" w:hAnsi="Times New Roman" w:eastAsia="宋体" w:cs="Times New Roman"/>
          <w:caps w:val="0"/>
          <w:smallCaps w:val="0"/>
          <w:sz w:val="24"/>
          <w:szCs w:val="24"/>
          <w:lang w:val="en-US" w:eastAsia="zh-CN"/>
        </w:rPr>
        <w:t>记录的有鹳形目的大白鹭、牛背鹭。</w:t>
      </w:r>
    </w:p>
    <w:p w14:paraId="51926930">
      <w:pPr>
        <w:keepNext w:val="0"/>
        <w:keepLines w:val="0"/>
        <w:pageBreakBefore w:val="0"/>
        <w:widowControl w:val="0"/>
        <w:kinsoku/>
        <w:wordWrap/>
        <w:overflowPunct/>
        <w:topLinePunct w:val="0"/>
        <w:bidi w:val="0"/>
        <w:spacing w:line="360" w:lineRule="auto"/>
        <w:ind w:firstLine="482" w:firstLineChars="200"/>
        <w:textAlignment w:val="auto"/>
        <w:outlineLvl w:val="9"/>
        <w:rPr>
          <w:rFonts w:hint="default" w:ascii="Times New Roman" w:hAnsi="Times New Roman" w:eastAsia="宋体" w:cs="Times New Roman"/>
          <w:caps w:val="0"/>
          <w:smallCaps w:val="0"/>
          <w:sz w:val="24"/>
          <w:szCs w:val="24"/>
          <w:lang w:eastAsia="zh-CN"/>
        </w:rPr>
      </w:pPr>
      <w:r>
        <w:rPr>
          <w:rFonts w:hint="default" w:ascii="Times New Roman" w:hAnsi="Times New Roman" w:eastAsia="宋体" w:cs="Times New Roman"/>
          <w:b/>
          <w:caps w:val="0"/>
          <w:smallCaps w:val="0"/>
          <w:sz w:val="24"/>
          <w:szCs w:val="24"/>
        </w:rPr>
        <w:t>陆禽</w:t>
      </w:r>
      <w:r>
        <w:rPr>
          <w:rFonts w:hint="default" w:ascii="Times New Roman" w:hAnsi="Times New Roman" w:eastAsia="宋体" w:cs="Times New Roman"/>
          <w:caps w:val="0"/>
          <w:smallCaps w:val="0"/>
          <w:sz w:val="24"/>
          <w:szCs w:val="24"/>
        </w:rPr>
        <w:t>（</w:t>
      </w:r>
      <w:r>
        <w:rPr>
          <w:rFonts w:hint="default" w:ascii="Times New Roman" w:hAnsi="Times New Roman" w:eastAsia="宋体" w:cs="Times New Roman"/>
          <w:caps w:val="0"/>
          <w:smallCaps w:val="0"/>
          <w:sz w:val="24"/>
          <w:szCs w:val="24"/>
          <w:lang w:val="zh-CN"/>
        </w:rPr>
        <w:t>体格结实</w:t>
      </w:r>
      <w:r>
        <w:rPr>
          <w:rFonts w:hint="default" w:ascii="Times New Roman" w:hAnsi="Times New Roman" w:eastAsia="宋体" w:cs="Times New Roman"/>
          <w:caps w:val="0"/>
          <w:smallCaps w:val="0"/>
          <w:sz w:val="24"/>
          <w:szCs w:val="24"/>
        </w:rPr>
        <w:t>，</w:t>
      </w:r>
      <w:r>
        <w:rPr>
          <w:rFonts w:hint="default" w:ascii="Times New Roman" w:hAnsi="Times New Roman" w:eastAsia="宋体" w:cs="Times New Roman"/>
          <w:caps w:val="0"/>
          <w:smallCaps w:val="0"/>
          <w:sz w:val="24"/>
          <w:szCs w:val="24"/>
          <w:lang w:val="zh-CN"/>
        </w:rPr>
        <w:t>嘴坚硬</w:t>
      </w:r>
      <w:r>
        <w:rPr>
          <w:rFonts w:hint="default" w:ascii="Times New Roman" w:hAnsi="Times New Roman" w:eastAsia="宋体" w:cs="Times New Roman"/>
          <w:caps w:val="0"/>
          <w:smallCaps w:val="0"/>
          <w:sz w:val="24"/>
          <w:szCs w:val="24"/>
        </w:rPr>
        <w:t>，</w:t>
      </w:r>
      <w:r>
        <w:rPr>
          <w:rFonts w:hint="default" w:ascii="Times New Roman" w:hAnsi="Times New Roman" w:eastAsia="宋体" w:cs="Times New Roman"/>
          <w:caps w:val="0"/>
          <w:smallCaps w:val="0"/>
          <w:sz w:val="24"/>
          <w:szCs w:val="24"/>
          <w:lang w:val="zh-CN"/>
        </w:rPr>
        <w:t>脚强而有力</w:t>
      </w:r>
      <w:r>
        <w:rPr>
          <w:rFonts w:hint="default" w:ascii="Times New Roman" w:hAnsi="Times New Roman" w:eastAsia="宋体" w:cs="Times New Roman"/>
          <w:caps w:val="0"/>
          <w:smallCaps w:val="0"/>
          <w:sz w:val="24"/>
          <w:szCs w:val="24"/>
        </w:rPr>
        <w:t>，</w:t>
      </w:r>
      <w:r>
        <w:rPr>
          <w:rFonts w:hint="default" w:ascii="Times New Roman" w:hAnsi="Times New Roman" w:eastAsia="宋体" w:cs="Times New Roman"/>
          <w:caps w:val="0"/>
          <w:smallCaps w:val="0"/>
          <w:sz w:val="24"/>
          <w:szCs w:val="24"/>
          <w:lang w:val="zh-CN"/>
        </w:rPr>
        <w:t>适于挖土</w:t>
      </w:r>
      <w:r>
        <w:rPr>
          <w:rFonts w:hint="default" w:ascii="Times New Roman" w:hAnsi="Times New Roman" w:eastAsia="宋体" w:cs="Times New Roman"/>
          <w:caps w:val="0"/>
          <w:smallCaps w:val="0"/>
          <w:sz w:val="24"/>
          <w:szCs w:val="24"/>
        </w:rPr>
        <w:t>，</w:t>
      </w:r>
      <w:r>
        <w:rPr>
          <w:rFonts w:hint="default" w:ascii="Times New Roman" w:hAnsi="Times New Roman" w:eastAsia="宋体" w:cs="Times New Roman"/>
          <w:caps w:val="0"/>
          <w:smallCaps w:val="0"/>
          <w:sz w:val="24"/>
          <w:szCs w:val="24"/>
          <w:lang w:val="zh-CN"/>
        </w:rPr>
        <w:t>多在地面活动觅食</w:t>
      </w:r>
      <w:r>
        <w:rPr>
          <w:rFonts w:hint="default" w:ascii="Times New Roman" w:hAnsi="Times New Roman" w:eastAsia="宋体" w:cs="Times New Roman"/>
          <w:caps w:val="0"/>
          <w:smallCaps w:val="0"/>
          <w:sz w:val="24"/>
          <w:szCs w:val="24"/>
        </w:rPr>
        <w:t>）：主要分布于道路两侧的林地及林缘地带或农田及居民点区域。评价区包括鸡形目、鸽形目的环颈雉</w:t>
      </w:r>
      <w:r>
        <w:rPr>
          <w:rFonts w:hint="default" w:ascii="Times New Roman" w:hAnsi="Times New Roman" w:eastAsia="宋体" w:cs="Times New Roman"/>
          <w:caps w:val="0"/>
          <w:smallCaps w:val="0"/>
          <w:sz w:val="24"/>
          <w:szCs w:val="24"/>
          <w:lang w:eastAsia="zh-CN"/>
        </w:rPr>
        <w:t>（</w:t>
      </w:r>
      <w:r>
        <w:rPr>
          <w:rFonts w:hint="default" w:ascii="Times New Roman" w:hAnsi="Times New Roman" w:eastAsia="宋体" w:cs="Times New Roman"/>
          <w:i/>
          <w:iCs/>
          <w:caps w:val="0"/>
          <w:smallCaps w:val="0"/>
          <w:sz w:val="24"/>
          <w:szCs w:val="24"/>
          <w:lang w:eastAsia="zh-CN"/>
        </w:rPr>
        <w:t>Phasianus colchicus</w:t>
      </w:r>
      <w:r>
        <w:rPr>
          <w:rFonts w:hint="default" w:ascii="Times New Roman" w:hAnsi="Times New Roman" w:eastAsia="宋体" w:cs="Times New Roman"/>
          <w:caps w:val="0"/>
          <w:smallCaps w:val="0"/>
          <w:sz w:val="24"/>
          <w:szCs w:val="24"/>
          <w:lang w:eastAsia="zh-CN"/>
        </w:rPr>
        <w:t>）</w:t>
      </w:r>
      <w:r>
        <w:rPr>
          <w:rFonts w:hint="default" w:ascii="Times New Roman" w:hAnsi="Times New Roman" w:eastAsia="宋体" w:cs="Times New Roman"/>
          <w:caps w:val="0"/>
          <w:smallCaps w:val="0"/>
          <w:sz w:val="24"/>
          <w:szCs w:val="24"/>
        </w:rPr>
        <w:t>、山斑鸠</w:t>
      </w:r>
      <w:r>
        <w:rPr>
          <w:rFonts w:hint="default" w:ascii="Times New Roman" w:hAnsi="Times New Roman" w:eastAsia="宋体" w:cs="Times New Roman"/>
          <w:caps w:val="0"/>
          <w:smallCaps w:val="0"/>
          <w:sz w:val="24"/>
          <w:szCs w:val="24"/>
          <w:lang w:val="en-US" w:eastAsia="zh-CN"/>
        </w:rPr>
        <w:t>2</w:t>
      </w:r>
      <w:r>
        <w:rPr>
          <w:rFonts w:hint="default" w:ascii="Times New Roman" w:hAnsi="Times New Roman" w:eastAsia="宋体" w:cs="Times New Roman"/>
          <w:caps w:val="0"/>
          <w:smallCaps w:val="0"/>
          <w:sz w:val="24"/>
          <w:szCs w:val="24"/>
        </w:rPr>
        <w:t>种</w:t>
      </w:r>
      <w:r>
        <w:rPr>
          <w:rFonts w:hint="default" w:ascii="Times New Roman" w:hAnsi="Times New Roman" w:eastAsia="宋体" w:cs="Times New Roman"/>
          <w:caps w:val="0"/>
          <w:smallCaps w:val="0"/>
          <w:sz w:val="24"/>
          <w:szCs w:val="24"/>
          <w:lang w:eastAsia="zh-CN"/>
        </w:rPr>
        <w:t>。</w:t>
      </w:r>
    </w:p>
    <w:p w14:paraId="18C00916">
      <w:pPr>
        <w:keepNext w:val="0"/>
        <w:keepLines w:val="0"/>
        <w:pageBreakBefore w:val="0"/>
        <w:widowControl w:val="0"/>
        <w:kinsoku/>
        <w:wordWrap/>
        <w:overflowPunct/>
        <w:topLinePunct w:val="0"/>
        <w:bidi w:val="0"/>
        <w:spacing w:line="360" w:lineRule="auto"/>
        <w:ind w:firstLine="482" w:firstLineChars="200"/>
        <w:textAlignment w:val="auto"/>
        <w:outlineLvl w:val="9"/>
        <w:rPr>
          <w:rFonts w:hint="default" w:ascii="Times New Roman" w:hAnsi="Times New Roman" w:eastAsia="宋体" w:cs="Times New Roman"/>
          <w:caps w:val="0"/>
          <w:smallCaps w:val="0"/>
          <w:sz w:val="24"/>
          <w:szCs w:val="24"/>
          <w:lang w:val="en-US" w:eastAsia="zh-CN"/>
        </w:rPr>
      </w:pPr>
      <w:r>
        <w:rPr>
          <w:rFonts w:hint="default" w:ascii="Times New Roman" w:hAnsi="Times New Roman" w:eastAsia="宋体" w:cs="Times New Roman"/>
          <w:b/>
          <w:caps w:val="0"/>
          <w:smallCaps w:val="0"/>
          <w:sz w:val="24"/>
          <w:szCs w:val="24"/>
        </w:rPr>
        <w:t>猛禽</w:t>
      </w:r>
      <w:r>
        <w:rPr>
          <w:rFonts w:hint="default" w:ascii="Times New Roman" w:hAnsi="Times New Roman" w:eastAsia="宋体" w:cs="Times New Roman"/>
          <w:caps w:val="0"/>
          <w:smallCaps w:val="0"/>
          <w:sz w:val="24"/>
          <w:szCs w:val="24"/>
        </w:rPr>
        <w:t>（</w:t>
      </w:r>
      <w:r>
        <w:rPr>
          <w:rFonts w:hint="default" w:ascii="Times New Roman" w:hAnsi="Times New Roman" w:eastAsia="宋体" w:cs="Times New Roman"/>
          <w:caps w:val="0"/>
          <w:smallCaps w:val="0"/>
          <w:sz w:val="24"/>
          <w:szCs w:val="24"/>
          <w:lang w:val="zh-CN"/>
        </w:rPr>
        <w:t>具有弯曲如钩的锐利嘴和爪，翅膀强大有力，能在天空翱翔或滑翔，捕食空中或地下活的猎物</w:t>
      </w:r>
      <w:r>
        <w:rPr>
          <w:rFonts w:hint="default" w:ascii="Times New Roman" w:hAnsi="Times New Roman" w:eastAsia="宋体" w:cs="Times New Roman"/>
          <w:caps w:val="0"/>
          <w:smallCaps w:val="0"/>
          <w:sz w:val="24"/>
          <w:szCs w:val="24"/>
        </w:rPr>
        <w:t>）：</w:t>
      </w:r>
      <w:r>
        <w:rPr>
          <w:rFonts w:hint="default" w:ascii="Times New Roman" w:hAnsi="Times New Roman" w:eastAsia="宋体" w:cs="Times New Roman"/>
          <w:bCs/>
          <w:caps w:val="0"/>
          <w:smallCaps w:val="0"/>
          <w:sz w:val="24"/>
          <w:szCs w:val="24"/>
        </w:rPr>
        <w:t>它们主要分布于针叶林或阔叶林</w:t>
      </w:r>
      <w:r>
        <w:rPr>
          <w:rFonts w:hint="default" w:ascii="Times New Roman" w:hAnsi="Times New Roman" w:eastAsia="宋体" w:cs="Times New Roman"/>
          <w:bCs/>
          <w:caps w:val="0"/>
          <w:smallCaps w:val="0"/>
          <w:sz w:val="24"/>
          <w:szCs w:val="24"/>
          <w:lang w:eastAsia="zh-CN"/>
        </w:rPr>
        <w:t>，</w:t>
      </w:r>
      <w:r>
        <w:rPr>
          <w:rFonts w:hint="default" w:ascii="Times New Roman" w:hAnsi="Times New Roman" w:eastAsia="宋体" w:cs="Times New Roman"/>
          <w:bCs/>
          <w:caps w:val="0"/>
          <w:smallCaps w:val="0"/>
          <w:sz w:val="24"/>
          <w:szCs w:val="24"/>
        </w:rPr>
        <w:t>处于食物链顶端，在生态系统中占有重要地位，它们在控制啮齿类动物的数量，维持环境健康和生态平衡方面具有不可替代的作用。由于猛禽数量稀少，我国将所有猛禽都列为国家重点保护鸟类</w:t>
      </w:r>
      <w:r>
        <w:rPr>
          <w:rFonts w:hint="default" w:ascii="Times New Roman" w:hAnsi="Times New Roman" w:eastAsia="宋体" w:cs="Times New Roman"/>
          <w:caps w:val="0"/>
          <w:smallCaps w:val="0"/>
          <w:sz w:val="24"/>
          <w:szCs w:val="24"/>
        </w:rPr>
        <w:t>。</w:t>
      </w:r>
      <w:r>
        <w:rPr>
          <w:rFonts w:hint="default" w:ascii="Times New Roman" w:hAnsi="Times New Roman" w:eastAsia="宋体" w:cs="Times New Roman"/>
          <w:caps w:val="0"/>
          <w:smallCaps w:val="0"/>
          <w:sz w:val="24"/>
          <w:szCs w:val="24"/>
          <w:lang w:val="en-US" w:eastAsia="zh-CN"/>
        </w:rPr>
        <w:t>评价区未发现该种鸟类。</w:t>
      </w:r>
    </w:p>
    <w:p w14:paraId="2348A427">
      <w:pPr>
        <w:keepNext w:val="0"/>
        <w:keepLines w:val="0"/>
        <w:pageBreakBefore w:val="0"/>
        <w:widowControl w:val="0"/>
        <w:kinsoku/>
        <w:wordWrap/>
        <w:overflowPunct/>
        <w:topLinePunct w:val="0"/>
        <w:bidi w:val="0"/>
        <w:spacing w:line="360" w:lineRule="auto"/>
        <w:ind w:firstLine="482" w:firstLineChars="200"/>
        <w:textAlignment w:val="auto"/>
        <w:outlineLvl w:val="9"/>
        <w:rPr>
          <w:rFonts w:hint="default" w:ascii="Times New Roman" w:hAnsi="Times New Roman" w:eastAsia="宋体" w:cs="Times New Roman"/>
          <w:caps w:val="0"/>
          <w:smallCaps w:val="0"/>
          <w:sz w:val="24"/>
          <w:szCs w:val="24"/>
          <w:lang w:eastAsia="zh-CN"/>
        </w:rPr>
      </w:pPr>
      <w:r>
        <w:rPr>
          <w:rFonts w:hint="default" w:ascii="Times New Roman" w:hAnsi="Times New Roman" w:eastAsia="宋体" w:cs="Times New Roman"/>
          <w:b/>
          <w:caps w:val="0"/>
          <w:smallCaps w:val="0"/>
          <w:sz w:val="24"/>
          <w:szCs w:val="24"/>
        </w:rPr>
        <w:t>攀禽</w:t>
      </w:r>
      <w:r>
        <w:rPr>
          <w:rFonts w:hint="default" w:ascii="Times New Roman" w:hAnsi="Times New Roman" w:eastAsia="宋体" w:cs="Times New Roman"/>
          <w:caps w:val="0"/>
          <w:smallCaps w:val="0"/>
          <w:sz w:val="24"/>
          <w:szCs w:val="24"/>
        </w:rPr>
        <w:t>（</w:t>
      </w:r>
      <w:r>
        <w:rPr>
          <w:rFonts w:hint="default" w:ascii="Times New Roman" w:hAnsi="Times New Roman" w:eastAsia="宋体" w:cs="Times New Roman"/>
          <w:caps w:val="0"/>
          <w:smallCaps w:val="0"/>
          <w:sz w:val="24"/>
          <w:szCs w:val="24"/>
          <w:lang w:val="zh-CN"/>
        </w:rPr>
        <w:t>嘴、脚和尾的构造都很特殊</w:t>
      </w:r>
      <w:r>
        <w:rPr>
          <w:rFonts w:hint="default" w:ascii="Times New Roman" w:hAnsi="Times New Roman" w:eastAsia="宋体" w:cs="Times New Roman"/>
          <w:caps w:val="0"/>
          <w:smallCaps w:val="0"/>
          <w:sz w:val="24"/>
          <w:szCs w:val="24"/>
        </w:rPr>
        <w:t>，</w:t>
      </w:r>
      <w:r>
        <w:rPr>
          <w:rFonts w:hint="default" w:ascii="Times New Roman" w:hAnsi="Times New Roman" w:eastAsia="宋体" w:cs="Times New Roman"/>
          <w:caps w:val="0"/>
          <w:smallCaps w:val="0"/>
          <w:sz w:val="24"/>
          <w:szCs w:val="24"/>
          <w:lang w:val="zh-CN"/>
        </w:rPr>
        <w:t>善于在树上攀缘</w:t>
      </w:r>
      <w:r>
        <w:rPr>
          <w:rFonts w:hint="default" w:ascii="Times New Roman" w:hAnsi="Times New Roman" w:eastAsia="宋体" w:cs="Times New Roman"/>
          <w:caps w:val="0"/>
          <w:smallCaps w:val="0"/>
          <w:sz w:val="24"/>
          <w:szCs w:val="24"/>
        </w:rPr>
        <w:t>）：除了佛法僧目翠鸟科的种类主要分布于水域附近外，其他种类主要分布于各种树林中，有部分也在林缘村庄内活动。</w:t>
      </w:r>
      <w:r>
        <w:rPr>
          <w:rFonts w:hint="default" w:ascii="Times New Roman" w:hAnsi="Times New Roman" w:eastAsia="宋体" w:cs="Times New Roman"/>
          <w:bCs/>
          <w:caps w:val="0"/>
          <w:smallCaps w:val="0"/>
          <w:sz w:val="24"/>
          <w:szCs w:val="24"/>
        </w:rPr>
        <w:t>评价区</w:t>
      </w:r>
      <w:r>
        <w:rPr>
          <w:rFonts w:hint="default" w:ascii="Times New Roman" w:hAnsi="Times New Roman" w:eastAsia="宋体" w:cs="Times New Roman"/>
          <w:caps w:val="0"/>
          <w:smallCaps w:val="0"/>
          <w:sz w:val="24"/>
          <w:szCs w:val="24"/>
        </w:rPr>
        <w:t>包括佛法僧目和啄木鸟目的普通翠鸟和纹胸啄木鸟</w:t>
      </w:r>
      <w:r>
        <w:rPr>
          <w:rFonts w:hint="default" w:ascii="Times New Roman" w:hAnsi="Times New Roman" w:eastAsia="宋体" w:cs="Times New Roman"/>
          <w:caps w:val="0"/>
          <w:smallCaps w:val="0"/>
          <w:sz w:val="24"/>
          <w:szCs w:val="24"/>
          <w:lang w:eastAsia="zh-CN"/>
        </w:rPr>
        <w:t>（</w:t>
      </w:r>
      <w:r>
        <w:rPr>
          <w:rFonts w:hint="default" w:ascii="Times New Roman" w:hAnsi="Times New Roman" w:eastAsia="宋体" w:cs="Times New Roman"/>
          <w:i/>
          <w:iCs/>
          <w:caps w:val="0"/>
          <w:smallCaps w:val="0"/>
          <w:sz w:val="24"/>
          <w:szCs w:val="24"/>
          <w:lang w:eastAsia="zh-CN"/>
        </w:rPr>
        <w:t>Picoides atratus</w:t>
      </w:r>
      <w:r>
        <w:rPr>
          <w:rFonts w:hint="default" w:ascii="Times New Roman" w:hAnsi="Times New Roman" w:eastAsia="宋体" w:cs="Times New Roman"/>
          <w:caps w:val="0"/>
          <w:smallCaps w:val="0"/>
          <w:sz w:val="24"/>
          <w:szCs w:val="24"/>
          <w:lang w:eastAsia="zh-CN"/>
        </w:rPr>
        <w:t>）</w:t>
      </w:r>
      <w:r>
        <w:rPr>
          <w:rFonts w:hint="default" w:ascii="Times New Roman" w:hAnsi="Times New Roman" w:eastAsia="宋体" w:cs="Times New Roman"/>
          <w:caps w:val="0"/>
          <w:smallCaps w:val="0"/>
          <w:sz w:val="24"/>
          <w:szCs w:val="24"/>
        </w:rPr>
        <w:t>，共</w:t>
      </w:r>
      <w:r>
        <w:rPr>
          <w:rFonts w:hint="default" w:ascii="Times New Roman" w:hAnsi="Times New Roman" w:eastAsia="宋体" w:cs="Times New Roman"/>
          <w:caps w:val="0"/>
          <w:smallCaps w:val="0"/>
          <w:sz w:val="24"/>
          <w:szCs w:val="24"/>
          <w:lang w:val="en-US" w:eastAsia="zh-CN"/>
        </w:rPr>
        <w:t>2</w:t>
      </w:r>
      <w:r>
        <w:rPr>
          <w:rFonts w:hint="default" w:ascii="Times New Roman" w:hAnsi="Times New Roman" w:eastAsia="宋体" w:cs="Times New Roman"/>
          <w:caps w:val="0"/>
          <w:smallCaps w:val="0"/>
          <w:sz w:val="24"/>
          <w:szCs w:val="24"/>
        </w:rPr>
        <w:t>种</w:t>
      </w:r>
      <w:r>
        <w:rPr>
          <w:rFonts w:hint="default" w:ascii="Times New Roman" w:hAnsi="Times New Roman" w:eastAsia="宋体" w:cs="Times New Roman"/>
          <w:caps w:val="0"/>
          <w:smallCaps w:val="0"/>
          <w:sz w:val="24"/>
          <w:szCs w:val="24"/>
          <w:lang w:eastAsia="zh-CN"/>
        </w:rPr>
        <w:t>。</w:t>
      </w:r>
    </w:p>
    <w:p w14:paraId="76A91E66">
      <w:pPr>
        <w:keepNext w:val="0"/>
        <w:keepLines w:val="0"/>
        <w:pageBreakBefore w:val="0"/>
        <w:widowControl w:val="0"/>
        <w:kinsoku/>
        <w:wordWrap/>
        <w:overflowPunct/>
        <w:topLinePunct w:val="0"/>
        <w:bidi w:val="0"/>
        <w:spacing w:line="360" w:lineRule="auto"/>
        <w:ind w:firstLine="482" w:firstLineChars="200"/>
        <w:textAlignment w:val="auto"/>
        <w:outlineLvl w:val="9"/>
        <w:rPr>
          <w:rFonts w:hint="default" w:ascii="Times New Roman" w:hAnsi="Times New Roman" w:eastAsia="宋体" w:cs="Times New Roman"/>
          <w:caps w:val="0"/>
          <w:smallCaps w:val="0"/>
          <w:sz w:val="24"/>
          <w:szCs w:val="24"/>
        </w:rPr>
      </w:pPr>
      <w:r>
        <w:rPr>
          <w:rFonts w:hint="default" w:ascii="Times New Roman" w:hAnsi="Times New Roman" w:eastAsia="宋体" w:cs="Times New Roman"/>
          <w:b/>
          <w:caps w:val="0"/>
          <w:smallCaps w:val="0"/>
          <w:sz w:val="24"/>
          <w:szCs w:val="24"/>
        </w:rPr>
        <w:t>鸣禽</w:t>
      </w:r>
      <w:r>
        <w:rPr>
          <w:rFonts w:hint="default" w:ascii="Times New Roman" w:hAnsi="Times New Roman" w:eastAsia="宋体" w:cs="Times New Roman"/>
          <w:caps w:val="0"/>
          <w:smallCaps w:val="0"/>
          <w:sz w:val="24"/>
          <w:szCs w:val="24"/>
        </w:rPr>
        <w:t>（</w:t>
      </w:r>
      <w:r>
        <w:rPr>
          <w:rFonts w:hint="default" w:ascii="Times New Roman" w:hAnsi="Times New Roman" w:eastAsia="宋体" w:cs="Times New Roman"/>
          <w:caps w:val="0"/>
          <w:smallCaps w:val="0"/>
          <w:sz w:val="24"/>
          <w:szCs w:val="24"/>
          <w:lang w:val="zh-CN"/>
        </w:rPr>
        <w:t>鸣管和鸣肌特别发达。一般体形较小，体态轻捷，活泼灵巧，善于鸣叫和歌唱，且巧于筑巢</w:t>
      </w:r>
      <w:r>
        <w:rPr>
          <w:rFonts w:hint="default" w:ascii="Times New Roman" w:hAnsi="Times New Roman" w:eastAsia="宋体" w:cs="Times New Roman"/>
          <w:caps w:val="0"/>
          <w:smallCaps w:val="0"/>
          <w:sz w:val="24"/>
          <w:szCs w:val="24"/>
        </w:rPr>
        <w:t>）：雀形目的所有鸟类都为鸣禽，共</w:t>
      </w:r>
      <w:r>
        <w:rPr>
          <w:rFonts w:hint="default" w:ascii="Times New Roman" w:hAnsi="Times New Roman" w:eastAsia="宋体" w:cs="Times New Roman"/>
          <w:caps w:val="0"/>
          <w:smallCaps w:val="0"/>
          <w:sz w:val="24"/>
          <w:szCs w:val="24"/>
          <w:lang w:val="en-US" w:eastAsia="zh-CN"/>
        </w:rPr>
        <w:t>36</w:t>
      </w:r>
      <w:r>
        <w:rPr>
          <w:rFonts w:hint="default" w:ascii="Times New Roman" w:hAnsi="Times New Roman" w:eastAsia="宋体" w:cs="Times New Roman"/>
          <w:caps w:val="0"/>
          <w:smallCaps w:val="0"/>
          <w:sz w:val="24"/>
          <w:szCs w:val="24"/>
        </w:rPr>
        <w:t>种，</w:t>
      </w:r>
      <w:r>
        <w:rPr>
          <w:rFonts w:hint="default" w:ascii="Times New Roman" w:hAnsi="Times New Roman" w:eastAsia="宋体" w:cs="Times New Roman"/>
          <w:bCs/>
          <w:caps w:val="0"/>
          <w:smallCaps w:val="0"/>
          <w:sz w:val="24"/>
          <w:szCs w:val="24"/>
        </w:rPr>
        <w:t>为典型的森林鸟类。它们在评价区内广泛分布，</w:t>
      </w:r>
      <w:r>
        <w:rPr>
          <w:rFonts w:hint="default" w:ascii="Times New Roman" w:hAnsi="Times New Roman" w:eastAsia="宋体" w:cs="Times New Roman"/>
          <w:caps w:val="0"/>
          <w:smallCaps w:val="0"/>
          <w:sz w:val="24"/>
          <w:szCs w:val="24"/>
        </w:rPr>
        <w:t>主要生境为森林、灌丛、农田、居住地等，</w:t>
      </w:r>
      <w:r>
        <w:rPr>
          <w:rFonts w:hint="default" w:ascii="Times New Roman" w:hAnsi="Times New Roman" w:eastAsia="宋体" w:cs="Times New Roman"/>
          <w:bCs/>
          <w:caps w:val="0"/>
          <w:smallCaps w:val="0"/>
          <w:sz w:val="24"/>
          <w:szCs w:val="24"/>
        </w:rPr>
        <w:t>不论是种类还是数量，鸣禽都占绝对优势。野外实地调查中，目击到的种类中，大多数为雀形目种类，如</w:t>
      </w:r>
      <w:r>
        <w:rPr>
          <w:rFonts w:hint="default" w:ascii="Times New Roman" w:hAnsi="Times New Roman" w:eastAsia="宋体" w:cs="Times New Roman"/>
          <w:bCs/>
          <w:caps w:val="0"/>
          <w:smallCaps w:val="0"/>
          <w:sz w:val="24"/>
          <w:szCs w:val="24"/>
          <w:lang w:val="en-US" w:eastAsia="zh-CN"/>
        </w:rPr>
        <w:t>喜鹊</w:t>
      </w:r>
      <w:r>
        <w:rPr>
          <w:rFonts w:hint="default" w:ascii="Times New Roman" w:hAnsi="Times New Roman" w:eastAsia="宋体" w:cs="Times New Roman"/>
          <w:bCs/>
          <w:caps w:val="0"/>
          <w:smallCaps w:val="0"/>
          <w:sz w:val="24"/>
          <w:szCs w:val="24"/>
        </w:rPr>
        <w:t>、</w:t>
      </w:r>
      <w:r>
        <w:rPr>
          <w:rFonts w:hint="default" w:ascii="Times New Roman" w:hAnsi="Times New Roman" w:eastAsia="宋体" w:cs="Times New Roman"/>
          <w:bCs/>
          <w:caps w:val="0"/>
          <w:smallCaps w:val="0"/>
          <w:sz w:val="24"/>
          <w:szCs w:val="24"/>
          <w:lang w:val="en-US" w:eastAsia="zh-CN"/>
        </w:rPr>
        <w:t>家燕、</w:t>
      </w:r>
      <w:r>
        <w:rPr>
          <w:rFonts w:hint="default" w:ascii="Times New Roman" w:hAnsi="Times New Roman" w:eastAsia="宋体" w:cs="Times New Roman"/>
          <w:bCs/>
          <w:caps w:val="0"/>
          <w:smallCaps w:val="0"/>
          <w:sz w:val="24"/>
          <w:szCs w:val="24"/>
          <w:lang w:eastAsia="zh-CN"/>
        </w:rPr>
        <w:t>树麻雀、</w:t>
      </w:r>
      <w:r>
        <w:rPr>
          <w:rFonts w:hint="default" w:ascii="Times New Roman" w:hAnsi="Times New Roman" w:eastAsia="宋体" w:cs="Times New Roman"/>
          <w:bCs/>
          <w:caps w:val="0"/>
          <w:smallCaps w:val="0"/>
          <w:sz w:val="24"/>
          <w:szCs w:val="24"/>
          <w:lang w:val="en-US" w:eastAsia="zh-CN"/>
        </w:rPr>
        <w:t>黑卷尾、白头鹎、</w:t>
      </w:r>
      <w:r>
        <w:rPr>
          <w:rFonts w:hint="default" w:ascii="Times New Roman" w:hAnsi="Times New Roman" w:eastAsia="宋体" w:cs="Times New Roman"/>
          <w:color w:val="000000"/>
          <w:kern w:val="0"/>
          <w:sz w:val="24"/>
          <w:szCs w:val="24"/>
          <w:lang w:eastAsia="zh-CN"/>
        </w:rPr>
        <w:t>乌鸫、</w:t>
      </w:r>
      <w:r>
        <w:rPr>
          <w:rFonts w:hint="default" w:ascii="Times New Roman" w:hAnsi="Times New Roman" w:eastAsia="宋体" w:cs="Times New Roman"/>
          <w:bCs/>
          <w:caps w:val="0"/>
          <w:smallCaps w:val="0"/>
          <w:sz w:val="24"/>
          <w:szCs w:val="24"/>
          <w:lang w:val="en-US" w:eastAsia="zh-CN"/>
        </w:rPr>
        <w:t>黄雀（</w:t>
      </w:r>
      <w:r>
        <w:rPr>
          <w:rFonts w:hint="default" w:ascii="Times New Roman" w:hAnsi="Times New Roman" w:eastAsia="宋体" w:cs="Times New Roman"/>
          <w:bCs/>
          <w:i/>
          <w:iCs/>
          <w:caps w:val="0"/>
          <w:smallCaps w:val="0"/>
          <w:sz w:val="24"/>
          <w:szCs w:val="24"/>
          <w:lang w:val="en-US" w:eastAsia="zh-CN"/>
        </w:rPr>
        <w:t>Carduelis spinus</w:t>
      </w:r>
      <w:r>
        <w:rPr>
          <w:rFonts w:hint="default" w:ascii="Times New Roman" w:hAnsi="Times New Roman" w:eastAsia="宋体" w:cs="Times New Roman"/>
          <w:bCs/>
          <w:caps w:val="0"/>
          <w:smallCaps w:val="0"/>
          <w:sz w:val="24"/>
          <w:szCs w:val="24"/>
          <w:lang w:val="en-US" w:eastAsia="zh-CN"/>
        </w:rPr>
        <w:t>）、渡鸦（</w:t>
      </w:r>
      <w:r>
        <w:rPr>
          <w:rFonts w:hint="default" w:ascii="Times New Roman" w:hAnsi="Times New Roman" w:eastAsia="宋体" w:cs="Times New Roman"/>
          <w:bCs/>
          <w:i/>
          <w:iCs/>
          <w:caps w:val="0"/>
          <w:smallCaps w:val="0"/>
          <w:sz w:val="24"/>
          <w:szCs w:val="24"/>
          <w:lang w:val="en-US" w:eastAsia="zh-CN"/>
        </w:rPr>
        <w:fldChar w:fldCharType="begin"/>
      </w:r>
      <w:r>
        <w:rPr>
          <w:rFonts w:hint="default" w:ascii="Times New Roman" w:hAnsi="Times New Roman" w:eastAsia="宋体" w:cs="Times New Roman"/>
          <w:bCs/>
          <w:i/>
          <w:iCs/>
          <w:caps w:val="0"/>
          <w:smallCaps w:val="0"/>
          <w:sz w:val="24"/>
          <w:szCs w:val="24"/>
          <w:lang w:val="en-US" w:eastAsia="zh-CN"/>
        </w:rPr>
        <w:instrText xml:space="preserve"> HYPERLINK "http://www.zoology.csdb.cn/dbb/ynswrvert/8281" </w:instrText>
      </w:r>
      <w:r>
        <w:rPr>
          <w:rFonts w:hint="default" w:ascii="Times New Roman" w:hAnsi="Times New Roman" w:eastAsia="宋体" w:cs="Times New Roman"/>
          <w:bCs/>
          <w:i/>
          <w:iCs/>
          <w:caps w:val="0"/>
          <w:smallCaps w:val="0"/>
          <w:sz w:val="24"/>
          <w:szCs w:val="24"/>
          <w:lang w:val="en-US" w:eastAsia="zh-CN"/>
        </w:rPr>
        <w:fldChar w:fldCharType="separate"/>
      </w:r>
      <w:r>
        <w:rPr>
          <w:rFonts w:hint="default" w:ascii="Times New Roman" w:hAnsi="Times New Roman" w:eastAsia="宋体" w:cs="Times New Roman"/>
          <w:bCs/>
          <w:i/>
          <w:iCs/>
          <w:caps w:val="0"/>
          <w:smallCaps w:val="0"/>
          <w:sz w:val="24"/>
          <w:szCs w:val="24"/>
          <w:lang w:val="en-US" w:eastAsia="zh-CN"/>
        </w:rPr>
        <w:t>Corvus corax</w:t>
      </w:r>
      <w:r>
        <w:rPr>
          <w:rFonts w:hint="default" w:ascii="Times New Roman" w:hAnsi="Times New Roman" w:eastAsia="宋体" w:cs="Times New Roman"/>
          <w:bCs/>
          <w:i/>
          <w:iCs/>
          <w:caps w:val="0"/>
          <w:smallCaps w:val="0"/>
          <w:sz w:val="24"/>
          <w:szCs w:val="24"/>
          <w:lang w:val="en-US" w:eastAsia="zh-CN"/>
        </w:rPr>
        <w:fldChar w:fldCharType="end"/>
      </w:r>
      <w:r>
        <w:rPr>
          <w:rFonts w:hint="default" w:ascii="Times New Roman" w:hAnsi="Times New Roman" w:eastAsia="宋体" w:cs="Times New Roman"/>
          <w:bCs/>
          <w:caps w:val="0"/>
          <w:smallCaps w:val="0"/>
          <w:sz w:val="24"/>
          <w:szCs w:val="24"/>
          <w:lang w:val="en-US" w:eastAsia="zh-CN"/>
        </w:rPr>
        <w:t>）</w:t>
      </w:r>
      <w:r>
        <w:rPr>
          <w:rFonts w:hint="default" w:ascii="Times New Roman" w:hAnsi="Times New Roman" w:eastAsia="宋体" w:cs="Times New Roman"/>
          <w:bCs/>
          <w:caps w:val="0"/>
          <w:smallCaps w:val="0"/>
          <w:sz w:val="24"/>
          <w:szCs w:val="24"/>
        </w:rPr>
        <w:t>等。</w:t>
      </w:r>
    </w:p>
    <w:p w14:paraId="6A8E3877">
      <w:pPr>
        <w:keepNext w:val="0"/>
        <w:keepLines w:val="0"/>
        <w:pageBreakBefore w:val="0"/>
        <w:widowControl w:val="0"/>
        <w:kinsoku/>
        <w:wordWrap/>
        <w:overflowPunct/>
        <w:topLinePunct w:val="0"/>
        <w:autoSpaceDE w:val="0"/>
        <w:autoSpaceDN w:val="0"/>
        <w:bidi w:val="0"/>
        <w:adjustRightInd w:val="0"/>
        <w:spacing w:line="360" w:lineRule="auto"/>
        <w:ind w:firstLine="482" w:firstLineChars="200"/>
        <w:jc w:val="left"/>
        <w:textAlignment w:val="auto"/>
        <w:outlineLvl w:val="9"/>
        <w:rPr>
          <w:rFonts w:hint="default" w:ascii="Times New Roman" w:hAnsi="Times New Roman" w:eastAsia="宋体" w:cs="Times New Roman"/>
          <w:b/>
          <w:caps w:val="0"/>
          <w:smallCaps w:val="0"/>
          <w:sz w:val="24"/>
          <w:szCs w:val="24"/>
        </w:rPr>
      </w:pPr>
      <w:r>
        <w:rPr>
          <w:rFonts w:hint="default" w:ascii="Times New Roman" w:hAnsi="Times New Roman" w:eastAsia="宋体" w:cs="Times New Roman"/>
          <w:b/>
          <w:caps w:val="0"/>
          <w:smallCaps w:val="0"/>
          <w:sz w:val="24"/>
          <w:szCs w:val="24"/>
        </w:rPr>
        <w:t>（3）居留型</w:t>
      </w:r>
    </w:p>
    <w:p w14:paraId="75B69644">
      <w:pPr>
        <w:keepNext w:val="0"/>
        <w:keepLines w:val="0"/>
        <w:pageBreakBefore w:val="0"/>
        <w:widowControl w:val="0"/>
        <w:kinsoku/>
        <w:wordWrap/>
        <w:overflowPunct/>
        <w:topLinePunct w:val="0"/>
        <w:bidi w:val="0"/>
        <w:spacing w:line="360" w:lineRule="auto"/>
        <w:ind w:firstLine="480" w:firstLineChars="200"/>
        <w:textAlignment w:val="auto"/>
        <w:outlineLvl w:val="9"/>
        <w:rPr>
          <w:rFonts w:hint="default" w:ascii="Times New Roman" w:hAnsi="Times New Roman" w:eastAsia="宋体" w:cs="Times New Roman"/>
          <w:caps w:val="0"/>
          <w:smallCaps w:val="0"/>
          <w:sz w:val="24"/>
          <w:szCs w:val="24"/>
          <w:lang w:val="zh-CN"/>
        </w:rPr>
      </w:pPr>
      <w:r>
        <w:rPr>
          <w:rFonts w:hint="default" w:ascii="Times New Roman" w:hAnsi="Times New Roman" w:eastAsia="宋体" w:cs="Times New Roman"/>
          <w:caps w:val="0"/>
          <w:smallCaps w:val="0"/>
          <w:sz w:val="24"/>
          <w:szCs w:val="24"/>
          <w:lang w:val="zh-CN"/>
        </w:rPr>
        <w:t>鸟类迁徙是鸟类随着季节变化进行的，方向确定的，有规律地和长距离的迁居活动。根据鸟类迁徙的行为，可将评价区的鸟类分成以下3种居留型。</w:t>
      </w:r>
    </w:p>
    <w:p w14:paraId="6CBED6FA">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outlineLvl w:val="9"/>
        <w:rPr>
          <w:rFonts w:hint="default" w:ascii="Times New Roman" w:hAnsi="Times New Roman" w:eastAsia="宋体" w:cs="Times New Roman"/>
          <w:bCs/>
          <w:caps w:val="0"/>
          <w:smallCaps w:val="0"/>
          <w:kern w:val="0"/>
          <w:sz w:val="24"/>
          <w:szCs w:val="24"/>
        </w:rPr>
      </w:pPr>
      <w:r>
        <w:rPr>
          <w:rFonts w:hint="default" w:ascii="Times New Roman" w:hAnsi="Times New Roman" w:eastAsia="宋体" w:cs="Times New Roman"/>
          <w:b/>
          <w:bCs/>
          <w:caps w:val="0"/>
          <w:smallCaps w:val="0"/>
          <w:kern w:val="0"/>
          <w:sz w:val="24"/>
          <w:szCs w:val="24"/>
          <w:lang w:val="zh-CN"/>
        </w:rPr>
        <w:t>留鸟</w:t>
      </w:r>
      <w:r>
        <w:rPr>
          <w:rFonts w:hint="default" w:ascii="Times New Roman" w:hAnsi="Times New Roman" w:eastAsia="宋体" w:cs="Times New Roman"/>
          <w:bCs/>
          <w:caps w:val="0"/>
          <w:smallCaps w:val="0"/>
          <w:kern w:val="0"/>
          <w:sz w:val="24"/>
          <w:szCs w:val="24"/>
          <w:lang w:val="zh-CN"/>
        </w:rPr>
        <w:t>（长期栖居在生殖地域，不作周期性迁徙的鸟类）：共</w:t>
      </w:r>
      <w:r>
        <w:rPr>
          <w:rFonts w:hint="default" w:ascii="Times New Roman" w:hAnsi="Times New Roman" w:eastAsia="宋体" w:cs="Times New Roman"/>
          <w:bCs/>
          <w:caps w:val="0"/>
          <w:smallCaps w:val="0"/>
          <w:kern w:val="0"/>
          <w:sz w:val="24"/>
          <w:szCs w:val="24"/>
          <w:lang w:val="en-US" w:eastAsia="zh-CN"/>
        </w:rPr>
        <w:t>48</w:t>
      </w:r>
      <w:r>
        <w:rPr>
          <w:rFonts w:hint="default" w:ascii="Times New Roman" w:hAnsi="Times New Roman" w:eastAsia="宋体" w:cs="Times New Roman"/>
          <w:bCs/>
          <w:caps w:val="0"/>
          <w:smallCaps w:val="0"/>
          <w:kern w:val="0"/>
          <w:sz w:val="24"/>
          <w:szCs w:val="24"/>
          <w:lang w:val="zh-CN"/>
        </w:rPr>
        <w:t>种，占评价区所有鸟类种数的</w:t>
      </w:r>
      <w:r>
        <w:rPr>
          <w:rFonts w:hint="default" w:ascii="Times New Roman" w:hAnsi="Times New Roman" w:eastAsia="宋体" w:cs="Times New Roman"/>
          <w:bCs/>
          <w:caps w:val="0"/>
          <w:smallCaps w:val="0"/>
          <w:kern w:val="0"/>
          <w:sz w:val="24"/>
          <w:szCs w:val="24"/>
          <w:lang w:val="en-US" w:eastAsia="zh-CN"/>
        </w:rPr>
        <w:t>80</w:t>
      </w:r>
      <w:r>
        <w:rPr>
          <w:rFonts w:hint="default" w:ascii="Times New Roman" w:hAnsi="Times New Roman" w:eastAsia="宋体" w:cs="Times New Roman"/>
          <w:bCs/>
          <w:caps w:val="0"/>
          <w:smallCaps w:val="0"/>
          <w:kern w:val="0"/>
          <w:sz w:val="24"/>
          <w:szCs w:val="24"/>
          <w:lang w:val="zh-CN"/>
        </w:rPr>
        <w:t>%，在评价区内占的比例最大，主要包括</w:t>
      </w:r>
      <w:r>
        <w:rPr>
          <w:rFonts w:hint="default" w:ascii="Times New Roman" w:hAnsi="Times New Roman" w:eastAsia="宋体" w:cs="Times New Roman"/>
          <w:bCs/>
          <w:caps w:val="0"/>
          <w:smallCaps w:val="0"/>
          <w:kern w:val="0"/>
          <w:sz w:val="24"/>
          <w:szCs w:val="24"/>
        </w:rPr>
        <w:t>鹎科</w:t>
      </w:r>
      <w:r>
        <w:rPr>
          <w:rFonts w:hint="default" w:ascii="Times New Roman" w:hAnsi="Times New Roman" w:eastAsia="宋体" w:cs="Times New Roman"/>
          <w:bCs/>
          <w:caps w:val="0"/>
          <w:smallCaps w:val="0"/>
          <w:kern w:val="0"/>
          <w:sz w:val="24"/>
          <w:szCs w:val="24"/>
          <w:lang w:val="zh-CN"/>
        </w:rPr>
        <w:t>、</w:t>
      </w:r>
      <w:r>
        <w:rPr>
          <w:rFonts w:hint="default" w:ascii="Times New Roman" w:hAnsi="Times New Roman" w:eastAsia="宋体" w:cs="Times New Roman"/>
          <w:bCs/>
          <w:caps w:val="0"/>
          <w:smallCaps w:val="0"/>
          <w:kern w:val="0"/>
          <w:sz w:val="24"/>
          <w:szCs w:val="24"/>
        </w:rPr>
        <w:t>鹡鸰科、</w:t>
      </w:r>
      <w:r>
        <w:rPr>
          <w:rFonts w:hint="default" w:ascii="Times New Roman" w:hAnsi="Times New Roman" w:eastAsia="宋体" w:cs="Times New Roman"/>
          <w:bCs/>
          <w:caps w:val="0"/>
          <w:smallCaps w:val="0"/>
          <w:kern w:val="0"/>
          <w:sz w:val="24"/>
          <w:szCs w:val="24"/>
          <w:lang w:val="zh-CN"/>
        </w:rPr>
        <w:t>鸠鸽科、</w:t>
      </w:r>
      <w:r>
        <w:rPr>
          <w:rFonts w:hint="default" w:ascii="Times New Roman" w:hAnsi="Times New Roman" w:eastAsia="宋体" w:cs="Times New Roman"/>
          <w:bCs/>
          <w:caps w:val="0"/>
          <w:smallCaps w:val="0"/>
          <w:kern w:val="0"/>
          <w:sz w:val="24"/>
          <w:szCs w:val="24"/>
        </w:rPr>
        <w:t>椋鸟科、雀科、山雀科、绣眼鸟科、莺鹛科、</w:t>
      </w:r>
      <w:r>
        <w:rPr>
          <w:rFonts w:hint="default" w:ascii="Times New Roman" w:hAnsi="Times New Roman" w:eastAsia="宋体" w:cs="Times New Roman"/>
          <w:bCs/>
          <w:caps w:val="0"/>
          <w:smallCaps w:val="0"/>
          <w:kern w:val="0"/>
          <w:sz w:val="24"/>
          <w:szCs w:val="24"/>
          <w:lang w:val="zh-CN"/>
        </w:rPr>
        <w:t>鸦科、噪鹛科等鸟类，其中以鸦科种类鸟类居多。</w:t>
      </w:r>
    </w:p>
    <w:p w14:paraId="2037E5F7">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textAlignment w:val="auto"/>
        <w:outlineLvl w:val="9"/>
        <w:rPr>
          <w:rFonts w:hint="default" w:ascii="Times New Roman" w:hAnsi="Times New Roman" w:eastAsia="宋体" w:cs="Times New Roman"/>
          <w:bCs/>
          <w:caps w:val="0"/>
          <w:smallCaps w:val="0"/>
          <w:kern w:val="0"/>
          <w:sz w:val="24"/>
          <w:szCs w:val="24"/>
        </w:rPr>
      </w:pPr>
      <w:r>
        <w:rPr>
          <w:rFonts w:hint="default" w:ascii="Times New Roman" w:hAnsi="Times New Roman" w:eastAsia="宋体" w:cs="Times New Roman"/>
          <w:b/>
          <w:bCs/>
          <w:caps w:val="0"/>
          <w:smallCaps w:val="0"/>
          <w:kern w:val="0"/>
          <w:sz w:val="24"/>
          <w:szCs w:val="24"/>
          <w:lang w:val="zh-CN"/>
        </w:rPr>
        <w:t>冬候鸟</w:t>
      </w:r>
      <w:r>
        <w:rPr>
          <w:rFonts w:hint="default" w:ascii="Times New Roman" w:hAnsi="Times New Roman" w:eastAsia="宋体" w:cs="Times New Roman"/>
          <w:bCs/>
          <w:caps w:val="0"/>
          <w:smallCaps w:val="0"/>
          <w:kern w:val="0"/>
          <w:sz w:val="24"/>
          <w:szCs w:val="24"/>
        </w:rPr>
        <w:t>（</w:t>
      </w:r>
      <w:r>
        <w:rPr>
          <w:rFonts w:hint="default" w:ascii="Times New Roman" w:hAnsi="Times New Roman" w:eastAsia="宋体" w:cs="Times New Roman"/>
          <w:bCs/>
          <w:caps w:val="0"/>
          <w:smallCaps w:val="0"/>
          <w:kern w:val="0"/>
          <w:sz w:val="24"/>
          <w:szCs w:val="24"/>
          <w:lang w:val="zh-CN"/>
        </w:rPr>
        <w:t>冬季在某个地区生活</w:t>
      </w:r>
      <w:r>
        <w:rPr>
          <w:rFonts w:hint="default" w:ascii="Times New Roman" w:hAnsi="Times New Roman" w:eastAsia="宋体" w:cs="Times New Roman"/>
          <w:bCs/>
          <w:caps w:val="0"/>
          <w:smallCaps w:val="0"/>
          <w:kern w:val="0"/>
          <w:sz w:val="24"/>
          <w:szCs w:val="24"/>
        </w:rPr>
        <w:t>，</w:t>
      </w:r>
      <w:r>
        <w:rPr>
          <w:rFonts w:hint="default" w:ascii="Times New Roman" w:hAnsi="Times New Roman" w:eastAsia="宋体" w:cs="Times New Roman"/>
          <w:bCs/>
          <w:caps w:val="0"/>
          <w:smallCaps w:val="0"/>
          <w:kern w:val="0"/>
          <w:sz w:val="24"/>
          <w:szCs w:val="24"/>
          <w:lang w:val="zh-CN"/>
        </w:rPr>
        <w:t>春季飞到较远而且较冷的地区繁殖</w:t>
      </w:r>
      <w:r>
        <w:rPr>
          <w:rFonts w:hint="default" w:ascii="Times New Roman" w:hAnsi="Times New Roman" w:eastAsia="宋体" w:cs="Times New Roman"/>
          <w:bCs/>
          <w:caps w:val="0"/>
          <w:smallCaps w:val="0"/>
          <w:kern w:val="0"/>
          <w:sz w:val="24"/>
          <w:szCs w:val="24"/>
        </w:rPr>
        <w:t>，</w:t>
      </w:r>
      <w:r>
        <w:rPr>
          <w:rFonts w:hint="default" w:ascii="Times New Roman" w:hAnsi="Times New Roman" w:eastAsia="宋体" w:cs="Times New Roman"/>
          <w:bCs/>
          <w:caps w:val="0"/>
          <w:smallCaps w:val="0"/>
          <w:kern w:val="0"/>
          <w:sz w:val="24"/>
          <w:szCs w:val="24"/>
          <w:lang w:val="zh-CN"/>
        </w:rPr>
        <w:t>秋季又飞回原地区的鸟</w:t>
      </w:r>
      <w:r>
        <w:rPr>
          <w:rFonts w:hint="default" w:ascii="Times New Roman" w:hAnsi="Times New Roman" w:eastAsia="宋体" w:cs="Times New Roman"/>
          <w:bCs/>
          <w:caps w:val="0"/>
          <w:smallCaps w:val="0"/>
          <w:kern w:val="0"/>
          <w:sz w:val="24"/>
          <w:szCs w:val="24"/>
        </w:rPr>
        <w:t>）：</w:t>
      </w:r>
      <w:r>
        <w:rPr>
          <w:rFonts w:hint="default" w:ascii="Times New Roman" w:hAnsi="Times New Roman" w:eastAsia="宋体" w:cs="Times New Roman"/>
          <w:bCs/>
          <w:caps w:val="0"/>
          <w:smallCaps w:val="0"/>
          <w:kern w:val="0"/>
          <w:sz w:val="24"/>
          <w:szCs w:val="24"/>
          <w:lang w:val="zh-CN"/>
        </w:rPr>
        <w:t>共</w:t>
      </w:r>
      <w:r>
        <w:rPr>
          <w:rFonts w:hint="default" w:ascii="Times New Roman" w:hAnsi="Times New Roman" w:eastAsia="宋体" w:cs="Times New Roman"/>
          <w:bCs/>
          <w:caps w:val="0"/>
          <w:smallCaps w:val="0"/>
          <w:kern w:val="0"/>
          <w:sz w:val="24"/>
          <w:szCs w:val="24"/>
          <w:lang w:val="en-US" w:eastAsia="zh-CN"/>
        </w:rPr>
        <w:t>7</w:t>
      </w:r>
      <w:r>
        <w:rPr>
          <w:rFonts w:hint="default" w:ascii="Times New Roman" w:hAnsi="Times New Roman" w:eastAsia="宋体" w:cs="Times New Roman"/>
          <w:bCs/>
          <w:caps w:val="0"/>
          <w:smallCaps w:val="0"/>
          <w:kern w:val="0"/>
          <w:sz w:val="24"/>
          <w:szCs w:val="24"/>
          <w:lang w:val="zh-CN"/>
        </w:rPr>
        <w:t>种</w:t>
      </w:r>
      <w:r>
        <w:rPr>
          <w:rFonts w:hint="default" w:ascii="Times New Roman" w:hAnsi="Times New Roman" w:eastAsia="宋体" w:cs="Times New Roman"/>
          <w:bCs/>
          <w:caps w:val="0"/>
          <w:smallCaps w:val="0"/>
          <w:kern w:val="0"/>
          <w:sz w:val="24"/>
          <w:szCs w:val="24"/>
        </w:rPr>
        <w:t>，</w:t>
      </w:r>
      <w:r>
        <w:rPr>
          <w:rFonts w:hint="default" w:ascii="Times New Roman" w:hAnsi="Times New Roman" w:eastAsia="宋体" w:cs="Times New Roman"/>
          <w:bCs/>
          <w:caps w:val="0"/>
          <w:smallCaps w:val="0"/>
          <w:kern w:val="0"/>
          <w:sz w:val="24"/>
          <w:szCs w:val="24"/>
          <w:lang w:val="zh-CN"/>
        </w:rPr>
        <w:t>占评价区所有鸟类的</w:t>
      </w:r>
      <w:r>
        <w:rPr>
          <w:rFonts w:hint="default" w:ascii="Times New Roman" w:hAnsi="Times New Roman" w:eastAsia="宋体" w:cs="Times New Roman"/>
          <w:bCs/>
          <w:caps w:val="0"/>
          <w:smallCaps w:val="0"/>
          <w:kern w:val="0"/>
          <w:sz w:val="24"/>
          <w:szCs w:val="24"/>
          <w:lang w:val="en-US" w:eastAsia="zh-CN"/>
        </w:rPr>
        <w:t>11.67</w:t>
      </w:r>
      <w:r>
        <w:rPr>
          <w:rFonts w:hint="default" w:ascii="Times New Roman" w:hAnsi="Times New Roman" w:eastAsia="宋体" w:cs="Times New Roman"/>
          <w:bCs/>
          <w:caps w:val="0"/>
          <w:smallCaps w:val="0"/>
          <w:kern w:val="0"/>
          <w:sz w:val="24"/>
          <w:szCs w:val="24"/>
        </w:rPr>
        <w:t>%，</w:t>
      </w:r>
      <w:r>
        <w:rPr>
          <w:rFonts w:hint="default" w:ascii="Times New Roman" w:hAnsi="Times New Roman" w:eastAsia="宋体" w:cs="Times New Roman"/>
          <w:bCs/>
          <w:caps w:val="0"/>
          <w:smallCaps w:val="0"/>
          <w:kern w:val="0"/>
          <w:sz w:val="24"/>
          <w:szCs w:val="24"/>
          <w:lang w:val="zh-CN"/>
        </w:rPr>
        <w:t>种类较少</w:t>
      </w:r>
      <w:r>
        <w:rPr>
          <w:rFonts w:hint="default" w:ascii="Times New Roman" w:hAnsi="Times New Roman" w:eastAsia="宋体" w:cs="Times New Roman"/>
          <w:bCs/>
          <w:caps w:val="0"/>
          <w:smallCaps w:val="0"/>
          <w:kern w:val="0"/>
          <w:sz w:val="24"/>
          <w:szCs w:val="24"/>
        </w:rPr>
        <w:t>，</w:t>
      </w:r>
      <w:r>
        <w:rPr>
          <w:rFonts w:hint="default" w:ascii="Times New Roman" w:hAnsi="Times New Roman" w:eastAsia="宋体" w:cs="Times New Roman"/>
          <w:bCs/>
          <w:caps w:val="0"/>
          <w:smallCaps w:val="0"/>
          <w:kern w:val="0"/>
          <w:sz w:val="24"/>
          <w:szCs w:val="24"/>
          <w:lang w:val="zh-CN"/>
        </w:rPr>
        <w:t>有</w:t>
      </w:r>
      <w:r>
        <w:rPr>
          <w:rFonts w:hint="default" w:ascii="Times New Roman" w:hAnsi="Times New Roman" w:eastAsia="宋体" w:cs="Times New Roman"/>
          <w:bCs/>
          <w:caps w:val="0"/>
          <w:smallCaps w:val="0"/>
          <w:kern w:val="0"/>
          <w:sz w:val="24"/>
          <w:szCs w:val="24"/>
          <w:lang w:val="en-US" w:eastAsia="zh-CN"/>
        </w:rPr>
        <w:t>大白鹭、</w:t>
      </w:r>
      <w:r>
        <w:rPr>
          <w:rFonts w:hint="default" w:ascii="Times New Roman" w:hAnsi="Times New Roman" w:eastAsia="宋体" w:cs="Times New Roman"/>
          <w:bCs/>
          <w:caps w:val="0"/>
          <w:smallCaps w:val="0"/>
          <w:kern w:val="0"/>
          <w:sz w:val="24"/>
          <w:szCs w:val="24"/>
        </w:rPr>
        <w:t>黄腰柳莺（</w:t>
      </w:r>
      <w:r>
        <w:rPr>
          <w:rFonts w:hint="default" w:ascii="Times New Roman" w:hAnsi="Times New Roman" w:eastAsia="宋体" w:cs="Times New Roman"/>
          <w:bCs/>
          <w:i/>
          <w:iCs/>
          <w:caps w:val="0"/>
          <w:smallCaps w:val="0"/>
          <w:kern w:val="0"/>
          <w:sz w:val="24"/>
          <w:szCs w:val="24"/>
        </w:rPr>
        <w:t>Phylloscopus proregulus</w:t>
      </w:r>
      <w:r>
        <w:rPr>
          <w:rFonts w:hint="default" w:ascii="Times New Roman" w:hAnsi="Times New Roman" w:eastAsia="宋体" w:cs="Times New Roman"/>
          <w:bCs/>
          <w:caps w:val="0"/>
          <w:smallCaps w:val="0"/>
          <w:kern w:val="0"/>
          <w:sz w:val="24"/>
          <w:szCs w:val="24"/>
        </w:rPr>
        <w:t>）、黄眉柳莺（</w:t>
      </w:r>
      <w:r>
        <w:rPr>
          <w:rFonts w:hint="default" w:ascii="Times New Roman" w:hAnsi="Times New Roman" w:eastAsia="宋体" w:cs="Times New Roman"/>
          <w:bCs/>
          <w:i/>
          <w:iCs/>
          <w:caps w:val="0"/>
          <w:smallCaps w:val="0"/>
          <w:kern w:val="0"/>
          <w:sz w:val="24"/>
          <w:szCs w:val="24"/>
        </w:rPr>
        <w:t>Phylloscopus inornatus</w:t>
      </w:r>
      <w:r>
        <w:rPr>
          <w:rFonts w:hint="default" w:ascii="Times New Roman" w:hAnsi="Times New Roman" w:eastAsia="宋体" w:cs="Times New Roman"/>
          <w:bCs/>
          <w:caps w:val="0"/>
          <w:smallCaps w:val="0"/>
          <w:kern w:val="0"/>
          <w:sz w:val="24"/>
          <w:szCs w:val="24"/>
        </w:rPr>
        <w:t>）、北红尾鸲（</w:t>
      </w:r>
      <w:r>
        <w:rPr>
          <w:rFonts w:hint="default" w:ascii="Times New Roman" w:hAnsi="Times New Roman" w:eastAsia="宋体" w:cs="Times New Roman"/>
          <w:bCs/>
          <w:i/>
          <w:caps w:val="0"/>
          <w:smallCaps w:val="0"/>
          <w:kern w:val="0"/>
          <w:sz w:val="24"/>
          <w:szCs w:val="24"/>
        </w:rPr>
        <w:t>Phoenicurus auroreus</w:t>
      </w:r>
      <w:r>
        <w:rPr>
          <w:rFonts w:hint="default" w:ascii="Times New Roman" w:hAnsi="Times New Roman" w:eastAsia="宋体" w:cs="Times New Roman"/>
          <w:bCs/>
          <w:caps w:val="0"/>
          <w:smallCaps w:val="0"/>
          <w:kern w:val="0"/>
          <w:sz w:val="24"/>
          <w:szCs w:val="24"/>
        </w:rPr>
        <w:t>）、灰鹡鸰</w:t>
      </w:r>
      <w:r>
        <w:rPr>
          <w:rFonts w:hint="default" w:ascii="Times New Roman" w:hAnsi="Times New Roman" w:eastAsia="宋体" w:cs="Times New Roman"/>
          <w:bCs/>
          <w:caps w:val="0"/>
          <w:smallCaps w:val="0"/>
          <w:kern w:val="0"/>
          <w:sz w:val="24"/>
          <w:szCs w:val="24"/>
          <w:lang w:eastAsia="zh-CN"/>
        </w:rPr>
        <w:t>（</w:t>
      </w:r>
      <w:r>
        <w:rPr>
          <w:rFonts w:hint="default" w:ascii="Times New Roman" w:hAnsi="Times New Roman" w:eastAsia="宋体" w:cs="Times New Roman"/>
          <w:bCs/>
          <w:i/>
          <w:iCs/>
          <w:caps w:val="0"/>
          <w:smallCaps w:val="0"/>
          <w:kern w:val="0"/>
          <w:sz w:val="24"/>
          <w:szCs w:val="24"/>
          <w:lang w:eastAsia="zh-CN"/>
        </w:rPr>
        <w:t>Motacilla cinerea</w:t>
      </w:r>
      <w:r>
        <w:rPr>
          <w:rFonts w:hint="default" w:ascii="Times New Roman" w:hAnsi="Times New Roman" w:eastAsia="宋体" w:cs="Times New Roman"/>
          <w:bCs/>
          <w:caps w:val="0"/>
          <w:smallCaps w:val="0"/>
          <w:kern w:val="0"/>
          <w:sz w:val="24"/>
          <w:szCs w:val="24"/>
          <w:lang w:eastAsia="zh-CN"/>
        </w:rPr>
        <w:t>）</w:t>
      </w:r>
      <w:r>
        <w:rPr>
          <w:rFonts w:hint="default" w:ascii="Times New Roman" w:hAnsi="Times New Roman" w:eastAsia="宋体" w:cs="Times New Roman"/>
          <w:bCs/>
          <w:caps w:val="0"/>
          <w:smallCaps w:val="0"/>
          <w:kern w:val="0"/>
          <w:sz w:val="24"/>
          <w:szCs w:val="24"/>
        </w:rPr>
        <w:t>、树鹨</w:t>
      </w:r>
      <w:r>
        <w:rPr>
          <w:rFonts w:hint="default" w:ascii="Times New Roman" w:hAnsi="Times New Roman" w:eastAsia="宋体" w:cs="Times New Roman"/>
          <w:bCs/>
          <w:caps w:val="0"/>
          <w:smallCaps w:val="0"/>
          <w:kern w:val="0"/>
          <w:sz w:val="24"/>
          <w:szCs w:val="24"/>
          <w:lang w:eastAsia="zh-CN"/>
        </w:rPr>
        <w:t>（</w:t>
      </w:r>
      <w:r>
        <w:rPr>
          <w:rFonts w:hint="default" w:ascii="Times New Roman" w:hAnsi="Times New Roman" w:eastAsia="宋体" w:cs="Times New Roman"/>
          <w:bCs/>
          <w:i/>
          <w:iCs/>
          <w:caps w:val="0"/>
          <w:smallCaps w:val="0"/>
          <w:kern w:val="0"/>
          <w:sz w:val="24"/>
          <w:szCs w:val="24"/>
          <w:lang w:eastAsia="zh-CN"/>
        </w:rPr>
        <w:t>Anthus hodgsoni</w:t>
      </w:r>
      <w:r>
        <w:rPr>
          <w:rFonts w:hint="default" w:ascii="Times New Roman" w:hAnsi="Times New Roman" w:eastAsia="宋体" w:cs="Times New Roman"/>
          <w:bCs/>
          <w:caps w:val="0"/>
          <w:smallCaps w:val="0"/>
          <w:kern w:val="0"/>
          <w:sz w:val="24"/>
          <w:szCs w:val="24"/>
          <w:lang w:eastAsia="zh-CN"/>
        </w:rPr>
        <w:t>）</w:t>
      </w:r>
      <w:r>
        <w:rPr>
          <w:rFonts w:hint="default" w:ascii="Times New Roman" w:hAnsi="Times New Roman" w:eastAsia="宋体" w:cs="Times New Roman"/>
          <w:bCs/>
          <w:caps w:val="0"/>
          <w:smallCaps w:val="0"/>
          <w:kern w:val="0"/>
          <w:sz w:val="24"/>
          <w:szCs w:val="24"/>
        </w:rPr>
        <w:t>和小鹀</w:t>
      </w:r>
      <w:r>
        <w:rPr>
          <w:rFonts w:hint="default" w:ascii="Times New Roman" w:hAnsi="Times New Roman" w:eastAsia="宋体" w:cs="Times New Roman"/>
          <w:bCs/>
          <w:caps w:val="0"/>
          <w:smallCaps w:val="0"/>
          <w:kern w:val="0"/>
          <w:sz w:val="24"/>
          <w:szCs w:val="24"/>
          <w:lang w:eastAsia="zh-CN"/>
        </w:rPr>
        <w:t>（</w:t>
      </w:r>
      <w:r>
        <w:rPr>
          <w:rFonts w:hint="default" w:ascii="Times New Roman" w:hAnsi="Times New Roman" w:eastAsia="宋体" w:cs="Times New Roman"/>
          <w:bCs/>
          <w:i/>
          <w:iCs/>
          <w:caps w:val="0"/>
          <w:smallCaps w:val="0"/>
          <w:kern w:val="0"/>
          <w:sz w:val="24"/>
          <w:szCs w:val="24"/>
          <w:lang w:eastAsia="zh-CN"/>
        </w:rPr>
        <w:t>Emberiza pusilla</w:t>
      </w:r>
      <w:r>
        <w:rPr>
          <w:rFonts w:hint="default" w:ascii="Times New Roman" w:hAnsi="Times New Roman" w:eastAsia="宋体" w:cs="Times New Roman"/>
          <w:bCs/>
          <w:caps w:val="0"/>
          <w:smallCaps w:val="0"/>
          <w:kern w:val="0"/>
          <w:sz w:val="24"/>
          <w:szCs w:val="24"/>
          <w:lang w:eastAsia="zh-CN"/>
        </w:rPr>
        <w:t>）</w:t>
      </w:r>
      <w:r>
        <w:rPr>
          <w:rFonts w:hint="default" w:ascii="Times New Roman" w:hAnsi="Times New Roman" w:eastAsia="宋体" w:cs="Times New Roman"/>
          <w:bCs/>
          <w:caps w:val="0"/>
          <w:smallCaps w:val="0"/>
          <w:kern w:val="0"/>
          <w:sz w:val="24"/>
          <w:szCs w:val="24"/>
          <w:lang w:val="zh-CN"/>
        </w:rPr>
        <w:t>。</w:t>
      </w:r>
    </w:p>
    <w:p w14:paraId="0837F6B4">
      <w:pPr>
        <w:keepNext w:val="0"/>
        <w:keepLines w:val="0"/>
        <w:pageBreakBefore w:val="0"/>
        <w:widowControl w:val="0"/>
        <w:kinsoku/>
        <w:wordWrap/>
        <w:overflowPunct/>
        <w:topLinePunct w:val="0"/>
        <w:bidi w:val="0"/>
        <w:spacing w:line="360" w:lineRule="auto"/>
        <w:ind w:firstLine="482" w:firstLineChars="200"/>
        <w:textAlignment w:val="auto"/>
        <w:outlineLvl w:val="9"/>
        <w:rPr>
          <w:rFonts w:hint="default" w:ascii="Times New Roman" w:hAnsi="Times New Roman" w:eastAsia="宋体" w:cs="Times New Roman"/>
          <w:bCs/>
          <w:caps w:val="0"/>
          <w:smallCaps w:val="0"/>
          <w:kern w:val="0"/>
          <w:sz w:val="24"/>
          <w:szCs w:val="24"/>
        </w:rPr>
      </w:pPr>
      <w:r>
        <w:rPr>
          <w:rFonts w:hint="default" w:ascii="Times New Roman" w:hAnsi="Times New Roman" w:eastAsia="宋体" w:cs="Times New Roman"/>
          <w:b/>
          <w:bCs/>
          <w:caps w:val="0"/>
          <w:smallCaps w:val="0"/>
          <w:kern w:val="0"/>
          <w:sz w:val="24"/>
          <w:szCs w:val="24"/>
          <w:lang w:val="zh-CN"/>
        </w:rPr>
        <w:t>夏候鸟</w:t>
      </w:r>
      <w:r>
        <w:rPr>
          <w:rFonts w:hint="default" w:ascii="Times New Roman" w:hAnsi="Times New Roman" w:eastAsia="宋体" w:cs="Times New Roman"/>
          <w:bCs/>
          <w:caps w:val="0"/>
          <w:smallCaps w:val="0"/>
          <w:kern w:val="0"/>
          <w:sz w:val="24"/>
          <w:szCs w:val="24"/>
        </w:rPr>
        <w:t>（</w:t>
      </w:r>
      <w:r>
        <w:rPr>
          <w:rFonts w:hint="default" w:ascii="Times New Roman" w:hAnsi="Times New Roman" w:eastAsia="宋体" w:cs="Times New Roman"/>
          <w:bCs/>
          <w:caps w:val="0"/>
          <w:smallCaps w:val="0"/>
          <w:kern w:val="0"/>
          <w:sz w:val="24"/>
          <w:szCs w:val="24"/>
          <w:lang w:val="zh-CN"/>
        </w:rPr>
        <w:t>夏候鸟是指春季或夏季在某个地区繁殖、秋季飞到较暖的地区去过冬、第二年春季再飞回原地区的鸟</w:t>
      </w:r>
      <w:r>
        <w:rPr>
          <w:rFonts w:hint="default" w:ascii="Times New Roman" w:hAnsi="Times New Roman" w:eastAsia="宋体" w:cs="Times New Roman"/>
          <w:bCs/>
          <w:caps w:val="0"/>
          <w:smallCaps w:val="0"/>
          <w:kern w:val="0"/>
          <w:sz w:val="24"/>
          <w:szCs w:val="24"/>
        </w:rPr>
        <w:t>）：</w:t>
      </w:r>
      <w:r>
        <w:rPr>
          <w:rFonts w:hint="default" w:ascii="Times New Roman" w:hAnsi="Times New Roman" w:eastAsia="宋体" w:cs="Times New Roman"/>
          <w:bCs/>
          <w:caps w:val="0"/>
          <w:smallCaps w:val="0"/>
          <w:kern w:val="0"/>
          <w:sz w:val="24"/>
          <w:szCs w:val="24"/>
          <w:lang w:val="zh-CN"/>
        </w:rPr>
        <w:t>共</w:t>
      </w:r>
      <w:r>
        <w:rPr>
          <w:rFonts w:hint="default" w:ascii="Times New Roman" w:hAnsi="Times New Roman" w:eastAsia="宋体" w:cs="Times New Roman"/>
          <w:bCs/>
          <w:caps w:val="0"/>
          <w:smallCaps w:val="0"/>
          <w:kern w:val="0"/>
          <w:sz w:val="24"/>
          <w:szCs w:val="24"/>
          <w:lang w:val="en-US" w:eastAsia="zh-CN"/>
        </w:rPr>
        <w:t>5</w:t>
      </w:r>
      <w:r>
        <w:rPr>
          <w:rFonts w:hint="default" w:ascii="Times New Roman" w:hAnsi="Times New Roman" w:eastAsia="宋体" w:cs="Times New Roman"/>
          <w:bCs/>
          <w:caps w:val="0"/>
          <w:smallCaps w:val="0"/>
          <w:kern w:val="0"/>
          <w:sz w:val="24"/>
          <w:szCs w:val="24"/>
          <w:lang w:val="zh-CN"/>
        </w:rPr>
        <w:t>种</w:t>
      </w:r>
      <w:r>
        <w:rPr>
          <w:rFonts w:hint="default" w:ascii="Times New Roman" w:hAnsi="Times New Roman" w:eastAsia="宋体" w:cs="Times New Roman"/>
          <w:bCs/>
          <w:caps w:val="0"/>
          <w:smallCaps w:val="0"/>
          <w:kern w:val="0"/>
          <w:sz w:val="24"/>
          <w:szCs w:val="24"/>
        </w:rPr>
        <w:t>，</w:t>
      </w:r>
      <w:r>
        <w:rPr>
          <w:rFonts w:hint="default" w:ascii="Times New Roman" w:hAnsi="Times New Roman" w:eastAsia="宋体" w:cs="Times New Roman"/>
          <w:bCs/>
          <w:caps w:val="0"/>
          <w:smallCaps w:val="0"/>
          <w:kern w:val="0"/>
          <w:sz w:val="24"/>
          <w:szCs w:val="24"/>
          <w:lang w:val="zh-CN"/>
        </w:rPr>
        <w:t>占评价区所有鸟类的</w:t>
      </w:r>
      <w:r>
        <w:rPr>
          <w:rFonts w:hint="default" w:ascii="Times New Roman" w:hAnsi="Times New Roman" w:eastAsia="宋体" w:cs="Times New Roman"/>
          <w:bCs/>
          <w:caps w:val="0"/>
          <w:smallCaps w:val="0"/>
          <w:kern w:val="0"/>
          <w:sz w:val="24"/>
          <w:szCs w:val="24"/>
          <w:lang w:val="en-US" w:eastAsia="zh-CN"/>
        </w:rPr>
        <w:t>8.33</w:t>
      </w:r>
      <w:r>
        <w:rPr>
          <w:rFonts w:hint="default" w:ascii="Times New Roman" w:hAnsi="Times New Roman" w:eastAsia="宋体" w:cs="Times New Roman"/>
          <w:bCs/>
          <w:caps w:val="0"/>
          <w:smallCaps w:val="0"/>
          <w:kern w:val="0"/>
          <w:sz w:val="24"/>
          <w:szCs w:val="24"/>
        </w:rPr>
        <w:t>%，</w:t>
      </w:r>
      <w:r>
        <w:rPr>
          <w:rFonts w:hint="default" w:ascii="Times New Roman" w:hAnsi="Times New Roman" w:eastAsia="宋体" w:cs="Times New Roman"/>
          <w:bCs/>
          <w:caps w:val="0"/>
          <w:smallCaps w:val="0"/>
          <w:kern w:val="0"/>
          <w:sz w:val="24"/>
          <w:szCs w:val="24"/>
          <w:lang w:val="zh-CN"/>
        </w:rPr>
        <w:t>包括红尾伯劳（</w:t>
      </w:r>
      <w:r>
        <w:rPr>
          <w:rFonts w:hint="default" w:ascii="Times New Roman" w:hAnsi="Times New Roman" w:eastAsia="宋体" w:cs="Times New Roman"/>
          <w:bCs/>
          <w:i/>
          <w:iCs/>
          <w:caps w:val="0"/>
          <w:smallCaps w:val="0"/>
          <w:kern w:val="0"/>
          <w:sz w:val="24"/>
          <w:szCs w:val="24"/>
          <w:lang w:val="zh-CN"/>
        </w:rPr>
        <w:t>Lanius cristatus</w:t>
      </w:r>
      <w:r>
        <w:rPr>
          <w:rFonts w:hint="default" w:ascii="Times New Roman" w:hAnsi="Times New Roman" w:eastAsia="宋体" w:cs="Times New Roman"/>
          <w:bCs/>
          <w:caps w:val="0"/>
          <w:smallCaps w:val="0"/>
          <w:kern w:val="0"/>
          <w:sz w:val="24"/>
          <w:szCs w:val="24"/>
          <w:lang w:val="zh-CN"/>
        </w:rPr>
        <w:t>）、东方大苇莺</w:t>
      </w:r>
      <w:r>
        <w:rPr>
          <w:rFonts w:hint="default" w:ascii="Times New Roman" w:hAnsi="Times New Roman" w:eastAsia="宋体" w:cs="Times New Roman"/>
          <w:bCs/>
          <w:caps w:val="0"/>
          <w:smallCaps w:val="0"/>
          <w:kern w:val="0"/>
          <w:sz w:val="24"/>
          <w:szCs w:val="24"/>
        </w:rPr>
        <w:t>（</w:t>
      </w:r>
      <w:r>
        <w:rPr>
          <w:rFonts w:hint="default" w:ascii="Times New Roman" w:hAnsi="Times New Roman" w:eastAsia="宋体" w:cs="Times New Roman"/>
          <w:bCs/>
          <w:i/>
          <w:caps w:val="0"/>
          <w:smallCaps w:val="0"/>
          <w:kern w:val="0"/>
          <w:sz w:val="24"/>
          <w:szCs w:val="24"/>
        </w:rPr>
        <w:t>Acrocephalus orientali</w:t>
      </w:r>
      <w:r>
        <w:rPr>
          <w:rFonts w:hint="default" w:ascii="Times New Roman" w:hAnsi="Times New Roman" w:eastAsia="宋体" w:cs="Times New Roman"/>
          <w:bCs/>
          <w:caps w:val="0"/>
          <w:smallCaps w:val="0"/>
          <w:kern w:val="0"/>
          <w:sz w:val="24"/>
          <w:szCs w:val="24"/>
        </w:rPr>
        <w:t>）</w:t>
      </w:r>
      <w:r>
        <w:rPr>
          <w:rFonts w:hint="default" w:ascii="Times New Roman" w:hAnsi="Times New Roman" w:eastAsia="宋体" w:cs="Times New Roman"/>
          <w:bCs/>
          <w:caps w:val="0"/>
          <w:smallCaps w:val="0"/>
          <w:kern w:val="0"/>
          <w:sz w:val="24"/>
          <w:szCs w:val="24"/>
          <w:lang w:val="zh-CN"/>
        </w:rPr>
        <w:t>、家燕、灰椋鸟（</w:t>
      </w:r>
      <w:r>
        <w:rPr>
          <w:rFonts w:hint="default" w:ascii="Times New Roman" w:hAnsi="Times New Roman" w:eastAsia="宋体" w:cs="Times New Roman"/>
          <w:bCs/>
          <w:i/>
          <w:iCs/>
          <w:caps w:val="0"/>
          <w:smallCaps w:val="0"/>
          <w:kern w:val="0"/>
          <w:sz w:val="24"/>
          <w:szCs w:val="24"/>
          <w:lang w:val="zh-CN"/>
        </w:rPr>
        <w:t>Sturnus cineraceus</w:t>
      </w:r>
      <w:r>
        <w:rPr>
          <w:rFonts w:hint="default" w:ascii="Times New Roman" w:hAnsi="Times New Roman" w:eastAsia="宋体" w:cs="Times New Roman"/>
          <w:bCs/>
          <w:caps w:val="0"/>
          <w:smallCaps w:val="0"/>
          <w:kern w:val="0"/>
          <w:sz w:val="24"/>
          <w:szCs w:val="24"/>
          <w:lang w:val="zh-CN"/>
        </w:rPr>
        <w:t>）和黑喉石鵖</w:t>
      </w:r>
      <w:r>
        <w:rPr>
          <w:rFonts w:hint="default" w:ascii="Times New Roman" w:hAnsi="Times New Roman" w:eastAsia="宋体" w:cs="Times New Roman"/>
          <w:bCs/>
          <w:caps w:val="0"/>
          <w:smallCaps w:val="0"/>
          <w:kern w:val="0"/>
          <w:sz w:val="24"/>
          <w:szCs w:val="24"/>
        </w:rPr>
        <w:t>（</w:t>
      </w:r>
      <w:r>
        <w:rPr>
          <w:rFonts w:hint="default" w:ascii="Times New Roman" w:hAnsi="Times New Roman" w:eastAsia="宋体" w:cs="Times New Roman"/>
          <w:bCs/>
          <w:i/>
          <w:iCs/>
          <w:caps w:val="0"/>
          <w:smallCaps w:val="0"/>
          <w:kern w:val="0"/>
          <w:sz w:val="24"/>
          <w:szCs w:val="24"/>
        </w:rPr>
        <w:t>Saxicola torquatu</w:t>
      </w:r>
      <w:r>
        <w:rPr>
          <w:rFonts w:hint="default" w:ascii="Times New Roman" w:hAnsi="Times New Roman" w:eastAsia="宋体" w:cs="Times New Roman"/>
          <w:bCs/>
          <w:caps w:val="0"/>
          <w:smallCaps w:val="0"/>
          <w:kern w:val="0"/>
          <w:sz w:val="24"/>
          <w:szCs w:val="24"/>
        </w:rPr>
        <w:t>s）。</w:t>
      </w:r>
    </w:p>
    <w:p w14:paraId="6AC031AF">
      <w:pPr>
        <w:keepNext w:val="0"/>
        <w:keepLines w:val="0"/>
        <w:pageBreakBefore w:val="0"/>
        <w:widowControl w:val="0"/>
        <w:kinsoku/>
        <w:wordWrap/>
        <w:overflowPunct/>
        <w:topLinePunct w:val="0"/>
        <w:autoSpaceDE/>
        <w:autoSpaceDN/>
        <w:bidi w:val="0"/>
        <w:adjustRightInd/>
        <w:snapToGrid/>
        <w:spacing w:before="0" w:after="0" w:afterLines="0" w:line="360" w:lineRule="auto"/>
        <w:ind w:firstLine="480" w:firstLineChars="200"/>
        <w:jc w:val="both"/>
        <w:textAlignment w:val="auto"/>
        <w:rPr>
          <w:rFonts w:hint="default" w:ascii="Times New Roman" w:hAnsi="Times New Roman" w:eastAsia="宋体" w:cs="Times New Roman"/>
          <w:caps w:val="0"/>
          <w:smallCaps w:val="0"/>
          <w:kern w:val="2"/>
          <w:sz w:val="24"/>
          <w:szCs w:val="24"/>
          <w:u w:val="none"/>
          <w:lang w:val="en-US" w:eastAsia="zh-CN" w:bidi="ar-SA"/>
        </w:rPr>
      </w:pPr>
      <w:r>
        <w:rPr>
          <w:rFonts w:hint="default" w:ascii="Times New Roman" w:hAnsi="Times New Roman" w:eastAsia="宋体" w:cs="Times New Roman"/>
          <w:bCs/>
          <w:caps w:val="0"/>
          <w:smallCaps w:val="0"/>
          <w:kern w:val="0"/>
          <w:sz w:val="24"/>
          <w:szCs w:val="24"/>
          <w:lang w:val="zh-CN"/>
        </w:rPr>
        <w:t>综上所述，评价区迁徙鸟类（冬候鸟和夏候鸟）共</w:t>
      </w:r>
      <w:r>
        <w:rPr>
          <w:rFonts w:hint="default" w:ascii="Times New Roman" w:hAnsi="Times New Roman" w:eastAsia="宋体" w:cs="Times New Roman"/>
          <w:bCs/>
          <w:caps w:val="0"/>
          <w:smallCaps w:val="0"/>
          <w:kern w:val="0"/>
          <w:sz w:val="24"/>
          <w:szCs w:val="24"/>
          <w:lang w:val="en-US" w:eastAsia="zh-CN"/>
        </w:rPr>
        <w:t>12</w:t>
      </w:r>
      <w:r>
        <w:rPr>
          <w:rFonts w:hint="default" w:ascii="Times New Roman" w:hAnsi="Times New Roman" w:eastAsia="宋体" w:cs="Times New Roman"/>
          <w:bCs/>
          <w:caps w:val="0"/>
          <w:smallCaps w:val="0"/>
          <w:kern w:val="0"/>
          <w:sz w:val="24"/>
          <w:szCs w:val="24"/>
          <w:lang w:val="zh-CN"/>
        </w:rPr>
        <w:t>种，占评价区鸟类总数的</w:t>
      </w:r>
      <w:r>
        <w:rPr>
          <w:rFonts w:hint="default" w:ascii="Times New Roman" w:hAnsi="Times New Roman" w:eastAsia="宋体" w:cs="Times New Roman"/>
          <w:bCs/>
          <w:caps w:val="0"/>
          <w:smallCaps w:val="0"/>
          <w:kern w:val="0"/>
          <w:sz w:val="24"/>
          <w:szCs w:val="24"/>
          <w:lang w:val="en-US" w:eastAsia="zh-CN"/>
        </w:rPr>
        <w:t>20</w:t>
      </w:r>
      <w:r>
        <w:rPr>
          <w:rFonts w:hint="default" w:ascii="Times New Roman" w:hAnsi="Times New Roman" w:eastAsia="宋体" w:cs="Times New Roman"/>
          <w:bCs/>
          <w:caps w:val="0"/>
          <w:smallCaps w:val="0"/>
          <w:kern w:val="0"/>
          <w:sz w:val="24"/>
          <w:szCs w:val="24"/>
          <w:lang w:val="zh-CN"/>
        </w:rPr>
        <w:t>%，迁徙鸟类占的比重较小。迁徙鸟类中，以雀形目鸟类居多，可见评价区的迁徙鸟类是以鸣禽为主。繁殖鸟（包括留鸟）占的比例</w:t>
      </w:r>
      <w:r>
        <w:rPr>
          <w:rFonts w:hint="default" w:ascii="Times New Roman" w:hAnsi="Times New Roman" w:eastAsia="宋体" w:cs="Times New Roman"/>
          <w:bCs/>
          <w:caps w:val="0"/>
          <w:smallCaps w:val="0"/>
          <w:kern w:val="0"/>
          <w:sz w:val="24"/>
          <w:szCs w:val="24"/>
          <w:lang w:val="en-US" w:eastAsia="zh-CN"/>
        </w:rPr>
        <w:t>较</w:t>
      </w:r>
      <w:r>
        <w:rPr>
          <w:rFonts w:hint="default" w:ascii="Times New Roman" w:hAnsi="Times New Roman" w:eastAsia="宋体" w:cs="Times New Roman"/>
          <w:bCs/>
          <w:caps w:val="0"/>
          <w:smallCaps w:val="0"/>
          <w:kern w:val="0"/>
          <w:sz w:val="24"/>
          <w:szCs w:val="24"/>
          <w:lang w:val="zh-CN"/>
        </w:rPr>
        <w:t>大，共</w:t>
      </w:r>
      <w:r>
        <w:rPr>
          <w:rFonts w:hint="default" w:ascii="Times New Roman" w:hAnsi="Times New Roman" w:eastAsia="宋体" w:cs="Times New Roman"/>
          <w:bCs/>
          <w:caps w:val="0"/>
          <w:smallCaps w:val="0"/>
          <w:kern w:val="0"/>
          <w:sz w:val="24"/>
          <w:szCs w:val="24"/>
          <w:lang w:val="en-US" w:eastAsia="zh-CN"/>
        </w:rPr>
        <w:t>48</w:t>
      </w:r>
      <w:r>
        <w:rPr>
          <w:rFonts w:hint="default" w:ascii="Times New Roman" w:hAnsi="Times New Roman" w:eastAsia="宋体" w:cs="Times New Roman"/>
          <w:bCs/>
          <w:caps w:val="0"/>
          <w:smallCaps w:val="0"/>
          <w:kern w:val="0"/>
          <w:sz w:val="24"/>
          <w:szCs w:val="24"/>
          <w:lang w:val="zh-CN"/>
        </w:rPr>
        <w:t>种，占评价区鸟类总数的</w:t>
      </w:r>
      <w:r>
        <w:rPr>
          <w:rFonts w:hint="default" w:ascii="Times New Roman" w:hAnsi="Times New Roman" w:eastAsia="宋体" w:cs="Times New Roman"/>
          <w:bCs/>
          <w:caps w:val="0"/>
          <w:smallCaps w:val="0"/>
          <w:kern w:val="0"/>
          <w:sz w:val="24"/>
          <w:szCs w:val="24"/>
          <w:lang w:val="en-US" w:eastAsia="zh-CN"/>
        </w:rPr>
        <w:t>80</w:t>
      </w:r>
      <w:r>
        <w:rPr>
          <w:rFonts w:hint="default" w:ascii="Times New Roman" w:hAnsi="Times New Roman" w:eastAsia="宋体" w:cs="Times New Roman"/>
          <w:bCs/>
          <w:caps w:val="0"/>
          <w:smallCaps w:val="0"/>
          <w:kern w:val="0"/>
          <w:sz w:val="24"/>
          <w:szCs w:val="24"/>
          <w:lang w:val="zh-CN"/>
        </w:rPr>
        <w:t>%。即评价区的鸟类中，多数种类在评价区内繁殖</w:t>
      </w:r>
      <w:r>
        <w:rPr>
          <w:rFonts w:hint="default" w:ascii="Times New Roman" w:hAnsi="Times New Roman" w:eastAsia="宋体" w:cs="Times New Roman"/>
          <w:caps w:val="0"/>
          <w:smallCaps w:val="0"/>
          <w:sz w:val="24"/>
          <w:szCs w:val="24"/>
          <w:lang w:val="zh-CN"/>
        </w:rPr>
        <w:t>。</w:t>
      </w:r>
    </w:p>
    <w:p w14:paraId="476E4779">
      <w:pPr>
        <w:pStyle w:val="9"/>
        <w:bidi w:val="0"/>
        <w:rPr>
          <w:rFonts w:hint="default" w:ascii="Times New Roman" w:hAnsi="Times New Roman" w:cs="Times New Roman"/>
          <w:lang w:val="zh-CN" w:eastAsia="zh-CN"/>
        </w:rPr>
      </w:pPr>
      <w:r>
        <w:rPr>
          <w:rFonts w:hint="default" w:ascii="Times New Roman" w:hAnsi="Times New Roman" w:cs="Times New Roman"/>
          <w:lang w:val="en-US" w:eastAsia="zh-CN"/>
        </w:rPr>
        <w:t>哺乳类</w:t>
      </w:r>
    </w:p>
    <w:p w14:paraId="5109851A">
      <w:pPr>
        <w:keepNext w:val="0"/>
        <w:keepLines w:val="0"/>
        <w:pageBreakBefore w:val="0"/>
        <w:widowControl w:val="0"/>
        <w:kinsoku/>
        <w:wordWrap/>
        <w:overflowPunct/>
        <w:topLinePunct w:val="0"/>
        <w:autoSpaceDE/>
        <w:autoSpaceDN/>
        <w:bidi w:val="0"/>
        <w:adjustRightInd/>
        <w:snapToGrid/>
        <w:spacing w:line="360" w:lineRule="auto"/>
        <w:ind w:firstLine="464" w:firstLineChars="200"/>
        <w:textAlignment w:val="auto"/>
        <w:outlineLvl w:val="9"/>
        <w:rPr>
          <w:rFonts w:hint="default" w:ascii="Times New Roman" w:hAnsi="Times New Roman" w:eastAsia="宋体" w:cs="Times New Roman"/>
          <w:b/>
          <w:caps w:val="0"/>
          <w:smallCaps w:val="0"/>
          <w:sz w:val="24"/>
          <w:szCs w:val="24"/>
        </w:rPr>
      </w:pPr>
      <w:r>
        <w:rPr>
          <w:rFonts w:hint="default" w:ascii="Times New Roman" w:hAnsi="Times New Roman" w:eastAsia="宋体" w:cs="Times New Roman"/>
          <w:bCs/>
          <w:caps w:val="0"/>
          <w:smallCaps w:val="0"/>
          <w:spacing w:val="-4"/>
          <w:kern w:val="0"/>
          <w:sz w:val="24"/>
          <w:szCs w:val="24"/>
          <w:lang w:val="zh-CN"/>
        </w:rPr>
        <w:t>主要通过调查访问和评价区附近的相关文献，并结合实地调查中观察到的评价区的生境状况，对评价区内的哺乳类种类、数量及分布现状进行了全面调查，得出如下结论：</w:t>
      </w:r>
    </w:p>
    <w:p w14:paraId="0E67A19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caps w:val="0"/>
          <w:smallCaps w:val="0"/>
          <w:sz w:val="24"/>
          <w:szCs w:val="24"/>
        </w:rPr>
      </w:pPr>
      <w:r>
        <w:rPr>
          <w:rFonts w:hint="default" w:ascii="Times New Roman" w:hAnsi="Times New Roman" w:eastAsia="宋体" w:cs="Times New Roman"/>
          <w:b/>
          <w:caps w:val="0"/>
          <w:smallCaps w:val="0"/>
          <w:sz w:val="24"/>
          <w:szCs w:val="24"/>
        </w:rPr>
        <w:t>（1）</w:t>
      </w:r>
      <w:r>
        <w:rPr>
          <w:rFonts w:hint="default" w:ascii="Times New Roman" w:hAnsi="Times New Roman" w:eastAsia="宋体" w:cs="Times New Roman"/>
          <w:b/>
          <w:bCs/>
          <w:caps w:val="0"/>
          <w:smallCaps w:val="0"/>
          <w:sz w:val="24"/>
          <w:szCs w:val="24"/>
        </w:rPr>
        <w:t>种类、数量及分布</w:t>
      </w:r>
    </w:p>
    <w:p w14:paraId="74B33FB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caps w:val="0"/>
          <w:smallCaps w:val="0"/>
          <w:sz w:val="24"/>
          <w:szCs w:val="24"/>
        </w:rPr>
      </w:pPr>
      <w:r>
        <w:rPr>
          <w:rFonts w:hint="default" w:ascii="Times New Roman" w:hAnsi="Times New Roman" w:eastAsia="宋体" w:cs="Times New Roman"/>
          <w:caps w:val="0"/>
          <w:smallCaps w:val="0"/>
          <w:sz w:val="24"/>
          <w:szCs w:val="24"/>
        </w:rPr>
        <w:t>通过野外勘查、调查访问和查阅相关资料，评价区的哺乳类共有4目7科12种。以啮齿目和翼手目最多，各5种，各占总种数的41.67%。评价区内未发现国家级重点保护哺乳类；有湖南省级重点保护哺乳类7种，为华南兔、东北刺猬、大蹄蝠（</w:t>
      </w:r>
      <w:r>
        <w:rPr>
          <w:rFonts w:hint="default" w:ascii="Times New Roman" w:hAnsi="Times New Roman" w:eastAsia="宋体" w:cs="Times New Roman"/>
          <w:i/>
          <w:iCs/>
          <w:caps w:val="0"/>
          <w:smallCaps w:val="0"/>
          <w:sz w:val="24"/>
          <w:szCs w:val="24"/>
        </w:rPr>
        <w:t>Hipposideros armiger</w:t>
      </w:r>
      <w:r>
        <w:rPr>
          <w:rFonts w:hint="default" w:ascii="Times New Roman" w:hAnsi="Times New Roman" w:eastAsia="宋体" w:cs="Times New Roman"/>
          <w:caps w:val="0"/>
          <w:smallCaps w:val="0"/>
          <w:sz w:val="24"/>
          <w:szCs w:val="24"/>
        </w:rPr>
        <w:t>）、普氏蹄蝠（</w:t>
      </w:r>
      <w:r>
        <w:rPr>
          <w:rFonts w:hint="default" w:ascii="Times New Roman" w:hAnsi="Times New Roman" w:eastAsia="宋体" w:cs="Times New Roman"/>
          <w:i/>
          <w:iCs/>
          <w:caps w:val="0"/>
          <w:smallCaps w:val="0"/>
          <w:sz w:val="24"/>
          <w:szCs w:val="24"/>
        </w:rPr>
        <w:t>Hipposideros pratti</w:t>
      </w:r>
      <w:r>
        <w:rPr>
          <w:rFonts w:hint="default" w:ascii="Times New Roman" w:hAnsi="Times New Roman" w:eastAsia="宋体" w:cs="Times New Roman"/>
          <w:caps w:val="0"/>
          <w:smallCaps w:val="0"/>
          <w:sz w:val="24"/>
          <w:szCs w:val="24"/>
        </w:rPr>
        <w:t>）、马铁菊头蝠（</w:t>
      </w:r>
      <w:r>
        <w:rPr>
          <w:rFonts w:hint="default" w:ascii="Times New Roman" w:hAnsi="Times New Roman" w:eastAsia="宋体" w:cs="Times New Roman"/>
          <w:i/>
          <w:iCs/>
          <w:caps w:val="0"/>
          <w:smallCaps w:val="0"/>
          <w:sz w:val="24"/>
          <w:szCs w:val="24"/>
        </w:rPr>
        <w:t>Rhinolophus ferrumequinum</w:t>
      </w:r>
      <w:r>
        <w:rPr>
          <w:rFonts w:hint="default" w:ascii="Times New Roman" w:hAnsi="Times New Roman" w:eastAsia="宋体" w:cs="Times New Roman"/>
          <w:caps w:val="0"/>
          <w:smallCaps w:val="0"/>
          <w:sz w:val="24"/>
          <w:szCs w:val="24"/>
        </w:rPr>
        <w:t>）、东亚伏翼（</w:t>
      </w:r>
      <w:r>
        <w:rPr>
          <w:rFonts w:hint="default" w:ascii="Times New Roman" w:hAnsi="Times New Roman" w:eastAsia="宋体" w:cs="Times New Roman"/>
          <w:i/>
          <w:iCs/>
          <w:caps w:val="0"/>
          <w:smallCaps w:val="0"/>
          <w:sz w:val="24"/>
          <w:szCs w:val="24"/>
        </w:rPr>
        <w:t>Pipistrellusabramus</w:t>
      </w:r>
      <w:r>
        <w:rPr>
          <w:rFonts w:hint="default" w:ascii="Times New Roman" w:hAnsi="Times New Roman" w:eastAsia="宋体" w:cs="Times New Roman"/>
          <w:caps w:val="0"/>
          <w:smallCaps w:val="0"/>
          <w:sz w:val="24"/>
          <w:szCs w:val="24"/>
        </w:rPr>
        <w:t>）和东方蝙蝠（</w:t>
      </w:r>
      <w:r>
        <w:rPr>
          <w:rFonts w:hint="default" w:ascii="Times New Roman" w:hAnsi="Times New Roman" w:eastAsia="宋体" w:cs="Times New Roman"/>
          <w:i/>
          <w:iCs/>
          <w:caps w:val="0"/>
          <w:smallCaps w:val="0"/>
          <w:sz w:val="24"/>
          <w:szCs w:val="24"/>
        </w:rPr>
        <w:t>Vespertilio sinensis</w:t>
      </w:r>
      <w:r>
        <w:rPr>
          <w:rFonts w:hint="default" w:ascii="Times New Roman" w:hAnsi="Times New Roman" w:eastAsia="宋体" w:cs="Times New Roman"/>
          <w:caps w:val="0"/>
          <w:smallCaps w:val="0"/>
          <w:sz w:val="24"/>
          <w:szCs w:val="24"/>
        </w:rPr>
        <w:t>）；无《中国生物多样性红色名录》评级为极危（CR）、濒危（EN）、易危（VU）物种和中国特有种哺乳类。</w:t>
      </w:r>
    </w:p>
    <w:p w14:paraId="34965506">
      <w:pPr>
        <w:keepNext w:val="0"/>
        <w:keepLines w:val="0"/>
        <w:pageBreakBefore w:val="0"/>
        <w:widowControl w:val="0"/>
        <w:tabs>
          <w:tab w:val="left" w:pos="2592"/>
        </w:tabs>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eastAsia="宋体" w:cs="Times New Roman"/>
          <w:b/>
          <w:caps w:val="0"/>
          <w:smallCaps w:val="0"/>
          <w:sz w:val="24"/>
          <w:szCs w:val="24"/>
        </w:rPr>
      </w:pPr>
      <w:r>
        <w:rPr>
          <w:rFonts w:hint="default" w:ascii="Times New Roman" w:hAnsi="Times New Roman" w:eastAsia="宋体" w:cs="Times New Roman"/>
          <w:b/>
          <w:caps w:val="0"/>
          <w:smallCaps w:val="0"/>
          <w:sz w:val="24"/>
          <w:szCs w:val="24"/>
        </w:rPr>
        <w:t>（2）生态类型</w:t>
      </w:r>
    </w:p>
    <w:p w14:paraId="6E044BEE">
      <w:pPr>
        <w:keepNext w:val="0"/>
        <w:keepLines w:val="0"/>
        <w:pageBreakBefore w:val="0"/>
        <w:widowControl w:val="0"/>
        <w:tabs>
          <w:tab w:val="left" w:pos="2592"/>
        </w:tabs>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Cs/>
          <w:caps w:val="0"/>
          <w:smallCaps w:val="0"/>
          <w:sz w:val="24"/>
          <w:szCs w:val="24"/>
        </w:rPr>
      </w:pPr>
      <w:r>
        <w:rPr>
          <w:rFonts w:hint="default" w:ascii="Times New Roman" w:hAnsi="Times New Roman" w:eastAsia="宋体" w:cs="Times New Roman"/>
          <w:bCs/>
          <w:caps w:val="0"/>
          <w:smallCaps w:val="0"/>
          <w:sz w:val="24"/>
          <w:szCs w:val="24"/>
        </w:rPr>
        <w:t>按生活习性来分，可以将评价区内的12种哺乳类分为以下2种生态类型：</w:t>
      </w:r>
    </w:p>
    <w:p w14:paraId="48348EA1">
      <w:pPr>
        <w:keepNext w:val="0"/>
        <w:keepLines w:val="0"/>
        <w:pageBreakBefore w:val="0"/>
        <w:widowControl w:val="0"/>
        <w:tabs>
          <w:tab w:val="left" w:pos="2592"/>
        </w:tabs>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Cs/>
          <w:caps w:val="0"/>
          <w:smallCaps w:val="0"/>
          <w:sz w:val="24"/>
          <w:szCs w:val="24"/>
        </w:rPr>
      </w:pPr>
      <w:r>
        <w:rPr>
          <w:rFonts w:hint="default" w:ascii="Times New Roman" w:hAnsi="Times New Roman" w:eastAsia="宋体" w:cs="Times New Roman"/>
          <w:bCs/>
          <w:caps w:val="0"/>
          <w:smallCaps w:val="0"/>
          <w:sz w:val="24"/>
          <w:szCs w:val="24"/>
        </w:rPr>
        <w:t>半地下生活型（主要在地面活动觅食、栖息、避敌于洞穴中，有的也在地下寻找食物）：此种类型有华南兔、黑线姬鼠、巢鼠、黄胸鼠、东北刺猬、东方田鼠（</w:t>
      </w:r>
      <w:r>
        <w:rPr>
          <w:rFonts w:hint="default" w:ascii="Times New Roman" w:hAnsi="Times New Roman" w:eastAsia="宋体" w:cs="Times New Roman"/>
          <w:bCs/>
          <w:i/>
          <w:iCs/>
          <w:caps w:val="0"/>
          <w:smallCaps w:val="0"/>
          <w:sz w:val="24"/>
          <w:szCs w:val="24"/>
        </w:rPr>
        <w:t>Microtus fortis</w:t>
      </w:r>
      <w:r>
        <w:rPr>
          <w:rFonts w:hint="default" w:ascii="Times New Roman" w:hAnsi="Times New Roman" w:eastAsia="宋体" w:cs="Times New Roman"/>
          <w:bCs/>
          <w:caps w:val="0"/>
          <w:smallCaps w:val="0"/>
          <w:sz w:val="24"/>
          <w:szCs w:val="24"/>
        </w:rPr>
        <w:t>）和针毛鼠（</w:t>
      </w:r>
      <w:r>
        <w:rPr>
          <w:rFonts w:hint="default" w:ascii="Times New Roman" w:hAnsi="Times New Roman" w:eastAsia="宋体" w:cs="Times New Roman"/>
          <w:bCs/>
          <w:i/>
          <w:iCs/>
          <w:caps w:val="0"/>
          <w:smallCaps w:val="0"/>
          <w:sz w:val="24"/>
          <w:szCs w:val="24"/>
        </w:rPr>
        <w:t>Niviventer fulvescens</w:t>
      </w:r>
      <w:r>
        <w:rPr>
          <w:rFonts w:hint="default" w:ascii="Times New Roman" w:hAnsi="Times New Roman" w:eastAsia="宋体" w:cs="Times New Roman"/>
          <w:bCs/>
          <w:caps w:val="0"/>
          <w:smallCaps w:val="0"/>
          <w:sz w:val="24"/>
          <w:szCs w:val="24"/>
        </w:rPr>
        <w:t>）7种。它们在评价区内林地和田野中活动，其中部分鼠类动物与人类关系较为密切。</w:t>
      </w:r>
    </w:p>
    <w:p w14:paraId="1C9C7C9C">
      <w:pPr>
        <w:keepNext w:val="0"/>
        <w:keepLines w:val="0"/>
        <w:pageBreakBefore w:val="0"/>
        <w:widowControl w:val="0"/>
        <w:tabs>
          <w:tab w:val="left" w:pos="2592"/>
        </w:tabs>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Cs/>
          <w:caps w:val="0"/>
          <w:smallCaps w:val="0"/>
          <w:sz w:val="24"/>
          <w:szCs w:val="24"/>
        </w:rPr>
      </w:pPr>
      <w:r>
        <w:rPr>
          <w:rFonts w:hint="default" w:ascii="Times New Roman" w:hAnsi="Times New Roman" w:eastAsia="宋体" w:cs="Times New Roman"/>
          <w:bCs/>
          <w:caps w:val="0"/>
          <w:smallCaps w:val="0"/>
          <w:sz w:val="24"/>
          <w:szCs w:val="24"/>
        </w:rPr>
        <w:t>岩洞栖息型（在岩洞中倒挂栖息的小型哺乳类）：有马铁菊头蝠、大蹄蝠、普氏蹄蝠、东亚伏翼（</w:t>
      </w:r>
      <w:r>
        <w:rPr>
          <w:rFonts w:hint="default" w:ascii="Times New Roman" w:hAnsi="Times New Roman" w:eastAsia="宋体" w:cs="Times New Roman"/>
          <w:bCs/>
          <w:i/>
          <w:iCs/>
          <w:caps w:val="0"/>
          <w:smallCaps w:val="0"/>
          <w:sz w:val="24"/>
          <w:szCs w:val="24"/>
        </w:rPr>
        <w:t>Pipistrellus abramus</w:t>
      </w:r>
      <w:r>
        <w:rPr>
          <w:rFonts w:hint="default" w:ascii="Times New Roman" w:hAnsi="Times New Roman" w:eastAsia="宋体" w:cs="Times New Roman"/>
          <w:bCs/>
          <w:caps w:val="0"/>
          <w:smallCaps w:val="0"/>
          <w:sz w:val="24"/>
          <w:szCs w:val="24"/>
        </w:rPr>
        <w:t>）、东方蝙蝠5种。它们在建设范围内主要分布于山区的岩洞洞穴中。</w:t>
      </w:r>
    </w:p>
    <w:p w14:paraId="580806AA">
      <w:pPr>
        <w:keepNext w:val="0"/>
        <w:keepLines w:val="0"/>
        <w:pageBreakBefore w:val="0"/>
        <w:widowControl w:val="0"/>
        <w:tabs>
          <w:tab w:val="left" w:pos="2592"/>
        </w:tabs>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Cs/>
          <w:caps w:val="0"/>
          <w:smallCaps w:val="0"/>
          <w:sz w:val="24"/>
          <w:szCs w:val="24"/>
        </w:rPr>
      </w:pPr>
      <w:r>
        <w:rPr>
          <w:rFonts w:hint="default" w:ascii="Times New Roman" w:hAnsi="Times New Roman" w:eastAsia="宋体" w:cs="Times New Roman"/>
          <w:bCs/>
          <w:caps w:val="0"/>
          <w:smallCaps w:val="0"/>
          <w:sz w:val="24"/>
          <w:szCs w:val="24"/>
        </w:rPr>
        <w:t>（3）区系类型</w:t>
      </w:r>
    </w:p>
    <w:p w14:paraId="7D25C4D4">
      <w:pPr>
        <w:keepNext w:val="0"/>
        <w:keepLines w:val="0"/>
        <w:pageBreakBefore w:val="0"/>
        <w:widowControl w:val="0"/>
        <w:tabs>
          <w:tab w:val="left" w:pos="2592"/>
        </w:tabs>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caps w:val="0"/>
          <w:smallCaps w:val="0"/>
          <w:sz w:val="24"/>
          <w:szCs w:val="24"/>
        </w:rPr>
      </w:pPr>
      <w:r>
        <w:rPr>
          <w:rFonts w:hint="default" w:ascii="Times New Roman" w:hAnsi="Times New Roman" w:eastAsia="宋体" w:cs="Times New Roman"/>
          <w:bCs/>
          <w:caps w:val="0"/>
          <w:smallCaps w:val="0"/>
          <w:sz w:val="24"/>
          <w:szCs w:val="24"/>
        </w:rPr>
        <w:t>评价区内分布的12种哺乳类中，东洋种5种，占比41.67；广布种7种，占比58.33；无古北种分布，与评价区内地处东洋界的地理位置一致。</w:t>
      </w:r>
    </w:p>
    <w:p w14:paraId="32099DA5">
      <w:pPr>
        <w:pStyle w:val="5"/>
        <w:bidi w:val="0"/>
        <w:rPr>
          <w:rFonts w:hint="default" w:ascii="Times New Roman" w:hAnsi="Times New Roman" w:cs="Times New Roman"/>
          <w:lang w:val="zh-CN" w:eastAsia="zh-CN"/>
        </w:rPr>
      </w:pPr>
      <w:r>
        <w:rPr>
          <w:rFonts w:hint="default" w:ascii="Times New Roman" w:hAnsi="Times New Roman" w:cs="Times New Roman"/>
          <w:lang w:val="en-US" w:eastAsia="zh-CN"/>
        </w:rPr>
        <w:t>重要动物物种</w:t>
      </w:r>
    </w:p>
    <w:p w14:paraId="6740AD5C">
      <w:pPr>
        <w:adjustRightInd w:val="0"/>
        <w:snapToGrid w:val="0"/>
        <w:spacing w:line="360" w:lineRule="auto"/>
        <w:ind w:firstLine="480" w:firstLineChars="200"/>
        <w:rPr>
          <w:rFonts w:hint="default" w:ascii="Times New Roman" w:hAnsi="Times New Roman" w:eastAsia="宋体" w:cs="Times New Roman"/>
          <w:caps w:val="0"/>
          <w:smallCaps w:val="0"/>
          <w:kern w:val="0"/>
          <w:sz w:val="24"/>
          <w:szCs w:val="24"/>
          <w:lang w:val="zh-CN"/>
        </w:rPr>
      </w:pPr>
      <w:r>
        <w:rPr>
          <w:rFonts w:hint="default" w:ascii="Times New Roman" w:hAnsi="Times New Roman" w:eastAsia="宋体" w:cs="Times New Roman"/>
          <w:caps w:val="0"/>
          <w:smallCaps w:val="0"/>
          <w:sz w:val="24"/>
          <w:szCs w:val="24"/>
        </w:rPr>
        <w:t>评价区范围内陆生野生脊椎动物中，</w:t>
      </w:r>
      <w:r>
        <w:rPr>
          <w:rFonts w:hint="default" w:ascii="Times New Roman" w:hAnsi="Times New Roman" w:eastAsia="宋体" w:cs="Times New Roman"/>
          <w:caps w:val="0"/>
          <w:smallCaps w:val="0"/>
          <w:sz w:val="24"/>
          <w:szCs w:val="24"/>
          <w:lang w:val="en-US" w:eastAsia="zh-CN"/>
        </w:rPr>
        <w:t>未</w:t>
      </w:r>
      <w:r>
        <w:rPr>
          <w:rFonts w:hint="default" w:ascii="Times New Roman" w:hAnsi="Times New Roman" w:eastAsia="宋体" w:cs="Times New Roman"/>
          <w:caps w:val="0"/>
          <w:smallCaps w:val="0"/>
          <w:sz w:val="24"/>
          <w:szCs w:val="24"/>
        </w:rPr>
        <w:t>发现国家级重点保护野生动物，有湖南省级保护野生动物</w:t>
      </w:r>
      <w:r>
        <w:rPr>
          <w:rFonts w:hint="default" w:ascii="Times New Roman" w:hAnsi="Times New Roman" w:eastAsia="宋体" w:cs="Times New Roman"/>
          <w:caps w:val="0"/>
          <w:smallCaps w:val="0"/>
          <w:sz w:val="24"/>
          <w:szCs w:val="24"/>
          <w:lang w:val="en-US" w:eastAsia="zh-CN"/>
        </w:rPr>
        <w:t>34</w:t>
      </w:r>
      <w:r>
        <w:rPr>
          <w:rFonts w:hint="default" w:ascii="Times New Roman" w:hAnsi="Times New Roman" w:eastAsia="宋体" w:cs="Times New Roman"/>
          <w:caps w:val="0"/>
          <w:smallCaps w:val="0"/>
          <w:sz w:val="24"/>
          <w:szCs w:val="24"/>
        </w:rPr>
        <w:t>种，</w:t>
      </w:r>
      <w:r>
        <w:rPr>
          <w:rFonts w:hint="default" w:ascii="Times New Roman" w:hAnsi="Times New Roman" w:eastAsia="宋体" w:cs="Times New Roman"/>
          <w:caps w:val="0"/>
          <w:smallCaps w:val="0"/>
          <w:sz w:val="24"/>
          <w:szCs w:val="24"/>
          <w:lang w:val="en-US" w:eastAsia="zh-CN"/>
        </w:rPr>
        <w:t>包括</w:t>
      </w:r>
      <w:r>
        <w:rPr>
          <w:rFonts w:hint="default" w:ascii="Times New Roman" w:hAnsi="Times New Roman" w:eastAsia="宋体" w:cs="Times New Roman"/>
          <w:caps w:val="0"/>
          <w:smallCaps w:val="0"/>
          <w:sz w:val="24"/>
          <w:szCs w:val="24"/>
        </w:rPr>
        <w:t>：鸟类</w:t>
      </w:r>
      <w:r>
        <w:rPr>
          <w:rFonts w:hint="default" w:ascii="Times New Roman" w:hAnsi="Times New Roman" w:eastAsia="宋体" w:cs="Times New Roman"/>
          <w:caps w:val="0"/>
          <w:smallCaps w:val="0"/>
          <w:sz w:val="24"/>
          <w:szCs w:val="24"/>
          <w:lang w:val="en-US" w:eastAsia="zh-CN"/>
        </w:rPr>
        <w:t>12</w:t>
      </w:r>
      <w:r>
        <w:rPr>
          <w:rFonts w:hint="default" w:ascii="Times New Roman" w:hAnsi="Times New Roman" w:eastAsia="宋体" w:cs="Times New Roman"/>
          <w:caps w:val="0"/>
          <w:smallCaps w:val="0"/>
          <w:sz w:val="24"/>
          <w:szCs w:val="24"/>
        </w:rPr>
        <w:t>种，分别为大白鹭、牛背鹭</w:t>
      </w:r>
      <w:r>
        <w:rPr>
          <w:rFonts w:hint="default" w:ascii="Times New Roman" w:hAnsi="Times New Roman" w:eastAsia="宋体" w:cs="Times New Roman"/>
          <w:caps w:val="0"/>
          <w:smallCaps w:val="0"/>
          <w:sz w:val="24"/>
          <w:szCs w:val="24"/>
          <w:lang w:eastAsia="zh-CN"/>
        </w:rPr>
        <w:t>、</w:t>
      </w:r>
      <w:r>
        <w:rPr>
          <w:rFonts w:hint="default" w:ascii="Times New Roman" w:hAnsi="Times New Roman" w:eastAsia="宋体" w:cs="Times New Roman"/>
          <w:caps w:val="0"/>
          <w:smallCaps w:val="0"/>
          <w:sz w:val="24"/>
          <w:szCs w:val="24"/>
        </w:rPr>
        <w:t>喜鹊、山斑鸠、普通翠鸟</w:t>
      </w:r>
      <w:r>
        <w:rPr>
          <w:rFonts w:hint="default" w:ascii="Times New Roman" w:hAnsi="Times New Roman" w:eastAsia="宋体" w:cs="Times New Roman"/>
          <w:caps w:val="0"/>
          <w:smallCaps w:val="0"/>
          <w:sz w:val="24"/>
          <w:szCs w:val="24"/>
          <w:lang w:eastAsia="zh-CN"/>
        </w:rPr>
        <w:t>、</w:t>
      </w:r>
      <w:r>
        <w:rPr>
          <w:rFonts w:hint="default" w:ascii="Times New Roman" w:hAnsi="Times New Roman" w:eastAsia="宋体" w:cs="Times New Roman"/>
          <w:caps w:val="0"/>
          <w:smallCaps w:val="0"/>
          <w:sz w:val="24"/>
          <w:szCs w:val="24"/>
          <w:lang w:val="en-US" w:eastAsia="zh-CN"/>
        </w:rPr>
        <w:t>家燕、小䴙䴘、黑卷尾、白头鹎、乌鸫、红尾伯劳、环颈雉</w:t>
      </w:r>
      <w:r>
        <w:rPr>
          <w:rFonts w:hint="default" w:ascii="Times New Roman" w:hAnsi="Times New Roman" w:eastAsia="宋体" w:cs="Times New Roman"/>
          <w:caps w:val="0"/>
          <w:smallCaps w:val="0"/>
          <w:sz w:val="24"/>
          <w:szCs w:val="24"/>
        </w:rPr>
        <w:t>；两栖类</w:t>
      </w:r>
      <w:r>
        <w:rPr>
          <w:rFonts w:hint="default" w:ascii="Times New Roman" w:hAnsi="Times New Roman" w:eastAsia="宋体" w:cs="Times New Roman"/>
          <w:caps w:val="0"/>
          <w:smallCaps w:val="0"/>
          <w:sz w:val="24"/>
          <w:szCs w:val="24"/>
          <w:lang w:val="en-US" w:eastAsia="zh-CN"/>
        </w:rPr>
        <w:t>2</w:t>
      </w:r>
      <w:r>
        <w:rPr>
          <w:rFonts w:hint="default" w:ascii="Times New Roman" w:hAnsi="Times New Roman" w:eastAsia="宋体" w:cs="Times New Roman"/>
          <w:caps w:val="0"/>
          <w:smallCaps w:val="0"/>
          <w:sz w:val="24"/>
          <w:szCs w:val="24"/>
        </w:rPr>
        <w:t>种，分别为：</w:t>
      </w:r>
      <w:r>
        <w:rPr>
          <w:rFonts w:hint="default" w:ascii="Times New Roman" w:hAnsi="Times New Roman" w:eastAsia="宋体" w:cs="Times New Roman"/>
          <w:caps w:val="0"/>
          <w:smallCaps w:val="0"/>
          <w:sz w:val="24"/>
          <w:szCs w:val="24"/>
          <w:lang w:val="en-US" w:eastAsia="zh-CN"/>
        </w:rPr>
        <w:t>中华蟾蜍、黑斑侧褶蛙</w:t>
      </w:r>
      <w:r>
        <w:rPr>
          <w:rFonts w:hint="default" w:ascii="Times New Roman" w:hAnsi="Times New Roman" w:eastAsia="宋体" w:cs="Times New Roman"/>
          <w:caps w:val="0"/>
          <w:smallCaps w:val="0"/>
          <w:sz w:val="24"/>
          <w:szCs w:val="24"/>
        </w:rPr>
        <w:t>；</w:t>
      </w:r>
      <w:r>
        <w:rPr>
          <w:rFonts w:hint="default" w:ascii="Times New Roman" w:hAnsi="Times New Roman" w:eastAsia="宋体" w:cs="Times New Roman"/>
          <w:caps w:val="0"/>
          <w:smallCaps w:val="0"/>
          <w:sz w:val="24"/>
          <w:szCs w:val="24"/>
          <w:lang w:val="en-US" w:eastAsia="zh-CN"/>
        </w:rPr>
        <w:t>爬行类13种：中华鳖、北草蜥、中国石龙子、赤链蛇、灰鼠蛇、短尾蝮、乌梢蛇、黑眉锦蛇、中国小头蛇、银环蛇、虎斑颈槽蛇、乌华游蛇、多疣壁虎；</w:t>
      </w:r>
      <w:r>
        <w:rPr>
          <w:rFonts w:hint="default" w:ascii="Times New Roman" w:hAnsi="Times New Roman" w:eastAsia="宋体" w:cs="Times New Roman"/>
          <w:caps w:val="0"/>
          <w:smallCaps w:val="0"/>
          <w:sz w:val="24"/>
          <w:szCs w:val="24"/>
        </w:rPr>
        <w:t>哺乳类</w:t>
      </w:r>
      <w:r>
        <w:rPr>
          <w:rFonts w:hint="default" w:ascii="Times New Roman" w:hAnsi="Times New Roman" w:eastAsia="宋体" w:cs="Times New Roman"/>
          <w:caps w:val="0"/>
          <w:smallCaps w:val="0"/>
          <w:sz w:val="24"/>
          <w:szCs w:val="24"/>
          <w:lang w:val="en-US" w:eastAsia="zh-CN"/>
        </w:rPr>
        <w:t>7</w:t>
      </w:r>
      <w:r>
        <w:rPr>
          <w:rFonts w:hint="default" w:ascii="Times New Roman" w:hAnsi="Times New Roman" w:eastAsia="宋体" w:cs="Times New Roman"/>
          <w:caps w:val="0"/>
          <w:smallCaps w:val="0"/>
          <w:sz w:val="24"/>
          <w:szCs w:val="24"/>
        </w:rPr>
        <w:t>种：</w:t>
      </w:r>
      <w:r>
        <w:rPr>
          <w:rFonts w:hint="default" w:ascii="Times New Roman" w:hAnsi="Times New Roman" w:eastAsia="宋体" w:cs="Times New Roman"/>
          <w:caps w:val="0"/>
          <w:smallCaps w:val="0"/>
          <w:sz w:val="24"/>
          <w:szCs w:val="24"/>
          <w:lang w:val="en-US" w:eastAsia="zh-CN"/>
        </w:rPr>
        <w:t>华南兔、东北刺猬、大蹄蝠、普氏蹄蝠、马铁菊头蝠、东亚伏翼、东方蝙蝠</w:t>
      </w:r>
      <w:r>
        <w:rPr>
          <w:rFonts w:hint="default" w:ascii="Times New Roman" w:hAnsi="Times New Roman" w:eastAsia="宋体" w:cs="Times New Roman"/>
          <w:caps w:val="0"/>
          <w:smallCaps w:val="0"/>
          <w:sz w:val="24"/>
          <w:szCs w:val="24"/>
        </w:rPr>
        <w:t>。</w:t>
      </w:r>
    </w:p>
    <w:p w14:paraId="30876FE8">
      <w:pPr>
        <w:spacing w:line="276" w:lineRule="auto"/>
        <w:ind w:firstLine="0" w:firstLineChars="0"/>
        <w:jc w:val="center"/>
        <w:rPr>
          <w:rFonts w:hint="default" w:ascii="Times New Roman" w:hAnsi="Times New Roman" w:eastAsia="宋体" w:cs="Times New Roman"/>
          <w:b/>
          <w:bCs/>
          <w:caps w:val="0"/>
          <w:smallCaps w:val="0"/>
          <w:sz w:val="24"/>
          <w:szCs w:val="24"/>
        </w:rPr>
        <w:sectPr>
          <w:headerReference r:id="rId14" w:type="default"/>
          <w:footerReference r:id="rId15" w:type="default"/>
          <w:pgSz w:w="11905" w:h="16838"/>
          <w:pgMar w:top="1440" w:right="1797" w:bottom="1440" w:left="1797" w:header="851" w:footer="992" w:gutter="0"/>
          <w:pgBorders>
            <w:top w:val="none" w:sz="0" w:space="0"/>
            <w:left w:val="none" w:sz="0" w:space="0"/>
            <w:bottom w:val="none" w:sz="0" w:space="0"/>
            <w:right w:val="none" w:sz="0" w:space="0"/>
          </w:pgBorders>
          <w:pgNumType w:fmt="decimal"/>
          <w:cols w:space="0" w:num="1"/>
          <w:rtlGutter w:val="0"/>
          <w:docGrid w:linePitch="312" w:charSpace="0"/>
        </w:sectPr>
      </w:pPr>
    </w:p>
    <w:p w14:paraId="6C3BFC88">
      <w:pPr>
        <w:pStyle w:val="6"/>
        <w:keepNext w:val="0"/>
        <w:keepLines w:val="0"/>
        <w:pageBreakBefore w:val="0"/>
        <w:widowControl w:val="0"/>
        <w:kinsoku w:val="0"/>
        <w:wordWrap w:val="0"/>
        <w:overflowPunct/>
        <w:topLinePunct/>
        <w:autoSpaceDE/>
        <w:autoSpaceDN/>
        <w:bidi w:val="0"/>
        <w:adjustRightInd/>
        <w:snapToGrid/>
        <w:spacing w:before="0" w:beforeLines="50" w:line="360" w:lineRule="auto"/>
        <w:ind w:left="0" w:leftChars="0" w:firstLine="0" w:firstLineChars="0"/>
        <w:jc w:val="center"/>
        <w:textAlignment w:val="auto"/>
        <w:rPr>
          <w:rFonts w:hint="default" w:ascii="Times New Roman" w:hAnsi="Times New Roman" w:eastAsia="宋体" w:cs="Times New Roman"/>
          <w:b/>
          <w:caps w:val="0"/>
          <w:smallCaps w:val="0"/>
          <w:color w:val="auto"/>
          <w:spacing w:val="0"/>
          <w:w w:val="100"/>
          <w:position w:val="0"/>
          <w:sz w:val="21"/>
          <w:szCs w:val="21"/>
          <w:u w:val="none" w:color="auto"/>
          <w:lang w:val="en-US" w:eastAsia="zh-CN"/>
        </w:rPr>
      </w:pP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表3.3-</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begin"/>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instrText xml:space="preserve"> SEQ 表 \* ARABIC \s 1 </w:instrTex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separate"/>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9</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end"/>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 xml:space="preserve"> 重要野生动物调查结果统计表</w:t>
      </w:r>
    </w:p>
    <w:tbl>
      <w:tblPr>
        <w:tblStyle w:val="39"/>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76"/>
        <w:gridCol w:w="1346"/>
        <w:gridCol w:w="673"/>
        <w:gridCol w:w="583"/>
        <w:gridCol w:w="897"/>
        <w:gridCol w:w="5981"/>
        <w:gridCol w:w="1989"/>
        <w:gridCol w:w="658"/>
        <w:gridCol w:w="1461"/>
      </w:tblGrid>
      <w:tr w14:paraId="6DCFDB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03" w:type="pct"/>
            <w:tcBorders>
              <w:tl2br w:val="nil"/>
              <w:tr2bl w:val="nil"/>
            </w:tcBorders>
            <w:noWrap w:val="0"/>
            <w:vAlign w:val="center"/>
          </w:tcPr>
          <w:p w14:paraId="42E9D49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r>
              <w:rPr>
                <w:rFonts w:hint="default" w:ascii="Times New Roman" w:hAnsi="Times New Roman" w:eastAsia="宋体" w:cs="Times New Roman"/>
                <w:b/>
                <w:caps w:val="0"/>
                <w:smallCaps w:val="0"/>
                <w:sz w:val="18"/>
                <w:szCs w:val="18"/>
              </w:rPr>
              <w:t>序号</w:t>
            </w:r>
          </w:p>
        </w:tc>
        <w:tc>
          <w:tcPr>
            <w:tcW w:w="475" w:type="pct"/>
            <w:tcBorders>
              <w:tl2br w:val="nil"/>
              <w:tr2bl w:val="nil"/>
            </w:tcBorders>
            <w:noWrap w:val="0"/>
            <w:vAlign w:val="center"/>
          </w:tcPr>
          <w:p w14:paraId="7FD942D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r>
              <w:rPr>
                <w:rFonts w:hint="default" w:ascii="Times New Roman" w:hAnsi="Times New Roman" w:eastAsia="宋体" w:cs="Times New Roman"/>
                <w:b/>
                <w:caps w:val="0"/>
                <w:smallCaps w:val="0"/>
                <w:sz w:val="18"/>
                <w:szCs w:val="18"/>
              </w:rPr>
              <w:t>物种名称</w:t>
            </w:r>
          </w:p>
        </w:tc>
        <w:tc>
          <w:tcPr>
            <w:tcW w:w="237" w:type="pct"/>
            <w:tcBorders>
              <w:tl2br w:val="nil"/>
              <w:tr2bl w:val="nil"/>
            </w:tcBorders>
            <w:noWrap w:val="0"/>
            <w:vAlign w:val="center"/>
          </w:tcPr>
          <w:p w14:paraId="5CCB0BC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r>
              <w:rPr>
                <w:rFonts w:hint="default" w:ascii="Times New Roman" w:hAnsi="Times New Roman" w:eastAsia="宋体" w:cs="Times New Roman"/>
                <w:b/>
                <w:caps w:val="0"/>
                <w:smallCaps w:val="0"/>
                <w:sz w:val="18"/>
                <w:szCs w:val="18"/>
              </w:rPr>
              <w:t>保护级别</w:t>
            </w:r>
          </w:p>
        </w:tc>
        <w:tc>
          <w:tcPr>
            <w:tcW w:w="205" w:type="pct"/>
            <w:tcBorders>
              <w:tl2br w:val="nil"/>
              <w:tr2bl w:val="nil"/>
            </w:tcBorders>
            <w:noWrap w:val="0"/>
            <w:vAlign w:val="center"/>
          </w:tcPr>
          <w:p w14:paraId="58A4C508">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r>
              <w:rPr>
                <w:rFonts w:hint="default" w:ascii="Times New Roman" w:hAnsi="Times New Roman" w:eastAsia="宋体" w:cs="Times New Roman"/>
                <w:b/>
                <w:caps w:val="0"/>
                <w:smallCaps w:val="0"/>
                <w:sz w:val="18"/>
                <w:szCs w:val="18"/>
              </w:rPr>
              <w:t>濒危等级</w:t>
            </w:r>
          </w:p>
        </w:tc>
        <w:tc>
          <w:tcPr>
            <w:tcW w:w="316" w:type="pct"/>
            <w:tcBorders>
              <w:tl2br w:val="nil"/>
              <w:tr2bl w:val="nil"/>
            </w:tcBorders>
            <w:noWrap w:val="0"/>
            <w:vAlign w:val="center"/>
          </w:tcPr>
          <w:p w14:paraId="0E9642D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r>
              <w:rPr>
                <w:rFonts w:hint="default" w:ascii="Times New Roman" w:hAnsi="Times New Roman" w:eastAsia="宋体" w:cs="Times New Roman"/>
                <w:b/>
                <w:caps w:val="0"/>
                <w:smallCaps w:val="0"/>
                <w:sz w:val="18"/>
                <w:szCs w:val="18"/>
              </w:rPr>
              <w:t>特有种（是/否）</w:t>
            </w:r>
          </w:p>
        </w:tc>
        <w:tc>
          <w:tcPr>
            <w:tcW w:w="2111" w:type="pct"/>
            <w:tcBorders>
              <w:tl2br w:val="nil"/>
              <w:tr2bl w:val="nil"/>
            </w:tcBorders>
            <w:noWrap w:val="0"/>
            <w:vAlign w:val="center"/>
          </w:tcPr>
          <w:p w14:paraId="04F9DE8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lang w:val="en-US" w:eastAsia="zh-CN"/>
              </w:rPr>
            </w:pPr>
            <w:r>
              <w:rPr>
                <w:rFonts w:hint="default" w:ascii="Times New Roman" w:hAnsi="Times New Roman" w:eastAsia="宋体" w:cs="Times New Roman"/>
                <w:b/>
                <w:caps w:val="0"/>
                <w:smallCaps w:val="0"/>
                <w:sz w:val="18"/>
                <w:szCs w:val="18"/>
                <w:lang w:val="en-US" w:eastAsia="zh-CN"/>
              </w:rPr>
              <w:t>生态学特征</w:t>
            </w:r>
          </w:p>
        </w:tc>
        <w:tc>
          <w:tcPr>
            <w:tcW w:w="702" w:type="pct"/>
            <w:tcBorders>
              <w:tl2br w:val="nil"/>
              <w:tr2bl w:val="nil"/>
            </w:tcBorders>
            <w:noWrap w:val="0"/>
            <w:vAlign w:val="center"/>
          </w:tcPr>
          <w:p w14:paraId="7E72D05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r>
              <w:rPr>
                <w:rFonts w:hint="default" w:ascii="Times New Roman" w:hAnsi="Times New Roman" w:eastAsia="宋体" w:cs="Times New Roman"/>
                <w:b/>
                <w:caps w:val="0"/>
                <w:smallCaps w:val="0"/>
                <w:sz w:val="18"/>
                <w:szCs w:val="18"/>
              </w:rPr>
              <w:t>分布区域</w:t>
            </w:r>
          </w:p>
        </w:tc>
        <w:tc>
          <w:tcPr>
            <w:tcW w:w="232" w:type="pct"/>
            <w:tcBorders>
              <w:tl2br w:val="nil"/>
              <w:tr2bl w:val="nil"/>
            </w:tcBorders>
            <w:noWrap w:val="0"/>
            <w:vAlign w:val="center"/>
          </w:tcPr>
          <w:p w14:paraId="44B4357E">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r>
              <w:rPr>
                <w:rFonts w:hint="default" w:ascii="Times New Roman" w:hAnsi="Times New Roman" w:eastAsia="宋体" w:cs="Times New Roman"/>
                <w:b/>
                <w:caps w:val="0"/>
                <w:smallCaps w:val="0"/>
                <w:sz w:val="18"/>
                <w:szCs w:val="18"/>
              </w:rPr>
              <w:t>资料来源</w:t>
            </w:r>
          </w:p>
        </w:tc>
        <w:tc>
          <w:tcPr>
            <w:tcW w:w="515" w:type="pct"/>
            <w:tcBorders>
              <w:tl2br w:val="nil"/>
              <w:tr2bl w:val="nil"/>
            </w:tcBorders>
            <w:noWrap w:val="0"/>
            <w:vAlign w:val="center"/>
          </w:tcPr>
          <w:p w14:paraId="67CDBB50">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r>
              <w:rPr>
                <w:rFonts w:hint="default" w:ascii="Times New Roman" w:hAnsi="Times New Roman" w:eastAsia="宋体" w:cs="Times New Roman"/>
                <w:b/>
                <w:caps w:val="0"/>
                <w:smallCaps w:val="0"/>
                <w:sz w:val="18"/>
                <w:szCs w:val="18"/>
              </w:rPr>
              <w:t>工程占用情况（是/否）</w:t>
            </w:r>
          </w:p>
        </w:tc>
      </w:tr>
      <w:tr w14:paraId="091BAA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5CE823AF">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p>
        </w:tc>
        <w:tc>
          <w:tcPr>
            <w:tcW w:w="475" w:type="pct"/>
            <w:tcBorders>
              <w:tl2br w:val="nil"/>
              <w:tr2bl w:val="nil"/>
            </w:tcBorders>
            <w:noWrap w:val="0"/>
            <w:vAlign w:val="center"/>
          </w:tcPr>
          <w:p w14:paraId="39BB289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rPr>
            </w:pPr>
            <w:r>
              <w:rPr>
                <w:rFonts w:hint="default" w:ascii="Times New Roman" w:hAnsi="Times New Roman" w:eastAsia="宋体" w:cs="Times New Roman"/>
                <w:b w:val="0"/>
                <w:bCs/>
                <w:i w:val="0"/>
                <w:iCs w:val="0"/>
                <w:caps w:val="0"/>
                <w:smallCaps w:val="0"/>
                <w:sz w:val="18"/>
                <w:szCs w:val="18"/>
              </w:rPr>
              <w:t>华南兔</w:t>
            </w:r>
          </w:p>
          <w:p w14:paraId="7542E14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kern w:val="2"/>
                <w:sz w:val="18"/>
                <w:szCs w:val="18"/>
                <w:lang w:val="en-US" w:eastAsia="zh-CN" w:bidi="ar-SA"/>
              </w:rPr>
            </w:pPr>
            <w:r>
              <w:rPr>
                <w:rFonts w:hint="default" w:ascii="Times New Roman" w:hAnsi="Times New Roman" w:eastAsia="宋体" w:cs="Times New Roman"/>
                <w:b w:val="0"/>
                <w:bCs/>
                <w:i/>
                <w:iCs/>
                <w:caps w:val="0"/>
                <w:smallCaps w:val="0"/>
                <w:sz w:val="18"/>
                <w:szCs w:val="18"/>
              </w:rPr>
              <w:t>Lepus sinensis</w:t>
            </w:r>
          </w:p>
        </w:tc>
        <w:tc>
          <w:tcPr>
            <w:tcW w:w="237" w:type="pct"/>
            <w:tcBorders>
              <w:tl2br w:val="nil"/>
              <w:tr2bl w:val="nil"/>
            </w:tcBorders>
            <w:noWrap w:val="0"/>
            <w:vAlign w:val="center"/>
          </w:tcPr>
          <w:p w14:paraId="4A46E7B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kern w:val="2"/>
                <w:sz w:val="18"/>
                <w:szCs w:val="18"/>
                <w:lang w:val="en-US" w:eastAsia="zh-CN" w:bidi="ar-SA"/>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73ABD84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kern w:val="2"/>
                <w:sz w:val="18"/>
                <w:szCs w:val="18"/>
                <w:lang w:val="en-US" w:eastAsia="zh-CN" w:bidi="ar-SA"/>
              </w:rPr>
            </w:pPr>
            <w:r>
              <w:rPr>
                <w:rFonts w:hint="default" w:ascii="Times New Roman" w:hAnsi="Times New Roman" w:eastAsia="宋体" w:cs="Times New Roman"/>
                <w:bCs/>
                <w:caps w:val="0"/>
                <w:smallCaps w:val="0"/>
                <w:sz w:val="18"/>
                <w:szCs w:val="18"/>
              </w:rPr>
              <w:t>LC</w:t>
            </w:r>
          </w:p>
        </w:tc>
        <w:tc>
          <w:tcPr>
            <w:tcW w:w="316" w:type="pct"/>
            <w:tcBorders>
              <w:tl2br w:val="nil"/>
              <w:tr2bl w:val="nil"/>
            </w:tcBorders>
            <w:noWrap w:val="0"/>
            <w:vAlign w:val="center"/>
          </w:tcPr>
          <w:p w14:paraId="497368A9">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kern w:val="2"/>
                <w:sz w:val="18"/>
                <w:szCs w:val="18"/>
                <w:lang w:val="en-US" w:eastAsia="zh-CN" w:bidi="ar-SA"/>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0104BF9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kern w:val="2"/>
                <w:sz w:val="18"/>
                <w:szCs w:val="18"/>
                <w:lang w:val="en-US" w:eastAsia="zh-CN" w:bidi="ar-SA"/>
              </w:rPr>
            </w:pPr>
            <w:r>
              <w:rPr>
                <w:rFonts w:hint="default" w:ascii="Times New Roman" w:hAnsi="Times New Roman" w:eastAsia="宋体" w:cs="Times New Roman"/>
                <w:bCs/>
                <w:caps w:val="0"/>
                <w:smallCaps w:val="0"/>
                <w:sz w:val="18"/>
                <w:szCs w:val="18"/>
              </w:rPr>
              <w:t>耳较长；上唇分裂；尾短；四肢较细，后肢比前肢长。体背面一般是棕黑色；额部和鼻部的毛色较浅，是浅棕黑色；鼻的两侧，各有一个淡色区；耳背面棕黑色；身体两侧和臀部棕黄色。身体腹面下颏部分浅棕黄色，颈下浅棕色，腹部和四肢内侧黄白色，四肢外侧黄棕色，尾背面黄棕褐色，尾腹面淡黄色。一般不挖洞，多在凹坎下或草丛中营窝。夜行性，但白天也能见到。善跑跳，遇敌时迅速窜入草丛。纯草食性动物，亦常到农田中盗食各种作物的幼苗及嫩枝叶。产仔多在4-5月。每年繁殖2-4窝，每窝通常3-5只。</w:t>
            </w:r>
          </w:p>
        </w:tc>
        <w:tc>
          <w:tcPr>
            <w:tcW w:w="702" w:type="pct"/>
            <w:tcBorders>
              <w:tl2br w:val="nil"/>
              <w:tr2bl w:val="nil"/>
            </w:tcBorders>
            <w:noWrap w:val="0"/>
            <w:vAlign w:val="center"/>
          </w:tcPr>
          <w:p w14:paraId="0300CB30">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kern w:val="2"/>
                <w:sz w:val="18"/>
                <w:szCs w:val="18"/>
                <w:lang w:val="en-US" w:eastAsia="zh-CN" w:bidi="ar-SA"/>
              </w:rPr>
            </w:pPr>
            <w:r>
              <w:rPr>
                <w:rFonts w:hint="default" w:ascii="Times New Roman" w:hAnsi="Times New Roman" w:eastAsia="宋体" w:cs="Times New Roman"/>
                <w:b w:val="0"/>
                <w:bCs/>
                <w:caps w:val="0"/>
                <w:smallCaps w:val="0"/>
                <w:sz w:val="18"/>
                <w:szCs w:val="18"/>
              </w:rPr>
              <w:t>主要分布于评价区内的</w:t>
            </w:r>
            <w:r>
              <w:rPr>
                <w:rFonts w:hint="default" w:ascii="Times New Roman" w:hAnsi="Times New Roman" w:eastAsia="宋体" w:cs="Times New Roman"/>
                <w:b w:val="0"/>
                <w:bCs/>
                <w:caps w:val="0"/>
                <w:smallCaps w:val="0"/>
                <w:sz w:val="18"/>
                <w:szCs w:val="18"/>
                <w:lang w:val="en-US" w:eastAsia="zh-CN"/>
              </w:rPr>
              <w:t>林缘</w:t>
            </w:r>
            <w:r>
              <w:rPr>
                <w:rFonts w:hint="default" w:ascii="Times New Roman" w:hAnsi="Times New Roman" w:eastAsia="宋体" w:cs="Times New Roman"/>
                <w:b w:val="0"/>
                <w:bCs/>
                <w:caps w:val="0"/>
                <w:smallCaps w:val="0"/>
                <w:sz w:val="18"/>
                <w:szCs w:val="18"/>
              </w:rPr>
              <w:t>、农田、灌丛</w:t>
            </w:r>
            <w:r>
              <w:rPr>
                <w:rFonts w:hint="default" w:ascii="Times New Roman" w:hAnsi="Times New Roman" w:eastAsia="宋体" w:cs="Times New Roman"/>
                <w:b w:val="0"/>
                <w:bCs/>
                <w:caps w:val="0"/>
                <w:smallCaps w:val="0"/>
                <w:sz w:val="18"/>
                <w:szCs w:val="18"/>
                <w:lang w:eastAsia="zh-CN"/>
              </w:rPr>
              <w:t>、</w:t>
            </w:r>
            <w:r>
              <w:rPr>
                <w:rFonts w:hint="default" w:ascii="Times New Roman" w:hAnsi="Times New Roman" w:eastAsia="宋体" w:cs="Times New Roman"/>
                <w:b w:val="0"/>
                <w:bCs/>
                <w:caps w:val="0"/>
                <w:smallCaps w:val="0"/>
                <w:sz w:val="18"/>
                <w:szCs w:val="18"/>
                <w:lang w:val="en-US" w:eastAsia="zh-CN"/>
              </w:rPr>
              <w:t>草丛及居民点附近</w:t>
            </w:r>
          </w:p>
        </w:tc>
        <w:tc>
          <w:tcPr>
            <w:tcW w:w="232" w:type="pct"/>
            <w:tcBorders>
              <w:tl2br w:val="nil"/>
              <w:tr2bl w:val="nil"/>
            </w:tcBorders>
            <w:noWrap w:val="0"/>
            <w:vAlign w:val="center"/>
          </w:tcPr>
          <w:p w14:paraId="1F10B13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kern w:val="2"/>
                <w:sz w:val="18"/>
                <w:szCs w:val="18"/>
                <w:lang w:val="en-US" w:eastAsia="zh-CN" w:bidi="ar-SA"/>
              </w:rPr>
            </w:pPr>
            <w:r>
              <w:rPr>
                <w:rFonts w:hint="default" w:ascii="Times New Roman" w:hAnsi="Times New Roman" w:eastAsia="宋体" w:cs="Times New Roman"/>
                <w:b w:val="0"/>
                <w:bCs/>
                <w:caps w:val="0"/>
                <w:smallCaps w:val="0"/>
                <w:sz w:val="18"/>
                <w:szCs w:val="18"/>
                <w:lang w:val="en-US" w:eastAsia="zh-CN"/>
              </w:rPr>
              <w:t>文献纪录</w:t>
            </w:r>
          </w:p>
        </w:tc>
        <w:tc>
          <w:tcPr>
            <w:tcW w:w="515" w:type="pct"/>
            <w:tcBorders>
              <w:tl2br w:val="nil"/>
              <w:tr2bl w:val="nil"/>
            </w:tcBorders>
            <w:noWrap w:val="0"/>
            <w:vAlign w:val="center"/>
          </w:tcPr>
          <w:p w14:paraId="7664BFC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lang w:val="en-US" w:eastAsia="zh-CN"/>
              </w:rPr>
              <w:t>否，工程不占用其主要生境，适生区域分布在工程周边</w:t>
            </w:r>
          </w:p>
        </w:tc>
      </w:tr>
      <w:tr w14:paraId="365B66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3EB153BF">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p>
        </w:tc>
        <w:tc>
          <w:tcPr>
            <w:tcW w:w="475" w:type="pct"/>
            <w:tcBorders>
              <w:tl2br w:val="nil"/>
              <w:tr2bl w:val="nil"/>
            </w:tcBorders>
            <w:noWrap w:val="0"/>
            <w:vAlign w:val="center"/>
          </w:tcPr>
          <w:p w14:paraId="7DB4EF8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东北刺猬</w:t>
            </w:r>
          </w:p>
          <w:p w14:paraId="0EB4BAF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Erinaceus amurensis</w:t>
            </w:r>
          </w:p>
        </w:tc>
        <w:tc>
          <w:tcPr>
            <w:tcW w:w="237" w:type="pct"/>
            <w:tcBorders>
              <w:tl2br w:val="nil"/>
              <w:tr2bl w:val="nil"/>
            </w:tcBorders>
            <w:noWrap w:val="0"/>
            <w:vAlign w:val="center"/>
          </w:tcPr>
          <w:p w14:paraId="3B35571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3B039ED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LC</w:t>
            </w:r>
          </w:p>
        </w:tc>
        <w:tc>
          <w:tcPr>
            <w:tcW w:w="316" w:type="pct"/>
            <w:tcBorders>
              <w:tl2br w:val="nil"/>
              <w:tr2bl w:val="nil"/>
            </w:tcBorders>
            <w:noWrap w:val="0"/>
            <w:vAlign w:val="center"/>
          </w:tcPr>
          <w:p w14:paraId="4D11913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21A83CF3">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eastAsia="zh-CN"/>
              </w:rPr>
            </w:pPr>
            <w:r>
              <w:rPr>
                <w:rFonts w:hint="default" w:ascii="Times New Roman" w:hAnsi="Times New Roman" w:eastAsia="宋体" w:cs="Times New Roman"/>
                <w:bCs/>
                <w:caps w:val="0"/>
                <w:smallCaps w:val="0"/>
                <w:sz w:val="18"/>
                <w:szCs w:val="18"/>
              </w:rPr>
              <w:t>以其背部覆盖的保护性棘刺而闻名</w:t>
            </w:r>
            <w:r>
              <w:rPr>
                <w:rFonts w:hint="default" w:ascii="Times New Roman" w:hAnsi="Times New Roman" w:eastAsia="宋体" w:cs="Times New Roman"/>
                <w:bCs/>
                <w:caps w:val="0"/>
                <w:smallCaps w:val="0"/>
                <w:sz w:val="18"/>
                <w:szCs w:val="18"/>
                <w:lang w:eastAsia="zh-CN"/>
              </w:rPr>
              <w:t>，体长约15~30厘米，体重约为600~1500克。体色多样，通常为棕色、黑色、白色、奶油色或上述颜色的混合。夜行性动物，畏光喜暗，冬眠期约为6个月。</w:t>
            </w:r>
          </w:p>
        </w:tc>
        <w:tc>
          <w:tcPr>
            <w:tcW w:w="702" w:type="pct"/>
            <w:tcBorders>
              <w:tl2br w:val="nil"/>
              <w:tr2bl w:val="nil"/>
            </w:tcBorders>
            <w:noWrap w:val="0"/>
            <w:vAlign w:val="center"/>
          </w:tcPr>
          <w:p w14:paraId="0D73309E">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caps w:val="0"/>
                <w:smallCaps w:val="0"/>
                <w:sz w:val="18"/>
                <w:szCs w:val="18"/>
              </w:rPr>
              <w:t>主要分布于评价区内的</w:t>
            </w:r>
            <w:r>
              <w:rPr>
                <w:rFonts w:hint="default" w:ascii="Times New Roman" w:hAnsi="Times New Roman" w:eastAsia="宋体" w:cs="Times New Roman"/>
                <w:b w:val="0"/>
                <w:bCs/>
                <w:caps w:val="0"/>
                <w:smallCaps w:val="0"/>
                <w:sz w:val="18"/>
                <w:szCs w:val="18"/>
                <w:lang w:val="en-US" w:eastAsia="zh-CN"/>
              </w:rPr>
              <w:t>山地森林、草原、农田、灌丛等。</w:t>
            </w:r>
          </w:p>
        </w:tc>
        <w:tc>
          <w:tcPr>
            <w:tcW w:w="232" w:type="pct"/>
            <w:tcBorders>
              <w:tl2br w:val="nil"/>
              <w:tr2bl w:val="nil"/>
            </w:tcBorders>
            <w:noWrap w:val="0"/>
            <w:vAlign w:val="center"/>
          </w:tcPr>
          <w:p w14:paraId="081E56D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文献纪录</w:t>
            </w:r>
          </w:p>
        </w:tc>
        <w:tc>
          <w:tcPr>
            <w:tcW w:w="515" w:type="pct"/>
            <w:vMerge w:val="restart"/>
            <w:tcBorders>
              <w:tl2br w:val="nil"/>
              <w:tr2bl w:val="nil"/>
            </w:tcBorders>
            <w:noWrap w:val="0"/>
            <w:vAlign w:val="center"/>
          </w:tcPr>
          <w:p w14:paraId="0BDEC5E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否，工程不占用其主要生境，适生区域分布在工程周边</w:t>
            </w:r>
          </w:p>
        </w:tc>
      </w:tr>
      <w:tr w14:paraId="1B33DA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128EA386">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p>
        </w:tc>
        <w:tc>
          <w:tcPr>
            <w:tcW w:w="475" w:type="pct"/>
            <w:tcBorders>
              <w:tl2br w:val="nil"/>
              <w:tr2bl w:val="nil"/>
            </w:tcBorders>
            <w:noWrap w:val="0"/>
            <w:vAlign w:val="center"/>
          </w:tcPr>
          <w:p w14:paraId="49FB903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大蹄蝠</w:t>
            </w:r>
          </w:p>
          <w:p w14:paraId="157EBEE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Hipposideros armiger</w:t>
            </w:r>
          </w:p>
        </w:tc>
        <w:tc>
          <w:tcPr>
            <w:tcW w:w="237" w:type="pct"/>
            <w:tcBorders>
              <w:tl2br w:val="nil"/>
              <w:tr2bl w:val="nil"/>
            </w:tcBorders>
            <w:noWrap w:val="0"/>
            <w:vAlign w:val="center"/>
          </w:tcPr>
          <w:p w14:paraId="513840D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72776A38">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LC</w:t>
            </w:r>
          </w:p>
        </w:tc>
        <w:tc>
          <w:tcPr>
            <w:tcW w:w="316" w:type="pct"/>
            <w:tcBorders>
              <w:tl2br w:val="nil"/>
              <w:tr2bl w:val="nil"/>
            </w:tcBorders>
            <w:noWrap w:val="0"/>
            <w:vAlign w:val="center"/>
          </w:tcPr>
          <w:p w14:paraId="41E6769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5FD318C0">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体形甚大，前臂可达近100毫米，耳也大、三角形，毛长而细密，体色变化大，背色烟褐甚至黑褐，腹色灰褐，有些偏紫褐。群居性，也与其他蝙蝠生活在一起，冬眠，性凶猛，夏季夜间外出觅食，主要以鳞翅目蛾类昆虫为食，繁殖期与栖息地息息相关，中国大蹄蝠一般夏初繁殖。</w:t>
            </w:r>
          </w:p>
        </w:tc>
        <w:tc>
          <w:tcPr>
            <w:tcW w:w="702" w:type="pct"/>
            <w:tcBorders>
              <w:tl2br w:val="nil"/>
              <w:tr2bl w:val="nil"/>
            </w:tcBorders>
            <w:noWrap w:val="0"/>
            <w:vAlign w:val="center"/>
          </w:tcPr>
          <w:p w14:paraId="5FBF293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caps w:val="0"/>
                <w:smallCaps w:val="0"/>
                <w:sz w:val="18"/>
                <w:szCs w:val="18"/>
              </w:rPr>
              <w:t>主要分布于评价区内的</w:t>
            </w:r>
            <w:r>
              <w:rPr>
                <w:rFonts w:hint="default" w:ascii="Times New Roman" w:hAnsi="Times New Roman" w:eastAsia="宋体" w:cs="Times New Roman"/>
                <w:b w:val="0"/>
                <w:bCs/>
                <w:caps w:val="0"/>
                <w:smallCaps w:val="0"/>
                <w:sz w:val="18"/>
                <w:szCs w:val="18"/>
                <w:lang w:val="en-US" w:eastAsia="zh-CN"/>
              </w:rPr>
              <w:t>湿度较大的洞穴或废弃坑道的高处</w:t>
            </w:r>
          </w:p>
        </w:tc>
        <w:tc>
          <w:tcPr>
            <w:tcW w:w="232" w:type="pct"/>
            <w:tcBorders>
              <w:tl2br w:val="nil"/>
              <w:tr2bl w:val="nil"/>
            </w:tcBorders>
            <w:noWrap w:val="0"/>
            <w:vAlign w:val="center"/>
          </w:tcPr>
          <w:p w14:paraId="2F96F20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文献纪录</w:t>
            </w:r>
          </w:p>
        </w:tc>
        <w:tc>
          <w:tcPr>
            <w:tcW w:w="515" w:type="pct"/>
            <w:vMerge w:val="continue"/>
            <w:tcBorders>
              <w:tl2br w:val="nil"/>
              <w:tr2bl w:val="nil"/>
            </w:tcBorders>
            <w:noWrap w:val="0"/>
            <w:vAlign w:val="center"/>
          </w:tcPr>
          <w:p w14:paraId="7224212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r>
      <w:tr w14:paraId="164F72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7261EE5D">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p>
        </w:tc>
        <w:tc>
          <w:tcPr>
            <w:tcW w:w="475" w:type="pct"/>
            <w:tcBorders>
              <w:tl2br w:val="nil"/>
              <w:tr2bl w:val="nil"/>
            </w:tcBorders>
            <w:noWrap w:val="0"/>
            <w:vAlign w:val="center"/>
          </w:tcPr>
          <w:p w14:paraId="2F003DB5">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普氏蹄蝠</w:t>
            </w:r>
          </w:p>
          <w:p w14:paraId="3EA49E25">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Hipposideros pratti</w:t>
            </w:r>
          </w:p>
        </w:tc>
        <w:tc>
          <w:tcPr>
            <w:tcW w:w="237" w:type="pct"/>
            <w:tcBorders>
              <w:tl2br w:val="nil"/>
              <w:tr2bl w:val="nil"/>
            </w:tcBorders>
            <w:noWrap w:val="0"/>
            <w:vAlign w:val="center"/>
          </w:tcPr>
          <w:p w14:paraId="5C4F6FD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61DCADE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NT</w:t>
            </w:r>
          </w:p>
        </w:tc>
        <w:tc>
          <w:tcPr>
            <w:tcW w:w="316" w:type="pct"/>
            <w:tcBorders>
              <w:tl2br w:val="nil"/>
              <w:tr2bl w:val="nil"/>
            </w:tcBorders>
            <w:noWrap w:val="0"/>
            <w:vAlign w:val="center"/>
          </w:tcPr>
          <w:p w14:paraId="747630F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7E16FCF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体型较大，前臂长超过80mm以上，鼻叶的马蹄叶基部两侧各具2片小叶，头骨的吻鼻部至额部不呈斜面，而在两者之间具一凹进部分。性较凶猛，以周围夜出性飞虫为食。</w:t>
            </w:r>
          </w:p>
        </w:tc>
        <w:tc>
          <w:tcPr>
            <w:tcW w:w="702" w:type="pct"/>
            <w:tcBorders>
              <w:tl2br w:val="nil"/>
              <w:tr2bl w:val="nil"/>
            </w:tcBorders>
            <w:noWrap w:val="0"/>
            <w:vAlign w:val="center"/>
          </w:tcPr>
          <w:p w14:paraId="1C7463D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caps w:val="0"/>
                <w:smallCaps w:val="0"/>
                <w:sz w:val="18"/>
                <w:szCs w:val="18"/>
              </w:rPr>
              <w:t>主要分布于评价区内的</w:t>
            </w:r>
            <w:r>
              <w:rPr>
                <w:rFonts w:hint="default" w:ascii="Times New Roman" w:hAnsi="Times New Roman" w:eastAsia="宋体" w:cs="Times New Roman"/>
                <w:b w:val="0"/>
                <w:bCs/>
                <w:caps w:val="0"/>
                <w:smallCaps w:val="0"/>
                <w:sz w:val="18"/>
                <w:szCs w:val="18"/>
                <w:lang w:val="en-US" w:eastAsia="zh-CN"/>
              </w:rPr>
              <w:t>温暖潮湿的洞穴中</w:t>
            </w:r>
          </w:p>
        </w:tc>
        <w:tc>
          <w:tcPr>
            <w:tcW w:w="232" w:type="pct"/>
            <w:tcBorders>
              <w:tl2br w:val="nil"/>
              <w:tr2bl w:val="nil"/>
            </w:tcBorders>
            <w:noWrap w:val="0"/>
            <w:vAlign w:val="center"/>
          </w:tcPr>
          <w:p w14:paraId="2CEC507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文献纪录</w:t>
            </w:r>
          </w:p>
        </w:tc>
        <w:tc>
          <w:tcPr>
            <w:tcW w:w="515" w:type="pct"/>
            <w:vMerge w:val="continue"/>
            <w:tcBorders>
              <w:tl2br w:val="nil"/>
              <w:tr2bl w:val="nil"/>
            </w:tcBorders>
            <w:noWrap w:val="0"/>
            <w:vAlign w:val="center"/>
          </w:tcPr>
          <w:p w14:paraId="76377415">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r>
      <w:tr w14:paraId="44C456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51DBD8C0">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p>
        </w:tc>
        <w:tc>
          <w:tcPr>
            <w:tcW w:w="475" w:type="pct"/>
            <w:tcBorders>
              <w:tl2br w:val="nil"/>
              <w:tr2bl w:val="nil"/>
            </w:tcBorders>
            <w:noWrap w:val="0"/>
            <w:vAlign w:val="center"/>
          </w:tcPr>
          <w:p w14:paraId="16413F90">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马铁菊头蝠</w:t>
            </w:r>
          </w:p>
          <w:p w14:paraId="5DF1E093">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Rhinolophus ferrumequinum</w:t>
            </w:r>
          </w:p>
        </w:tc>
        <w:tc>
          <w:tcPr>
            <w:tcW w:w="237" w:type="pct"/>
            <w:tcBorders>
              <w:tl2br w:val="nil"/>
              <w:tr2bl w:val="nil"/>
            </w:tcBorders>
            <w:noWrap w:val="0"/>
            <w:vAlign w:val="center"/>
          </w:tcPr>
          <w:p w14:paraId="08D3AA8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177B608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lang w:val="en-US" w:eastAsia="zh-CN"/>
              </w:rPr>
              <w:t>LC</w:t>
            </w:r>
          </w:p>
        </w:tc>
        <w:tc>
          <w:tcPr>
            <w:tcW w:w="316" w:type="pct"/>
            <w:tcBorders>
              <w:tl2br w:val="nil"/>
              <w:tr2bl w:val="nil"/>
            </w:tcBorders>
            <w:noWrap w:val="0"/>
            <w:vAlign w:val="center"/>
          </w:tcPr>
          <w:p w14:paraId="34EED25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655F77A0">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eastAsia="zh-CN"/>
              </w:rPr>
            </w:pPr>
            <w:r>
              <w:rPr>
                <w:rFonts w:hint="default" w:ascii="Times New Roman" w:hAnsi="Times New Roman" w:eastAsia="宋体" w:cs="Times New Roman"/>
                <w:bCs/>
                <w:caps w:val="0"/>
                <w:smallCaps w:val="0"/>
                <w:sz w:val="18"/>
                <w:szCs w:val="18"/>
              </w:rPr>
              <w:t>体型较大，耳大而略宽阔，耳端部削尖，不具耳屏，全身被有细密柔软的毛，背毛淡棕褐色，腹毛为灰棕色。群栖性，昼伏夜出，冬眠，以鞘翅目及鳞翅目昆虫为食，每年6月上、中旬产子，每胎1子</w:t>
            </w:r>
            <w:r>
              <w:rPr>
                <w:rFonts w:hint="default" w:ascii="Times New Roman" w:hAnsi="Times New Roman" w:eastAsia="宋体" w:cs="Times New Roman"/>
                <w:bCs/>
                <w:caps w:val="0"/>
                <w:smallCaps w:val="0"/>
                <w:sz w:val="18"/>
                <w:szCs w:val="18"/>
                <w:lang w:eastAsia="zh-CN"/>
              </w:rPr>
              <w:t>。</w:t>
            </w:r>
          </w:p>
        </w:tc>
        <w:tc>
          <w:tcPr>
            <w:tcW w:w="702" w:type="pct"/>
            <w:tcBorders>
              <w:tl2br w:val="nil"/>
              <w:tr2bl w:val="nil"/>
            </w:tcBorders>
            <w:noWrap w:val="0"/>
            <w:vAlign w:val="center"/>
          </w:tcPr>
          <w:p w14:paraId="160D8EB9">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caps w:val="0"/>
                <w:smallCaps w:val="0"/>
                <w:sz w:val="18"/>
                <w:szCs w:val="18"/>
              </w:rPr>
              <w:t>主要分布于评价区内</w:t>
            </w:r>
            <w:r>
              <w:rPr>
                <w:rFonts w:hint="default" w:ascii="Times New Roman" w:hAnsi="Times New Roman" w:eastAsia="宋体" w:cs="Times New Roman"/>
                <w:b w:val="0"/>
                <w:bCs/>
                <w:caps w:val="0"/>
                <w:smallCaps w:val="0"/>
                <w:sz w:val="18"/>
                <w:szCs w:val="18"/>
                <w:lang w:val="en-US" w:eastAsia="zh-CN"/>
              </w:rPr>
              <w:t>的天然洞穴、高层建筑或庙宇的缝隙中。</w:t>
            </w:r>
          </w:p>
        </w:tc>
        <w:tc>
          <w:tcPr>
            <w:tcW w:w="232" w:type="pct"/>
            <w:tcBorders>
              <w:tl2br w:val="nil"/>
              <w:tr2bl w:val="nil"/>
            </w:tcBorders>
            <w:noWrap w:val="0"/>
            <w:vAlign w:val="center"/>
          </w:tcPr>
          <w:p w14:paraId="7E4AF29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文献纪录</w:t>
            </w:r>
          </w:p>
        </w:tc>
        <w:tc>
          <w:tcPr>
            <w:tcW w:w="515" w:type="pct"/>
            <w:vMerge w:val="continue"/>
            <w:tcBorders>
              <w:tl2br w:val="nil"/>
              <w:tr2bl w:val="nil"/>
            </w:tcBorders>
            <w:noWrap w:val="0"/>
            <w:vAlign w:val="center"/>
          </w:tcPr>
          <w:p w14:paraId="6E35ACB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r>
      <w:tr w14:paraId="5FBFD1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7287F48C">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p>
        </w:tc>
        <w:tc>
          <w:tcPr>
            <w:tcW w:w="475" w:type="pct"/>
            <w:tcBorders>
              <w:tl2br w:val="nil"/>
              <w:tr2bl w:val="nil"/>
            </w:tcBorders>
            <w:noWrap w:val="0"/>
            <w:vAlign w:val="center"/>
          </w:tcPr>
          <w:p w14:paraId="01244D5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东亚伏翼</w:t>
            </w:r>
          </w:p>
          <w:p w14:paraId="02BCA0C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Pipistrellus abramus</w:t>
            </w:r>
          </w:p>
        </w:tc>
        <w:tc>
          <w:tcPr>
            <w:tcW w:w="237" w:type="pct"/>
            <w:tcBorders>
              <w:tl2br w:val="nil"/>
              <w:tr2bl w:val="nil"/>
            </w:tcBorders>
            <w:noWrap w:val="0"/>
            <w:vAlign w:val="center"/>
          </w:tcPr>
          <w:p w14:paraId="64471F3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0BF0FEC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LC</w:t>
            </w:r>
          </w:p>
        </w:tc>
        <w:tc>
          <w:tcPr>
            <w:tcW w:w="316" w:type="pct"/>
            <w:tcBorders>
              <w:tl2br w:val="nil"/>
              <w:tr2bl w:val="nil"/>
            </w:tcBorders>
            <w:noWrap w:val="0"/>
            <w:vAlign w:val="center"/>
          </w:tcPr>
          <w:p w14:paraId="200F36C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5DF0299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eastAsia="zh-CN"/>
              </w:rPr>
            </w:pPr>
            <w:r>
              <w:rPr>
                <w:rFonts w:hint="default" w:ascii="Times New Roman" w:hAnsi="Times New Roman" w:eastAsia="宋体" w:cs="Times New Roman"/>
                <w:bCs/>
                <w:caps w:val="0"/>
                <w:smallCaps w:val="0"/>
                <w:sz w:val="18"/>
                <w:szCs w:val="18"/>
              </w:rPr>
              <w:t>体型较小</w:t>
            </w:r>
            <w:r>
              <w:rPr>
                <w:rFonts w:hint="default" w:ascii="Times New Roman" w:hAnsi="Times New Roman" w:eastAsia="宋体" w:cs="Times New Roman"/>
                <w:bCs/>
                <w:caps w:val="0"/>
                <w:smallCaps w:val="0"/>
                <w:sz w:val="18"/>
                <w:szCs w:val="18"/>
                <w:lang w:eastAsia="zh-CN"/>
              </w:rPr>
              <w:t>，背毛通常为灰褐色或棕褐色，头骨较宽，颧弓纤细，吻突宽扁，上颌内门齿齿冠双叉形。以蚊等小型昆虫为食，并有冬眠的习性，一般在11月至次年3月冬眠，出眠后在6～7月间产仔。</w:t>
            </w:r>
          </w:p>
        </w:tc>
        <w:tc>
          <w:tcPr>
            <w:tcW w:w="702" w:type="pct"/>
            <w:tcBorders>
              <w:tl2br w:val="nil"/>
              <w:tr2bl w:val="nil"/>
            </w:tcBorders>
            <w:noWrap w:val="0"/>
            <w:vAlign w:val="center"/>
          </w:tcPr>
          <w:p w14:paraId="14E8136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caps w:val="0"/>
                <w:smallCaps w:val="0"/>
                <w:sz w:val="18"/>
                <w:szCs w:val="18"/>
              </w:rPr>
              <w:t>主要分布于评价区内</w:t>
            </w:r>
            <w:r>
              <w:rPr>
                <w:rFonts w:hint="default" w:ascii="Times New Roman" w:hAnsi="Times New Roman" w:eastAsia="宋体" w:cs="Times New Roman"/>
                <w:b w:val="0"/>
                <w:bCs/>
                <w:caps w:val="0"/>
                <w:smallCaps w:val="0"/>
                <w:sz w:val="18"/>
                <w:szCs w:val="18"/>
                <w:lang w:val="en-US" w:eastAsia="zh-CN"/>
              </w:rPr>
              <w:t>的房屋屋檐下，也常隐匿在屋顶瓦隙或树洞中</w:t>
            </w:r>
          </w:p>
        </w:tc>
        <w:tc>
          <w:tcPr>
            <w:tcW w:w="232" w:type="pct"/>
            <w:tcBorders>
              <w:tl2br w:val="nil"/>
              <w:tr2bl w:val="nil"/>
            </w:tcBorders>
            <w:noWrap w:val="0"/>
            <w:vAlign w:val="center"/>
          </w:tcPr>
          <w:p w14:paraId="311C136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文献纪录</w:t>
            </w:r>
          </w:p>
        </w:tc>
        <w:tc>
          <w:tcPr>
            <w:tcW w:w="515" w:type="pct"/>
            <w:vMerge w:val="continue"/>
            <w:tcBorders>
              <w:tl2br w:val="nil"/>
              <w:tr2bl w:val="nil"/>
            </w:tcBorders>
            <w:noWrap w:val="0"/>
            <w:vAlign w:val="center"/>
          </w:tcPr>
          <w:p w14:paraId="24E89BA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r>
      <w:tr w14:paraId="52B2F2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58AB8B5C">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p>
        </w:tc>
        <w:tc>
          <w:tcPr>
            <w:tcW w:w="475" w:type="pct"/>
            <w:tcBorders>
              <w:tl2br w:val="nil"/>
              <w:tr2bl w:val="nil"/>
            </w:tcBorders>
            <w:noWrap w:val="0"/>
            <w:vAlign w:val="center"/>
          </w:tcPr>
          <w:p w14:paraId="5F85F76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东方蝙蝠</w:t>
            </w:r>
          </w:p>
          <w:p w14:paraId="35A7FFF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Vespertilio sinensis</w:t>
            </w:r>
          </w:p>
        </w:tc>
        <w:tc>
          <w:tcPr>
            <w:tcW w:w="237" w:type="pct"/>
            <w:tcBorders>
              <w:tl2br w:val="nil"/>
              <w:tr2bl w:val="nil"/>
            </w:tcBorders>
            <w:noWrap w:val="0"/>
            <w:vAlign w:val="center"/>
          </w:tcPr>
          <w:p w14:paraId="744BA40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417FBB3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LC</w:t>
            </w:r>
          </w:p>
        </w:tc>
        <w:tc>
          <w:tcPr>
            <w:tcW w:w="316" w:type="pct"/>
            <w:tcBorders>
              <w:tl2br w:val="nil"/>
              <w:tr2bl w:val="nil"/>
            </w:tcBorders>
            <w:noWrap w:val="0"/>
            <w:vAlign w:val="center"/>
          </w:tcPr>
          <w:p w14:paraId="66D3608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42BDFD38">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eastAsia="zh-CN"/>
              </w:rPr>
            </w:pPr>
            <w:r>
              <w:rPr>
                <w:rFonts w:hint="default" w:ascii="Times New Roman" w:hAnsi="Times New Roman" w:eastAsia="宋体" w:cs="Times New Roman"/>
                <w:bCs/>
                <w:caps w:val="0"/>
                <w:smallCaps w:val="0"/>
                <w:sz w:val="18"/>
                <w:szCs w:val="18"/>
              </w:rPr>
              <w:t>体型中等大小，耳短而宽略呈三角形，通体毛基均黑褐色。多数独居或两三只成小群，有时大批聚居在一起，春末产仔，6～7月间为哺育时期，每胎产2仔</w:t>
            </w:r>
            <w:r>
              <w:rPr>
                <w:rFonts w:hint="default" w:ascii="Times New Roman" w:hAnsi="Times New Roman" w:eastAsia="宋体" w:cs="Times New Roman"/>
                <w:bCs/>
                <w:caps w:val="0"/>
                <w:smallCaps w:val="0"/>
                <w:sz w:val="18"/>
                <w:szCs w:val="18"/>
                <w:lang w:eastAsia="zh-CN"/>
              </w:rPr>
              <w:t>。</w:t>
            </w:r>
          </w:p>
        </w:tc>
        <w:tc>
          <w:tcPr>
            <w:tcW w:w="702" w:type="pct"/>
            <w:tcBorders>
              <w:tl2br w:val="nil"/>
              <w:tr2bl w:val="nil"/>
            </w:tcBorders>
            <w:noWrap w:val="0"/>
            <w:vAlign w:val="center"/>
          </w:tcPr>
          <w:p w14:paraId="0D55431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caps w:val="0"/>
                <w:smallCaps w:val="0"/>
                <w:sz w:val="18"/>
                <w:szCs w:val="18"/>
              </w:rPr>
              <w:t>主要分布于评价区内</w:t>
            </w:r>
            <w:r>
              <w:rPr>
                <w:rFonts w:hint="default" w:ascii="Times New Roman" w:hAnsi="Times New Roman" w:eastAsia="宋体" w:cs="Times New Roman"/>
                <w:b w:val="0"/>
                <w:bCs/>
                <w:caps w:val="0"/>
                <w:smallCaps w:val="0"/>
                <w:sz w:val="18"/>
                <w:szCs w:val="18"/>
                <w:lang w:val="en-US" w:eastAsia="zh-CN"/>
              </w:rPr>
              <w:t>的屋檐、天花板、门窗的裂缝中，也栖于树洞中</w:t>
            </w:r>
          </w:p>
        </w:tc>
        <w:tc>
          <w:tcPr>
            <w:tcW w:w="232" w:type="pct"/>
            <w:tcBorders>
              <w:tl2br w:val="nil"/>
              <w:tr2bl w:val="nil"/>
            </w:tcBorders>
            <w:noWrap w:val="0"/>
            <w:vAlign w:val="center"/>
          </w:tcPr>
          <w:p w14:paraId="2F3B305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文献纪录</w:t>
            </w:r>
          </w:p>
        </w:tc>
        <w:tc>
          <w:tcPr>
            <w:tcW w:w="515" w:type="pct"/>
            <w:vMerge w:val="continue"/>
            <w:tcBorders>
              <w:tl2br w:val="nil"/>
              <w:tr2bl w:val="nil"/>
            </w:tcBorders>
            <w:noWrap w:val="0"/>
            <w:vAlign w:val="center"/>
          </w:tcPr>
          <w:p w14:paraId="1EB3B070">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r>
      <w:tr w14:paraId="42638C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7925D291">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p>
        </w:tc>
        <w:tc>
          <w:tcPr>
            <w:tcW w:w="475" w:type="pct"/>
            <w:tcBorders>
              <w:tl2br w:val="nil"/>
              <w:tr2bl w:val="nil"/>
            </w:tcBorders>
            <w:noWrap w:val="0"/>
            <w:vAlign w:val="center"/>
          </w:tcPr>
          <w:p w14:paraId="750240D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中华蟾蜍</w:t>
            </w:r>
          </w:p>
          <w:p w14:paraId="3E7C601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Bufo gargarizans</w:t>
            </w:r>
          </w:p>
        </w:tc>
        <w:tc>
          <w:tcPr>
            <w:tcW w:w="237" w:type="pct"/>
            <w:tcBorders>
              <w:tl2br w:val="nil"/>
              <w:tr2bl w:val="nil"/>
            </w:tcBorders>
            <w:noWrap w:val="0"/>
            <w:vAlign w:val="center"/>
          </w:tcPr>
          <w:p w14:paraId="5166124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35A4319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LC</w:t>
            </w:r>
          </w:p>
        </w:tc>
        <w:tc>
          <w:tcPr>
            <w:tcW w:w="316" w:type="pct"/>
            <w:tcBorders>
              <w:tl2br w:val="nil"/>
              <w:tr2bl w:val="nil"/>
            </w:tcBorders>
            <w:noWrap w:val="0"/>
            <w:vAlign w:val="center"/>
          </w:tcPr>
          <w:p w14:paraId="7E3D83B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55F189D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eastAsia="zh-CN"/>
              </w:rPr>
            </w:pPr>
            <w:r>
              <w:rPr>
                <w:rFonts w:hint="default" w:ascii="Times New Roman" w:hAnsi="Times New Roman" w:eastAsia="宋体" w:cs="Times New Roman"/>
                <w:bCs/>
                <w:caps w:val="0"/>
                <w:smallCaps w:val="0"/>
                <w:sz w:val="18"/>
                <w:szCs w:val="18"/>
              </w:rPr>
              <w:t>又名癞蛤蟆、虾蟆、蚧巴子。体形如蛙，四肢比蛙粗壮。头宽大，口阔，皮肤粗糙，全身布满大小不等的圆形瘰疣，头顶部两侧有一对大而发达的耳后腺。雄性背面多呈橄榄黄色，有不规则的花斑，疣粒上有红点，雌性背面呈浅绿色，花斑酱色，疣粒上也有红点；头后背正中常有浅绿色脊线，上颌缘及四肢有深棕色纹</w:t>
            </w:r>
            <w:r>
              <w:rPr>
                <w:rFonts w:hint="default" w:ascii="Times New Roman" w:hAnsi="Times New Roman" w:eastAsia="宋体" w:cs="Times New Roman"/>
                <w:bCs/>
                <w:caps w:val="0"/>
                <w:smallCaps w:val="0"/>
                <w:sz w:val="18"/>
                <w:szCs w:val="18"/>
                <w:lang w:eastAsia="zh-CN"/>
              </w:rPr>
              <w:t>。喜湿、喜暗、喜暖。夜间和雨后最为活跃，以蜗牛、蛞蝓、蚂蚁、蚊子、孑孓、蝗虫、土蚕、金龟子、蝼蛄、蝇明及多种有趋光性的蛾蝶为食。雌雄异体，体外受精，体外发育，雌体产卵于浅水沟。一只雌蟾蜍年产卵</w:t>
            </w:r>
            <w:r>
              <w:rPr>
                <w:rFonts w:hint="default" w:ascii="Times New Roman" w:hAnsi="Times New Roman" w:eastAsia="宋体" w:cs="Times New Roman"/>
                <w:bCs/>
                <w:caps w:val="0"/>
                <w:smallCaps w:val="0"/>
                <w:sz w:val="18"/>
                <w:szCs w:val="18"/>
                <w:lang w:val="en-US" w:eastAsia="zh-CN"/>
              </w:rPr>
              <w:t>2-</w:t>
            </w:r>
            <w:r>
              <w:rPr>
                <w:rFonts w:hint="default" w:ascii="Times New Roman" w:hAnsi="Times New Roman" w:eastAsia="宋体" w:cs="Times New Roman"/>
                <w:bCs/>
                <w:caps w:val="0"/>
                <w:smallCaps w:val="0"/>
                <w:sz w:val="18"/>
                <w:szCs w:val="18"/>
                <w:lang w:eastAsia="zh-CN"/>
              </w:rPr>
              <w:t>5次，每次产卵3000</w:t>
            </w:r>
            <w:r>
              <w:rPr>
                <w:rFonts w:hint="default" w:ascii="Times New Roman" w:hAnsi="Times New Roman" w:eastAsia="宋体" w:cs="Times New Roman"/>
                <w:bCs/>
                <w:caps w:val="0"/>
                <w:smallCaps w:val="0"/>
                <w:sz w:val="18"/>
                <w:szCs w:val="18"/>
                <w:lang w:val="en-US" w:eastAsia="zh-CN"/>
              </w:rPr>
              <w:t>-</w:t>
            </w:r>
            <w:r>
              <w:rPr>
                <w:rFonts w:hint="default" w:ascii="Times New Roman" w:hAnsi="Times New Roman" w:eastAsia="宋体" w:cs="Times New Roman"/>
                <w:bCs/>
                <w:caps w:val="0"/>
                <w:smallCaps w:val="0"/>
                <w:sz w:val="18"/>
                <w:szCs w:val="18"/>
                <w:lang w:eastAsia="zh-CN"/>
              </w:rPr>
              <w:t>5000粒，每年3月产卵。</w:t>
            </w:r>
          </w:p>
        </w:tc>
        <w:tc>
          <w:tcPr>
            <w:tcW w:w="702" w:type="pct"/>
            <w:tcBorders>
              <w:tl2br w:val="nil"/>
              <w:tr2bl w:val="nil"/>
            </w:tcBorders>
            <w:noWrap w:val="0"/>
            <w:vAlign w:val="center"/>
          </w:tcPr>
          <w:p w14:paraId="1FBB8B13">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r>
              <w:rPr>
                <w:rFonts w:hint="default" w:ascii="Times New Roman" w:hAnsi="Times New Roman" w:eastAsia="宋体" w:cs="Times New Roman"/>
                <w:caps w:val="0"/>
                <w:smallCaps w:val="0"/>
                <w:sz w:val="18"/>
                <w:szCs w:val="18"/>
              </w:rPr>
              <w:t>主要分布于评价区内的田野、池沼及附近</w:t>
            </w:r>
          </w:p>
        </w:tc>
        <w:tc>
          <w:tcPr>
            <w:tcW w:w="232" w:type="pct"/>
            <w:tcBorders>
              <w:tl2br w:val="nil"/>
              <w:tr2bl w:val="nil"/>
            </w:tcBorders>
            <w:noWrap w:val="0"/>
            <w:vAlign w:val="center"/>
          </w:tcPr>
          <w:p w14:paraId="6E122C9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 w:val="0"/>
                <w:bCs/>
                <w:caps w:val="0"/>
                <w:smallCaps w:val="0"/>
                <w:sz w:val="18"/>
                <w:szCs w:val="18"/>
              </w:rPr>
              <w:t>文献记录</w:t>
            </w:r>
          </w:p>
        </w:tc>
        <w:tc>
          <w:tcPr>
            <w:tcW w:w="515" w:type="pct"/>
            <w:tcBorders>
              <w:tl2br w:val="nil"/>
              <w:tr2bl w:val="nil"/>
            </w:tcBorders>
            <w:noWrap w:val="0"/>
            <w:vAlign w:val="center"/>
          </w:tcPr>
          <w:p w14:paraId="73AFB08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否，工程不占用水域，田野及坑塘区域分布在工程周边</w:t>
            </w:r>
          </w:p>
        </w:tc>
      </w:tr>
      <w:tr w14:paraId="1CDF61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3F5085BF">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p>
        </w:tc>
        <w:tc>
          <w:tcPr>
            <w:tcW w:w="475" w:type="pct"/>
            <w:tcBorders>
              <w:tl2br w:val="nil"/>
              <w:tr2bl w:val="nil"/>
            </w:tcBorders>
            <w:noWrap w:val="0"/>
            <w:vAlign w:val="center"/>
          </w:tcPr>
          <w:p w14:paraId="5D71BFC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rPr>
            </w:pPr>
            <w:r>
              <w:rPr>
                <w:rFonts w:hint="default" w:ascii="Times New Roman" w:hAnsi="Times New Roman" w:eastAsia="宋体" w:cs="Times New Roman"/>
                <w:caps w:val="0"/>
                <w:smallCaps w:val="0"/>
                <w:color w:val="auto"/>
                <w:kern w:val="0"/>
                <w:sz w:val="18"/>
                <w:szCs w:val="18"/>
              </w:rPr>
              <w:t>黑斑侧褶蛙</w:t>
            </w:r>
            <w:r>
              <w:rPr>
                <w:rFonts w:hint="default" w:ascii="Times New Roman" w:hAnsi="Times New Roman" w:eastAsia="宋体" w:cs="Times New Roman"/>
                <w:i/>
                <w:iCs/>
                <w:caps w:val="0"/>
                <w:smallCaps w:val="0"/>
                <w:color w:val="auto"/>
                <w:sz w:val="18"/>
                <w:szCs w:val="18"/>
              </w:rPr>
              <w:t>Pelophylax nigromaculatus</w:t>
            </w:r>
          </w:p>
        </w:tc>
        <w:tc>
          <w:tcPr>
            <w:tcW w:w="237" w:type="pct"/>
            <w:tcBorders>
              <w:tl2br w:val="nil"/>
              <w:tr2bl w:val="nil"/>
            </w:tcBorders>
            <w:noWrap w:val="0"/>
            <w:vAlign w:val="center"/>
          </w:tcPr>
          <w:p w14:paraId="202D13F3">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7CF12C9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4F1109C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3078401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又名：黑斑蛙、青蛙、田鸡、青鸡、青头蛤蟆、三道眉。背面皮肤较粗糙，背侧褶明显，褶间有多行长短不一的纵肤棱，后背、肛周及股后下方有圆疣和痣粒；腹面光滑。体背面颜色多样，有淡绿色、黄绿色、深绿色、灰褐色等，杂有许多大小不一的黑横纹。白天隐蔽于草丛和泥窝内，黄昏和夜间活动；跳跃力强，一次跳跃可达1米以上。以昆虫纲、腹足纲、蛛形纲等动物为食。成蛙在10</w:t>
            </w:r>
            <w:r>
              <w:rPr>
                <w:rFonts w:hint="default" w:ascii="Times New Roman" w:hAnsi="Times New Roman" w:eastAsia="宋体" w:cs="Times New Roman"/>
                <w:bCs/>
                <w:caps w:val="0"/>
                <w:smallCaps w:val="0"/>
                <w:sz w:val="18"/>
                <w:szCs w:val="18"/>
                <w:lang w:val="en-US" w:eastAsia="zh-CN"/>
              </w:rPr>
              <w:t>-</w:t>
            </w:r>
            <w:r>
              <w:rPr>
                <w:rFonts w:hint="default" w:ascii="Times New Roman" w:hAnsi="Times New Roman" w:eastAsia="宋体" w:cs="Times New Roman"/>
                <w:bCs/>
                <w:caps w:val="0"/>
                <w:smallCaps w:val="0"/>
                <w:sz w:val="18"/>
                <w:szCs w:val="18"/>
              </w:rPr>
              <w:t>11月进入冬眠，翌年3</w:t>
            </w:r>
            <w:r>
              <w:rPr>
                <w:rFonts w:hint="default" w:ascii="Times New Roman" w:hAnsi="Times New Roman" w:eastAsia="宋体" w:cs="Times New Roman"/>
                <w:bCs/>
                <w:caps w:val="0"/>
                <w:smallCaps w:val="0"/>
                <w:sz w:val="18"/>
                <w:szCs w:val="18"/>
                <w:lang w:val="en-US" w:eastAsia="zh-CN"/>
              </w:rPr>
              <w:t>-</w:t>
            </w:r>
            <w:r>
              <w:rPr>
                <w:rFonts w:hint="default" w:ascii="Times New Roman" w:hAnsi="Times New Roman" w:eastAsia="宋体" w:cs="Times New Roman"/>
                <w:bCs/>
                <w:caps w:val="0"/>
                <w:smallCaps w:val="0"/>
                <w:sz w:val="18"/>
                <w:szCs w:val="18"/>
              </w:rPr>
              <w:t>5月出蛰。繁殖季节为3月下旬至4月，产卵于稻田、池塘浅水处，卵群成团状，每团3000</w:t>
            </w:r>
            <w:r>
              <w:rPr>
                <w:rFonts w:hint="default" w:ascii="Times New Roman" w:hAnsi="Times New Roman" w:eastAsia="宋体" w:cs="Times New Roman"/>
                <w:bCs/>
                <w:caps w:val="0"/>
                <w:smallCaps w:val="0"/>
                <w:sz w:val="18"/>
                <w:szCs w:val="18"/>
                <w:lang w:val="en-US" w:eastAsia="zh-CN"/>
              </w:rPr>
              <w:t>-</w:t>
            </w:r>
            <w:r>
              <w:rPr>
                <w:rFonts w:hint="default" w:ascii="Times New Roman" w:hAnsi="Times New Roman" w:eastAsia="宋体" w:cs="Times New Roman"/>
                <w:bCs/>
                <w:caps w:val="0"/>
                <w:smallCaps w:val="0"/>
                <w:sz w:val="18"/>
                <w:szCs w:val="18"/>
              </w:rPr>
              <w:t>5500粒。</w:t>
            </w:r>
          </w:p>
        </w:tc>
        <w:tc>
          <w:tcPr>
            <w:tcW w:w="702" w:type="pct"/>
            <w:tcBorders>
              <w:tl2br w:val="nil"/>
              <w:tr2bl w:val="nil"/>
            </w:tcBorders>
            <w:noWrap w:val="0"/>
            <w:vAlign w:val="center"/>
          </w:tcPr>
          <w:p w14:paraId="680D10D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r>
              <w:rPr>
                <w:rFonts w:hint="default" w:ascii="Times New Roman" w:hAnsi="Times New Roman" w:eastAsia="宋体" w:cs="Times New Roman"/>
                <w:caps w:val="0"/>
                <w:smallCaps w:val="0"/>
                <w:sz w:val="18"/>
                <w:szCs w:val="18"/>
              </w:rPr>
              <w:t>主要分布于评价区内的田野、池沼及附近</w:t>
            </w:r>
          </w:p>
        </w:tc>
        <w:tc>
          <w:tcPr>
            <w:tcW w:w="232" w:type="pct"/>
            <w:tcBorders>
              <w:tl2br w:val="nil"/>
              <w:tr2bl w:val="nil"/>
            </w:tcBorders>
            <w:noWrap w:val="0"/>
            <w:vAlign w:val="center"/>
          </w:tcPr>
          <w:p w14:paraId="6E6ACFB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 w:val="0"/>
                <w:bCs/>
                <w:caps w:val="0"/>
                <w:smallCaps w:val="0"/>
                <w:sz w:val="18"/>
                <w:szCs w:val="18"/>
              </w:rPr>
              <w:t>文献记录</w:t>
            </w:r>
          </w:p>
        </w:tc>
        <w:tc>
          <w:tcPr>
            <w:tcW w:w="515" w:type="pct"/>
            <w:tcBorders>
              <w:tl2br w:val="nil"/>
              <w:tr2bl w:val="nil"/>
            </w:tcBorders>
            <w:noWrap w:val="0"/>
            <w:vAlign w:val="center"/>
          </w:tcPr>
          <w:p w14:paraId="73912C75">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lang w:val="en-US" w:eastAsia="zh-CN"/>
              </w:rPr>
              <w:t>否，工程不占用水域，田野及坑塘区域分布在工程周边</w:t>
            </w:r>
          </w:p>
        </w:tc>
      </w:tr>
      <w:tr w14:paraId="1D2D9F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4C878DC4">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698121AE">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中华鳖</w:t>
            </w:r>
          </w:p>
          <w:p w14:paraId="762D435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kern w:val="2"/>
                <w:sz w:val="18"/>
                <w:szCs w:val="18"/>
                <w:lang w:val="en-US" w:eastAsia="zh-CN" w:bidi="ar-SA"/>
              </w:rPr>
            </w:pPr>
            <w:r>
              <w:rPr>
                <w:rFonts w:hint="default" w:ascii="Times New Roman" w:hAnsi="Times New Roman" w:eastAsia="宋体" w:cs="Times New Roman"/>
                <w:b w:val="0"/>
                <w:bCs/>
                <w:i/>
                <w:iCs/>
                <w:caps w:val="0"/>
                <w:smallCaps w:val="0"/>
                <w:sz w:val="18"/>
                <w:szCs w:val="18"/>
                <w:lang w:val="en-US" w:eastAsia="zh-CN"/>
              </w:rPr>
              <w:t>Trionyx Sinensis</w:t>
            </w:r>
          </w:p>
        </w:tc>
        <w:tc>
          <w:tcPr>
            <w:tcW w:w="237" w:type="pct"/>
            <w:tcBorders>
              <w:tl2br w:val="nil"/>
              <w:tr2bl w:val="nil"/>
            </w:tcBorders>
            <w:noWrap w:val="0"/>
            <w:vAlign w:val="center"/>
          </w:tcPr>
          <w:p w14:paraId="091CCFE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kern w:val="2"/>
                <w:sz w:val="18"/>
                <w:szCs w:val="18"/>
                <w:lang w:val="en-US" w:eastAsia="zh-CN" w:bidi="ar-SA"/>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72315528">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kern w:val="2"/>
                <w:sz w:val="18"/>
                <w:szCs w:val="18"/>
                <w:lang w:val="en-US" w:eastAsia="zh-CN" w:bidi="ar-SA"/>
              </w:rPr>
            </w:pPr>
            <w:r>
              <w:rPr>
                <w:rFonts w:hint="default" w:ascii="Times New Roman" w:hAnsi="Times New Roman" w:eastAsia="宋体" w:cs="Times New Roman"/>
                <w:b w:val="0"/>
                <w:bCs/>
                <w:caps w:val="0"/>
                <w:smallCaps w:val="0"/>
                <w:sz w:val="18"/>
                <w:szCs w:val="18"/>
                <w:lang w:val="en-US" w:eastAsia="zh-CN"/>
              </w:rPr>
              <w:t>EN</w:t>
            </w:r>
          </w:p>
        </w:tc>
        <w:tc>
          <w:tcPr>
            <w:tcW w:w="316" w:type="pct"/>
            <w:tcBorders>
              <w:tl2br w:val="nil"/>
              <w:tr2bl w:val="nil"/>
            </w:tcBorders>
            <w:noWrap w:val="0"/>
            <w:vAlign w:val="center"/>
          </w:tcPr>
          <w:p w14:paraId="1EC5726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kern w:val="2"/>
                <w:sz w:val="18"/>
                <w:szCs w:val="18"/>
                <w:lang w:val="en-US" w:eastAsia="zh-CN" w:bidi="ar-SA"/>
              </w:rPr>
            </w:pPr>
            <w:r>
              <w:rPr>
                <w:rFonts w:hint="default" w:ascii="Times New Roman" w:hAnsi="Times New Roman" w:eastAsia="宋体" w:cs="Times New Roman"/>
                <w:bCs/>
                <w:caps w:val="0"/>
                <w:smallCaps w:val="0"/>
                <w:sz w:val="18"/>
                <w:szCs w:val="18"/>
                <w:lang w:val="en-US" w:eastAsia="zh-CN"/>
              </w:rPr>
              <w:t>否</w:t>
            </w:r>
          </w:p>
        </w:tc>
        <w:tc>
          <w:tcPr>
            <w:tcW w:w="2111" w:type="pct"/>
            <w:tcBorders>
              <w:tl2br w:val="nil"/>
              <w:tr2bl w:val="nil"/>
            </w:tcBorders>
            <w:noWrap w:val="0"/>
            <w:vAlign w:val="center"/>
          </w:tcPr>
          <w:p w14:paraId="140B0F6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kern w:val="2"/>
                <w:sz w:val="18"/>
                <w:szCs w:val="18"/>
                <w:lang w:val="en-US" w:eastAsia="zh-CN" w:bidi="ar-SA"/>
              </w:rPr>
            </w:pPr>
            <w:r>
              <w:rPr>
                <w:rFonts w:hint="default" w:ascii="Times New Roman" w:hAnsi="Times New Roman" w:eastAsia="宋体" w:cs="Times New Roman"/>
                <w:bCs/>
                <w:caps w:val="0"/>
                <w:smallCaps w:val="0"/>
                <w:sz w:val="18"/>
                <w:szCs w:val="18"/>
                <w:lang w:val="en-US" w:eastAsia="zh-CN"/>
              </w:rPr>
              <w:t>身体扁平，呈椭圆形；背和腹有龟甲，四肢为柔软的革质皮肤，没有角质鳞片；头部粗大，前端略呈三角形；背甲暗绿色或黄褐色，周边为肥厚的结缔组织，俗称“裙边”。生性怯懦怕声响，白天潜伏在水中或淤泥中，夜间出来觅食，比较能耐受饥饿。喜欢吃鱼虾、昆虫等，也食水草、谷类等植物性饵料，特别喜欢吃臭鱼、烂虾等腐败变质饵料。雌性在繁殖季节一般可产卵3~4次，1次产卵10枚左右，经过40~70天地温孵化。寿命为30-50年。</w:t>
            </w:r>
          </w:p>
        </w:tc>
        <w:tc>
          <w:tcPr>
            <w:tcW w:w="702" w:type="pct"/>
            <w:tcBorders>
              <w:tl2br w:val="nil"/>
              <w:tr2bl w:val="nil"/>
            </w:tcBorders>
            <w:noWrap w:val="0"/>
            <w:vAlign w:val="center"/>
          </w:tcPr>
          <w:p w14:paraId="427DF569">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r>
              <w:rPr>
                <w:rFonts w:hint="default" w:ascii="Times New Roman" w:hAnsi="Times New Roman" w:eastAsia="宋体" w:cs="Times New Roman"/>
                <w:caps w:val="0"/>
                <w:smallCaps w:val="0"/>
                <w:sz w:val="18"/>
                <w:szCs w:val="18"/>
              </w:rPr>
              <w:t>主要分布于评价区内的田野、池沼及附近</w:t>
            </w:r>
          </w:p>
        </w:tc>
        <w:tc>
          <w:tcPr>
            <w:tcW w:w="232" w:type="pct"/>
            <w:tcBorders>
              <w:tl2br w:val="nil"/>
              <w:tr2bl w:val="nil"/>
            </w:tcBorders>
            <w:noWrap w:val="0"/>
            <w:vAlign w:val="center"/>
          </w:tcPr>
          <w:p w14:paraId="5D8CF8D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文献记录</w:t>
            </w:r>
          </w:p>
        </w:tc>
        <w:tc>
          <w:tcPr>
            <w:tcW w:w="515" w:type="pct"/>
            <w:tcBorders>
              <w:tl2br w:val="nil"/>
              <w:tr2bl w:val="nil"/>
            </w:tcBorders>
            <w:noWrap w:val="0"/>
            <w:vAlign w:val="center"/>
          </w:tcPr>
          <w:p w14:paraId="6ABA5CB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lang w:val="en-US" w:eastAsia="zh-CN"/>
              </w:rPr>
              <w:t>否，工程不占用水域，田野及坑塘区域分布在工程周边</w:t>
            </w:r>
          </w:p>
        </w:tc>
      </w:tr>
      <w:tr w14:paraId="5355C5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172B2E0D">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3A9F2E5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北草蜥</w:t>
            </w:r>
          </w:p>
          <w:p w14:paraId="1E131B0E">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Takydromus septentrionalis</w:t>
            </w:r>
          </w:p>
        </w:tc>
        <w:tc>
          <w:tcPr>
            <w:tcW w:w="237" w:type="pct"/>
            <w:tcBorders>
              <w:tl2br w:val="nil"/>
              <w:tr2bl w:val="nil"/>
            </w:tcBorders>
            <w:noWrap w:val="0"/>
            <w:vAlign w:val="center"/>
          </w:tcPr>
          <w:p w14:paraId="1A0E701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21F38F9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19BC9D2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是</w:t>
            </w:r>
          </w:p>
        </w:tc>
        <w:tc>
          <w:tcPr>
            <w:tcW w:w="2111" w:type="pct"/>
            <w:tcBorders>
              <w:tl2br w:val="nil"/>
              <w:tr2bl w:val="nil"/>
            </w:tcBorders>
            <w:noWrap w:val="0"/>
            <w:vAlign w:val="center"/>
          </w:tcPr>
          <w:p w14:paraId="2E30E34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olor w:val="auto"/>
                <w:sz w:val="21"/>
                <w:szCs w:val="21"/>
                <w:lang w:val="en-US" w:eastAsia="zh-CN"/>
              </w:rPr>
              <w:t>体瘦长，尾长约为头体长的3倍；体背部中段起棱，有大棱鳞6纵行；腹部起棱大鳞8纵行，纵横排列，略呈方形；颏片3对，鼠蹊窝1对；头、体、尾及四肢背面均为棕绿色，腹面灰棕色或灰白色，眼后至肩部有1条浅纵纹；雄性背鳞外缘有1条鲜绿色纵纹，体侧杂有深色斑。昼夜活动，主要以昆虫、蚯蚓等为食；有冬眠习性，冬眠时多躲藏于草根、树根下或田埂边之土洞中，路边的石下也是良好的栖身之处；胆子很小，在受到惊扰时迅速逃跑。北草蜥卵生，卵乳白色，每次产2～6枚，5～6月份多产3～4枚，7～8月份多产2枚。</w:t>
            </w:r>
          </w:p>
        </w:tc>
        <w:tc>
          <w:tcPr>
            <w:tcW w:w="702" w:type="pct"/>
            <w:tcBorders>
              <w:tl2br w:val="nil"/>
              <w:tr2bl w:val="nil"/>
            </w:tcBorders>
            <w:noWrap w:val="0"/>
            <w:vAlign w:val="center"/>
          </w:tcPr>
          <w:p w14:paraId="0BC9656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caps w:val="0"/>
                <w:smallCaps w:val="0"/>
                <w:sz w:val="18"/>
                <w:szCs w:val="18"/>
              </w:rPr>
            </w:pPr>
            <w:r>
              <w:rPr>
                <w:rFonts w:hint="default" w:ascii="Times New Roman" w:hAnsi="Times New Roman" w:eastAsia="宋体" w:cs="Times New Roman"/>
                <w:b w:val="0"/>
                <w:bCs/>
                <w:caps w:val="0"/>
                <w:smallCaps w:val="0"/>
                <w:sz w:val="18"/>
                <w:szCs w:val="18"/>
                <w:lang w:val="en-US" w:eastAsia="zh-CN"/>
              </w:rPr>
              <w:t>主要分布于评价区内的田野、草丛或石块缝隙里</w:t>
            </w:r>
          </w:p>
        </w:tc>
        <w:tc>
          <w:tcPr>
            <w:tcW w:w="232" w:type="pct"/>
            <w:tcBorders>
              <w:tl2br w:val="nil"/>
              <w:tr2bl w:val="nil"/>
            </w:tcBorders>
            <w:noWrap w:val="0"/>
            <w:vAlign w:val="center"/>
          </w:tcPr>
          <w:p w14:paraId="69B3141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 w:val="0"/>
                <w:bCs/>
                <w:caps w:val="0"/>
                <w:smallCaps w:val="0"/>
                <w:sz w:val="18"/>
                <w:szCs w:val="18"/>
              </w:rPr>
              <w:t>文献记录</w:t>
            </w:r>
          </w:p>
        </w:tc>
        <w:tc>
          <w:tcPr>
            <w:tcW w:w="515" w:type="pct"/>
            <w:tcBorders>
              <w:tl2br w:val="nil"/>
              <w:tr2bl w:val="nil"/>
            </w:tcBorders>
            <w:noWrap w:val="0"/>
            <w:vAlign w:val="center"/>
          </w:tcPr>
          <w:p w14:paraId="1C5D602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否，工程不占用其主要生境，适生区域分布在工程周边</w:t>
            </w:r>
          </w:p>
        </w:tc>
      </w:tr>
      <w:tr w14:paraId="0807A3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2E12ED35">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7381A9E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多疣壁虎</w:t>
            </w:r>
          </w:p>
          <w:p w14:paraId="2A888D58">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Gekko japonicus</w:t>
            </w:r>
          </w:p>
        </w:tc>
        <w:tc>
          <w:tcPr>
            <w:tcW w:w="237" w:type="pct"/>
            <w:tcBorders>
              <w:tl2br w:val="nil"/>
              <w:tr2bl w:val="nil"/>
            </w:tcBorders>
            <w:noWrap w:val="0"/>
            <w:vAlign w:val="center"/>
          </w:tcPr>
          <w:p w14:paraId="7EB41D75">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74B60D3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6A9A15F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w:t>
            </w:r>
          </w:p>
        </w:tc>
        <w:tc>
          <w:tcPr>
            <w:tcW w:w="2111" w:type="pct"/>
            <w:tcBorders>
              <w:tl2br w:val="nil"/>
              <w:tr2bl w:val="nil"/>
            </w:tcBorders>
            <w:noWrap w:val="0"/>
            <w:vAlign w:val="center"/>
          </w:tcPr>
          <w:p w14:paraId="4C6CAAF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体形中等，头体扁平。头中等大，卵圆形。吻斜扁，除吻鼻部鳞稍大外，其余均为粒鳞，二额中部稍凹。4月出蛰，夜间活动，夏秋之季活动频繁，常于19时至清晨6时进行觅食。主要以各种昆虫、蜘蛛为食。</w:t>
            </w:r>
          </w:p>
        </w:tc>
        <w:tc>
          <w:tcPr>
            <w:tcW w:w="702" w:type="pct"/>
            <w:tcBorders>
              <w:tl2br w:val="nil"/>
              <w:tr2bl w:val="nil"/>
            </w:tcBorders>
            <w:noWrap w:val="0"/>
            <w:vAlign w:val="center"/>
          </w:tcPr>
          <w:p w14:paraId="440C6B9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主要分布于评价区内的建筑物内及附近地区</w:t>
            </w:r>
          </w:p>
        </w:tc>
        <w:tc>
          <w:tcPr>
            <w:tcW w:w="232" w:type="pct"/>
            <w:tcBorders>
              <w:tl2br w:val="nil"/>
              <w:tr2bl w:val="nil"/>
            </w:tcBorders>
            <w:noWrap w:val="0"/>
            <w:vAlign w:val="center"/>
          </w:tcPr>
          <w:p w14:paraId="4A2AB71E">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现场调查</w:t>
            </w:r>
          </w:p>
        </w:tc>
        <w:tc>
          <w:tcPr>
            <w:tcW w:w="515" w:type="pct"/>
            <w:tcBorders>
              <w:tl2br w:val="nil"/>
              <w:tr2bl w:val="nil"/>
            </w:tcBorders>
            <w:noWrap w:val="0"/>
            <w:vAlign w:val="center"/>
          </w:tcPr>
          <w:p w14:paraId="5ADC9B5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否，工程不占用其主要生境，适生区域分布在工程周边</w:t>
            </w:r>
          </w:p>
        </w:tc>
      </w:tr>
      <w:tr w14:paraId="4C57B0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6935F6DF">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20E156C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中国石龙子</w:t>
            </w:r>
          </w:p>
          <w:p w14:paraId="4EFA0C4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Plestiodon chinensis</w:t>
            </w:r>
          </w:p>
        </w:tc>
        <w:tc>
          <w:tcPr>
            <w:tcW w:w="237" w:type="pct"/>
            <w:tcBorders>
              <w:tl2br w:val="nil"/>
              <w:tr2bl w:val="nil"/>
            </w:tcBorders>
            <w:noWrap w:val="0"/>
            <w:vAlign w:val="center"/>
          </w:tcPr>
          <w:p w14:paraId="54841EA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0E6B7BF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2E630ED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w:t>
            </w:r>
          </w:p>
        </w:tc>
        <w:tc>
          <w:tcPr>
            <w:tcW w:w="2111" w:type="pct"/>
            <w:tcBorders>
              <w:tl2br w:val="nil"/>
              <w:tr2bl w:val="nil"/>
            </w:tcBorders>
            <w:noWrap w:val="0"/>
            <w:vAlign w:val="center"/>
          </w:tcPr>
          <w:p w14:paraId="1BF3A295">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又名有山龙子、四脚蛇、中国石龙蜥、猪婆蛇、石龙子、石龙蜥、山弹、泉龙。周身被有覆瓦状排列的细鳞，鳞片质薄而光滑；吻端圆凸；鼻孔1对，眼分列于头部两侧；舌短，稍分叉；四肢发达，尾细长，末端尖锐。体背黄铜色，有金属光泽，鳞片周围淡灰色，略现网状斑纹。以各种无脊椎动物如金龟子、蝼蛄、地老虎、天牛、蝗虫、蝽象、叩头虫及蛾类幼虫为食，亦吞食小蛙、幼蜥等脊椎动物。刚出眠时多在中午活动，夏季自清晨至傍晚均在外活动觅食。秋季则全天活动觅食。卵生，每次产卵5-9枚，多者可达16枚。</w:t>
            </w:r>
          </w:p>
        </w:tc>
        <w:tc>
          <w:tcPr>
            <w:tcW w:w="702" w:type="pct"/>
            <w:tcBorders>
              <w:tl2br w:val="nil"/>
              <w:tr2bl w:val="nil"/>
            </w:tcBorders>
            <w:noWrap w:val="0"/>
            <w:vAlign w:val="center"/>
          </w:tcPr>
          <w:p w14:paraId="5481E92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主要分布于评价区内的田野、草丛或石块缝隙里</w:t>
            </w:r>
          </w:p>
        </w:tc>
        <w:tc>
          <w:tcPr>
            <w:tcW w:w="232" w:type="pct"/>
            <w:tcBorders>
              <w:tl2br w:val="nil"/>
              <w:tr2bl w:val="nil"/>
            </w:tcBorders>
            <w:noWrap w:val="0"/>
            <w:vAlign w:val="center"/>
          </w:tcPr>
          <w:p w14:paraId="4E58D27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 w:val="0"/>
                <w:bCs/>
                <w:caps w:val="0"/>
                <w:smallCaps w:val="0"/>
                <w:sz w:val="18"/>
                <w:szCs w:val="18"/>
              </w:rPr>
              <w:t>文献记录</w:t>
            </w:r>
          </w:p>
        </w:tc>
        <w:tc>
          <w:tcPr>
            <w:tcW w:w="515" w:type="pct"/>
            <w:tcBorders>
              <w:tl2br w:val="nil"/>
              <w:tr2bl w:val="nil"/>
            </w:tcBorders>
            <w:noWrap w:val="0"/>
            <w:vAlign w:val="center"/>
          </w:tcPr>
          <w:p w14:paraId="26A73D8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否，工程不占用其主要生境，适生区域分布在工程周边</w:t>
            </w:r>
          </w:p>
        </w:tc>
      </w:tr>
      <w:tr w14:paraId="07D605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2E91C5E1">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678AB26E">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赤链蛇</w:t>
            </w:r>
          </w:p>
          <w:p w14:paraId="7435BDF5">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kern w:val="2"/>
                <w:sz w:val="18"/>
                <w:szCs w:val="18"/>
                <w:lang w:val="en-US" w:eastAsia="zh-CN" w:bidi="ar-SA"/>
              </w:rPr>
            </w:pPr>
            <w:r>
              <w:rPr>
                <w:rFonts w:hint="default" w:ascii="Times New Roman" w:hAnsi="Times New Roman" w:eastAsia="宋体" w:cs="Times New Roman"/>
                <w:b w:val="0"/>
                <w:bCs/>
                <w:i/>
                <w:iCs/>
                <w:caps w:val="0"/>
                <w:smallCaps w:val="0"/>
                <w:sz w:val="18"/>
                <w:szCs w:val="18"/>
                <w:lang w:val="en-US" w:eastAsia="zh-CN"/>
              </w:rPr>
              <w:t>Lycodon rufozonatus</w:t>
            </w:r>
          </w:p>
        </w:tc>
        <w:tc>
          <w:tcPr>
            <w:tcW w:w="237" w:type="pct"/>
            <w:tcBorders>
              <w:tl2br w:val="nil"/>
              <w:tr2bl w:val="nil"/>
            </w:tcBorders>
            <w:noWrap w:val="0"/>
            <w:vAlign w:val="center"/>
          </w:tcPr>
          <w:p w14:paraId="5464FFFE">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kern w:val="2"/>
                <w:sz w:val="18"/>
                <w:szCs w:val="18"/>
                <w:lang w:val="en-US" w:eastAsia="zh-CN" w:bidi="ar-SA"/>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55B5ED2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kern w:val="2"/>
                <w:sz w:val="18"/>
                <w:szCs w:val="18"/>
                <w:lang w:val="en-US" w:eastAsia="zh-CN" w:bidi="ar-SA"/>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61376B1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kern w:val="2"/>
                <w:sz w:val="18"/>
                <w:szCs w:val="18"/>
                <w:lang w:val="en-US" w:eastAsia="zh-CN" w:bidi="ar-SA"/>
              </w:rPr>
            </w:pPr>
            <w:r>
              <w:rPr>
                <w:rFonts w:hint="default" w:ascii="Times New Roman" w:hAnsi="Times New Roman" w:eastAsia="宋体" w:cs="Times New Roman"/>
                <w:bCs/>
                <w:caps w:val="0"/>
                <w:smallCaps w:val="0"/>
                <w:sz w:val="18"/>
                <w:szCs w:val="18"/>
                <w:lang w:val="en-US" w:eastAsia="zh-CN"/>
              </w:rPr>
              <w:t>否</w:t>
            </w:r>
          </w:p>
        </w:tc>
        <w:tc>
          <w:tcPr>
            <w:tcW w:w="2111" w:type="pct"/>
            <w:tcBorders>
              <w:tl2br w:val="nil"/>
              <w:tr2bl w:val="nil"/>
            </w:tcBorders>
            <w:noWrap w:val="0"/>
            <w:vAlign w:val="center"/>
          </w:tcPr>
          <w:p w14:paraId="769E7E5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kern w:val="2"/>
                <w:sz w:val="18"/>
                <w:szCs w:val="18"/>
                <w:lang w:val="en-US" w:eastAsia="zh-CN" w:bidi="ar-SA"/>
              </w:rPr>
            </w:pPr>
            <w:r>
              <w:rPr>
                <w:rFonts w:hint="default" w:ascii="Times New Roman" w:hAnsi="Times New Roman" w:eastAsia="宋体" w:cs="Times New Roman"/>
                <w:bCs/>
                <w:caps w:val="0"/>
                <w:smallCaps w:val="0"/>
                <w:sz w:val="18"/>
                <w:szCs w:val="18"/>
                <w:lang w:val="en-US" w:eastAsia="zh-CN"/>
              </w:rPr>
              <w:t>吻较前突且宽圆。头较宽且甚扁，与颈可区分。颊鳞1枚，细长。头背黑褐色，鳞沟红色。枕部具倒“V”形红色斑。体、尾背面黑褐色，具约等距排列的红色横斑。头、尾腹面污白色，腹鳞两侧散布少数黑褐色点斑。多于傍晚出没于水源地附近。食性极广，捕食鱼类、蛙类、蛇类、蜥蜴、小型哺乳动物、鸟类等。多于傍晚或夜间活动觅食。遇到敌害时头常缩成近似三角形并摇动尾巴警告，如警告敌害无效，会弯成“S”型并发起攻击，野生性情个体较凶猛。</w:t>
            </w:r>
          </w:p>
        </w:tc>
        <w:tc>
          <w:tcPr>
            <w:tcW w:w="702" w:type="pct"/>
            <w:tcBorders>
              <w:tl2br w:val="nil"/>
              <w:tr2bl w:val="nil"/>
            </w:tcBorders>
            <w:noWrap w:val="0"/>
            <w:vAlign w:val="center"/>
          </w:tcPr>
          <w:p w14:paraId="0D75B63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主要分布于评价区内的田野、村舍附近</w:t>
            </w:r>
          </w:p>
        </w:tc>
        <w:tc>
          <w:tcPr>
            <w:tcW w:w="232" w:type="pct"/>
            <w:tcBorders>
              <w:tl2br w:val="nil"/>
              <w:tr2bl w:val="nil"/>
            </w:tcBorders>
            <w:noWrap w:val="0"/>
            <w:vAlign w:val="center"/>
          </w:tcPr>
          <w:p w14:paraId="1E6CB650">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 w:val="0"/>
                <w:bCs/>
                <w:caps w:val="0"/>
                <w:smallCaps w:val="0"/>
                <w:sz w:val="18"/>
                <w:szCs w:val="18"/>
              </w:rPr>
              <w:t>文献记录</w:t>
            </w:r>
          </w:p>
        </w:tc>
        <w:tc>
          <w:tcPr>
            <w:tcW w:w="515" w:type="pct"/>
            <w:vMerge w:val="restart"/>
            <w:tcBorders>
              <w:tl2br w:val="nil"/>
              <w:tr2bl w:val="nil"/>
            </w:tcBorders>
            <w:noWrap w:val="0"/>
            <w:vAlign w:val="center"/>
          </w:tcPr>
          <w:p w14:paraId="6040297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否，工程不占用其主要生境，适生区域分布在工程周边</w:t>
            </w:r>
          </w:p>
        </w:tc>
      </w:tr>
      <w:tr w14:paraId="5412BD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0BCF3212">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059E8A1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短尾蝮</w:t>
            </w:r>
          </w:p>
          <w:p w14:paraId="3AB384F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Gloydius brevicaudus</w:t>
            </w:r>
          </w:p>
        </w:tc>
        <w:tc>
          <w:tcPr>
            <w:tcW w:w="237" w:type="pct"/>
            <w:tcBorders>
              <w:tl2br w:val="nil"/>
              <w:tr2bl w:val="nil"/>
            </w:tcBorders>
            <w:noWrap w:val="0"/>
            <w:vAlign w:val="center"/>
          </w:tcPr>
          <w:p w14:paraId="4402EDB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0D60649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461239C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w:t>
            </w:r>
          </w:p>
        </w:tc>
        <w:tc>
          <w:tcPr>
            <w:tcW w:w="2111" w:type="pct"/>
            <w:tcBorders>
              <w:tl2br w:val="nil"/>
              <w:tr2bl w:val="nil"/>
            </w:tcBorders>
            <w:noWrap w:val="0"/>
            <w:vAlign w:val="center"/>
          </w:tcPr>
          <w:p w14:paraId="4B702AB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体型短粗，头略呈三角形，与颈区分明显。头侧具1条黑色或黑褐色眉纹，上、下缘镶白边。通身背面黄褐色、灰褐色、黑褐色或肉红色。身体两侧各具1行大圆斑，圆斑在脊部交错或并列，少数融合。捕食鱼类、蛙类、蜥蜴、小型哺乳动物等。</w:t>
            </w:r>
          </w:p>
        </w:tc>
        <w:tc>
          <w:tcPr>
            <w:tcW w:w="702" w:type="pct"/>
            <w:tcBorders>
              <w:tl2br w:val="nil"/>
              <w:tr2bl w:val="nil"/>
            </w:tcBorders>
            <w:noWrap w:val="0"/>
            <w:vAlign w:val="center"/>
          </w:tcPr>
          <w:p w14:paraId="5CDD053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主要分布于评价区内的草丛中，活动于耕作区、沟渠、路边和村落周围</w:t>
            </w:r>
          </w:p>
        </w:tc>
        <w:tc>
          <w:tcPr>
            <w:tcW w:w="232" w:type="pct"/>
            <w:tcBorders>
              <w:tl2br w:val="nil"/>
              <w:tr2bl w:val="nil"/>
            </w:tcBorders>
            <w:noWrap w:val="0"/>
            <w:vAlign w:val="center"/>
          </w:tcPr>
          <w:p w14:paraId="613245D3">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rPr>
              <w:t>文献记录</w:t>
            </w:r>
          </w:p>
        </w:tc>
        <w:tc>
          <w:tcPr>
            <w:tcW w:w="515" w:type="pct"/>
            <w:vMerge w:val="continue"/>
            <w:tcBorders>
              <w:tl2br w:val="nil"/>
              <w:tr2bl w:val="nil"/>
            </w:tcBorders>
            <w:noWrap w:val="0"/>
            <w:vAlign w:val="center"/>
          </w:tcPr>
          <w:p w14:paraId="7977BE8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r>
      <w:tr w14:paraId="16AB13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74E73817">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3508439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中国小头蛇</w:t>
            </w:r>
          </w:p>
          <w:p w14:paraId="185C0CDE">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Oligodon chinensis</w:t>
            </w:r>
          </w:p>
        </w:tc>
        <w:tc>
          <w:tcPr>
            <w:tcW w:w="237" w:type="pct"/>
            <w:tcBorders>
              <w:tl2br w:val="nil"/>
              <w:tr2bl w:val="nil"/>
            </w:tcBorders>
            <w:noWrap w:val="0"/>
            <w:vAlign w:val="center"/>
          </w:tcPr>
          <w:p w14:paraId="02060E3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034A002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0CC0C41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w:t>
            </w:r>
          </w:p>
        </w:tc>
        <w:tc>
          <w:tcPr>
            <w:tcW w:w="2111" w:type="pct"/>
            <w:tcBorders>
              <w:tl2br w:val="nil"/>
              <w:tr2bl w:val="nil"/>
            </w:tcBorders>
            <w:noWrap w:val="0"/>
            <w:vAlign w:val="center"/>
          </w:tcPr>
          <w:p w14:paraId="6E97CEA8">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头小，吻稍尖，瞳孔圆，背鳞无棱光滑，腹鳞有侧棱。头背面和侧面，第5至第6枚上唇鳞贯眼到前额鳞和额鳞前缘处，有一黑褐色八字纹；自额鳞后角始，向颈两侧延伸形成一“人”形黑褐纹。具有夜行性，以小型脊椎动物或其卵为食。它们有时会进入家屋寻找食物。</w:t>
            </w:r>
          </w:p>
        </w:tc>
        <w:tc>
          <w:tcPr>
            <w:tcW w:w="702" w:type="pct"/>
            <w:tcBorders>
              <w:tl2br w:val="nil"/>
              <w:tr2bl w:val="nil"/>
            </w:tcBorders>
            <w:noWrap w:val="0"/>
            <w:vAlign w:val="center"/>
          </w:tcPr>
          <w:p w14:paraId="570E07B3">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主要分布于评价区内的林地或农耕地</w:t>
            </w:r>
          </w:p>
        </w:tc>
        <w:tc>
          <w:tcPr>
            <w:tcW w:w="232" w:type="pct"/>
            <w:tcBorders>
              <w:tl2br w:val="nil"/>
              <w:tr2bl w:val="nil"/>
            </w:tcBorders>
            <w:noWrap w:val="0"/>
            <w:vAlign w:val="center"/>
          </w:tcPr>
          <w:p w14:paraId="4585E4C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rPr>
              <w:t>文献记录</w:t>
            </w:r>
          </w:p>
        </w:tc>
        <w:tc>
          <w:tcPr>
            <w:tcW w:w="515" w:type="pct"/>
            <w:vMerge w:val="continue"/>
            <w:tcBorders>
              <w:tl2br w:val="nil"/>
              <w:tr2bl w:val="nil"/>
            </w:tcBorders>
            <w:noWrap w:val="0"/>
            <w:vAlign w:val="center"/>
          </w:tcPr>
          <w:p w14:paraId="23D3BA0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r>
      <w:tr w14:paraId="3575DB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319006B0">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784571E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银环蛇</w:t>
            </w:r>
          </w:p>
          <w:p w14:paraId="1859537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Bungarusmulticinctus</w:t>
            </w:r>
          </w:p>
        </w:tc>
        <w:tc>
          <w:tcPr>
            <w:tcW w:w="237" w:type="pct"/>
            <w:tcBorders>
              <w:tl2br w:val="nil"/>
              <w:tr2bl w:val="nil"/>
            </w:tcBorders>
            <w:noWrap w:val="0"/>
            <w:vAlign w:val="center"/>
          </w:tcPr>
          <w:p w14:paraId="699C1C4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51DD7AB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13F79EF8">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w:t>
            </w:r>
          </w:p>
        </w:tc>
        <w:tc>
          <w:tcPr>
            <w:tcW w:w="2111" w:type="pct"/>
            <w:tcBorders>
              <w:tl2br w:val="nil"/>
              <w:tr2bl w:val="nil"/>
            </w:tcBorders>
            <w:noWrap w:val="0"/>
            <w:vAlign w:val="center"/>
          </w:tcPr>
          <w:p w14:paraId="6BFD920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体型中等偏大，成年个体通常身长介于0.6至1.2米之间。其最显著的特征是在黑色背景上有数十个白色或银白色的横纹，这些横纹环绕整个躯体，使其外观极为醒目。银环蛇的腹面通常为乳白色，头部椭圆形而略扁，眼睛小，瞳孔圆形，尾部相对较短且末端尖细。以其他蛇类（包括非毒蛇和小型毒蛇）、小型哺乳动物、蛙类等为食，其捕食方式主要依赖于强有力的神经毒素。</w:t>
            </w:r>
          </w:p>
        </w:tc>
        <w:tc>
          <w:tcPr>
            <w:tcW w:w="702" w:type="pct"/>
            <w:tcBorders>
              <w:tl2br w:val="nil"/>
              <w:tr2bl w:val="nil"/>
            </w:tcBorders>
            <w:noWrap w:val="0"/>
            <w:vAlign w:val="center"/>
          </w:tcPr>
          <w:p w14:paraId="0901BA5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主要分布于评价区内的稻田、灌丛、林缘和村边等</w:t>
            </w:r>
          </w:p>
        </w:tc>
        <w:tc>
          <w:tcPr>
            <w:tcW w:w="232" w:type="pct"/>
            <w:tcBorders>
              <w:tl2br w:val="nil"/>
              <w:tr2bl w:val="nil"/>
            </w:tcBorders>
            <w:noWrap w:val="0"/>
            <w:vAlign w:val="center"/>
          </w:tcPr>
          <w:p w14:paraId="54F23A28">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rPr>
              <w:t>文献记录</w:t>
            </w:r>
          </w:p>
        </w:tc>
        <w:tc>
          <w:tcPr>
            <w:tcW w:w="515" w:type="pct"/>
            <w:vMerge w:val="continue"/>
            <w:tcBorders>
              <w:tl2br w:val="nil"/>
              <w:tr2bl w:val="nil"/>
            </w:tcBorders>
            <w:noWrap w:val="0"/>
            <w:vAlign w:val="center"/>
          </w:tcPr>
          <w:p w14:paraId="5439C1B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r>
      <w:tr w14:paraId="052D55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11897C2E">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1B63A3C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虎斑颈槽蛇</w:t>
            </w:r>
          </w:p>
          <w:p w14:paraId="7AA46FC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Rhabdophis tigrinus</w:t>
            </w:r>
          </w:p>
        </w:tc>
        <w:tc>
          <w:tcPr>
            <w:tcW w:w="237" w:type="pct"/>
            <w:tcBorders>
              <w:tl2br w:val="nil"/>
              <w:tr2bl w:val="nil"/>
            </w:tcBorders>
            <w:noWrap w:val="0"/>
            <w:vAlign w:val="center"/>
          </w:tcPr>
          <w:p w14:paraId="11300869">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60D05BB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550D4F13">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w:t>
            </w:r>
          </w:p>
        </w:tc>
        <w:tc>
          <w:tcPr>
            <w:tcW w:w="2111" w:type="pct"/>
            <w:tcBorders>
              <w:tl2br w:val="nil"/>
              <w:tr2bl w:val="nil"/>
            </w:tcBorders>
            <w:noWrap w:val="0"/>
            <w:vAlign w:val="center"/>
          </w:tcPr>
          <w:p w14:paraId="2B9B7CA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体型中等偏小，头椭圆形，与颈区分明显。颈背正中2行背鳞间具1个纵行浅凹槽。体侧斑纹两色间隔。通身背面橄榄绿色或草绿色或浅蓝色或蓝色（底色变异较大），体前段两侧具常呈方形的粗大的黑色与橘红色斑块，相间排列，后段犹可见黑色斑块，橘红色则渐趋消失。以鱼类、蛙类、蟾蜍等为食。受惊扰时体前段膨扁且竖起。</w:t>
            </w:r>
          </w:p>
        </w:tc>
        <w:tc>
          <w:tcPr>
            <w:tcW w:w="702" w:type="pct"/>
            <w:tcBorders>
              <w:tl2br w:val="nil"/>
              <w:tr2bl w:val="nil"/>
            </w:tcBorders>
            <w:noWrap w:val="0"/>
            <w:vAlign w:val="center"/>
          </w:tcPr>
          <w:p w14:paraId="1BC8D33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主要分布于评价区内的山地、农田、水边及林地边缘</w:t>
            </w:r>
          </w:p>
        </w:tc>
        <w:tc>
          <w:tcPr>
            <w:tcW w:w="232" w:type="pct"/>
            <w:tcBorders>
              <w:tl2br w:val="nil"/>
              <w:tr2bl w:val="nil"/>
            </w:tcBorders>
            <w:noWrap w:val="0"/>
            <w:vAlign w:val="center"/>
          </w:tcPr>
          <w:p w14:paraId="07AAFEE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rPr>
              <w:t>文献记录</w:t>
            </w:r>
          </w:p>
        </w:tc>
        <w:tc>
          <w:tcPr>
            <w:tcW w:w="515" w:type="pct"/>
            <w:vMerge w:val="restart"/>
            <w:tcBorders>
              <w:tl2br w:val="nil"/>
              <w:tr2bl w:val="nil"/>
            </w:tcBorders>
            <w:noWrap w:val="0"/>
            <w:vAlign w:val="center"/>
          </w:tcPr>
          <w:p w14:paraId="678E479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否，工程不占用其主要生境，适生区域分布在工程周边</w:t>
            </w:r>
          </w:p>
        </w:tc>
      </w:tr>
      <w:tr w14:paraId="0BB7D1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0165C94D">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0B84CD58">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乌华游蛇</w:t>
            </w:r>
          </w:p>
          <w:p w14:paraId="01D0DF2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Trimerodytes percarinatus</w:t>
            </w:r>
          </w:p>
        </w:tc>
        <w:tc>
          <w:tcPr>
            <w:tcW w:w="237" w:type="pct"/>
            <w:tcBorders>
              <w:tl2br w:val="nil"/>
              <w:tr2bl w:val="nil"/>
            </w:tcBorders>
            <w:noWrap w:val="0"/>
            <w:vAlign w:val="center"/>
          </w:tcPr>
          <w:p w14:paraId="3AA3CBC8">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32BD786E">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3485E94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w:t>
            </w:r>
          </w:p>
        </w:tc>
        <w:tc>
          <w:tcPr>
            <w:tcW w:w="2111" w:type="pct"/>
            <w:tcBorders>
              <w:tl2br w:val="nil"/>
              <w:tr2bl w:val="nil"/>
            </w:tcBorders>
            <w:noWrap w:val="0"/>
            <w:vAlign w:val="center"/>
          </w:tcPr>
          <w:p w14:paraId="53E54C75">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头部呈椭圆形，与颈区分明显。 鼻孔背侧位。头背橄榄灰色，头腹灰白色。体、尾背面暗橄榄绿色，体侧浅橘红色，具若干不甚明显的黑褐色横纹。半水栖生活。常出没于稻田、水塘、溪流等水源地附近捕食鱼类、蛙类等。</w:t>
            </w:r>
          </w:p>
        </w:tc>
        <w:tc>
          <w:tcPr>
            <w:tcW w:w="702" w:type="pct"/>
            <w:tcBorders>
              <w:tl2br w:val="nil"/>
              <w:tr2bl w:val="nil"/>
            </w:tcBorders>
            <w:noWrap w:val="0"/>
            <w:vAlign w:val="center"/>
          </w:tcPr>
          <w:p w14:paraId="474B1FFE">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主要分布于评价区内的</w:t>
            </w:r>
            <w:r>
              <w:rPr>
                <w:rFonts w:hint="default" w:ascii="Times New Roman" w:hAnsi="Times New Roman" w:eastAsia="宋体" w:cs="Times New Roman"/>
                <w:bCs/>
                <w:caps w:val="0"/>
                <w:smallCaps w:val="0"/>
                <w:sz w:val="18"/>
                <w:szCs w:val="18"/>
                <w:lang w:val="en-US" w:eastAsia="zh-CN"/>
              </w:rPr>
              <w:t>稻田、水塘、溪流等水源地附近</w:t>
            </w:r>
          </w:p>
        </w:tc>
        <w:tc>
          <w:tcPr>
            <w:tcW w:w="232" w:type="pct"/>
            <w:tcBorders>
              <w:tl2br w:val="nil"/>
              <w:tr2bl w:val="nil"/>
            </w:tcBorders>
            <w:noWrap w:val="0"/>
            <w:vAlign w:val="center"/>
          </w:tcPr>
          <w:p w14:paraId="23F1319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rPr>
              <w:t>文献记录</w:t>
            </w:r>
          </w:p>
        </w:tc>
        <w:tc>
          <w:tcPr>
            <w:tcW w:w="515" w:type="pct"/>
            <w:vMerge w:val="continue"/>
            <w:tcBorders>
              <w:tl2br w:val="nil"/>
              <w:tr2bl w:val="nil"/>
            </w:tcBorders>
            <w:noWrap w:val="0"/>
            <w:vAlign w:val="center"/>
          </w:tcPr>
          <w:p w14:paraId="5E60772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r>
      <w:tr w14:paraId="77FA4D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47327383">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08AB2EB0">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乌梢蛇</w:t>
            </w:r>
          </w:p>
          <w:p w14:paraId="7D81BEA3">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Zaocys dhumnades</w:t>
            </w:r>
          </w:p>
        </w:tc>
        <w:tc>
          <w:tcPr>
            <w:tcW w:w="237" w:type="pct"/>
            <w:tcBorders>
              <w:tl2br w:val="nil"/>
              <w:tr2bl w:val="nil"/>
            </w:tcBorders>
            <w:noWrap w:val="0"/>
            <w:vAlign w:val="center"/>
          </w:tcPr>
          <w:p w14:paraId="6C2A8E63">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369BD4D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VU</w:t>
            </w:r>
          </w:p>
        </w:tc>
        <w:tc>
          <w:tcPr>
            <w:tcW w:w="316" w:type="pct"/>
            <w:tcBorders>
              <w:tl2br w:val="nil"/>
              <w:tr2bl w:val="nil"/>
            </w:tcBorders>
            <w:noWrap w:val="0"/>
            <w:vAlign w:val="center"/>
          </w:tcPr>
          <w:p w14:paraId="2627CAD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w:t>
            </w:r>
          </w:p>
        </w:tc>
        <w:tc>
          <w:tcPr>
            <w:tcW w:w="2111" w:type="pct"/>
            <w:tcBorders>
              <w:tl2br w:val="nil"/>
              <w:tr2bl w:val="nil"/>
            </w:tcBorders>
            <w:noWrap w:val="0"/>
            <w:vAlign w:val="center"/>
          </w:tcPr>
          <w:p w14:paraId="4778A80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体背面棕黑色或绿褐色到黑褐色，密被菱形鳞片；上唇及喉部淡黄色；背脊两侧有两条褐色纵纹；成年个体黑纵线在体后逐渐不显；腹鳞灰白色；幼蛇背面鲜绿色，有四条黑线纵贯全身。尾部渐细而长；头颈区别显著；吻鳞自头背可见，宽大于高；鼻间鳞为前额鳞长的三分之二；顶鳞后有两枚稍大的鳞片；上唇鳞有8枚；下唇鳞有8—10枚；背鳞鳞行成偶数；肛鳞二行。白昼活动，行动敏捷。以鱼、蛙、蜥蜴、鼠等为食。秋末冬初进入土穴中冬眠，一般每年春末夏初出蛰活动。雌蛇于5—8月产卵，多产在石堆的石穴间，每次产卵5—7枚，卵椭圆形。</w:t>
            </w:r>
          </w:p>
        </w:tc>
        <w:tc>
          <w:tcPr>
            <w:tcW w:w="702" w:type="pct"/>
            <w:vMerge w:val="restart"/>
            <w:tcBorders>
              <w:tl2br w:val="nil"/>
              <w:tr2bl w:val="nil"/>
            </w:tcBorders>
            <w:noWrap w:val="0"/>
            <w:vAlign w:val="center"/>
          </w:tcPr>
          <w:p w14:paraId="3EC78EAE">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主要分布于评价区内的田野、水岸、灌丛、草地、林下、民宅周围</w:t>
            </w:r>
          </w:p>
        </w:tc>
        <w:tc>
          <w:tcPr>
            <w:tcW w:w="232" w:type="pct"/>
            <w:tcBorders>
              <w:tl2br w:val="nil"/>
              <w:tr2bl w:val="nil"/>
            </w:tcBorders>
            <w:noWrap w:val="0"/>
            <w:vAlign w:val="center"/>
          </w:tcPr>
          <w:p w14:paraId="0CFDC58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rPr>
              <w:t>文献记录</w:t>
            </w:r>
          </w:p>
        </w:tc>
        <w:tc>
          <w:tcPr>
            <w:tcW w:w="515" w:type="pct"/>
            <w:vMerge w:val="continue"/>
            <w:tcBorders>
              <w:tl2br w:val="nil"/>
              <w:tr2bl w:val="nil"/>
            </w:tcBorders>
            <w:noWrap w:val="0"/>
            <w:vAlign w:val="center"/>
          </w:tcPr>
          <w:p w14:paraId="71B1F63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r>
      <w:tr w14:paraId="78B25E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177112B9">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348DBEE0">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黑眉锦蛇</w:t>
            </w:r>
          </w:p>
          <w:p w14:paraId="3004773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Elaphe taeniura</w:t>
            </w:r>
          </w:p>
        </w:tc>
        <w:tc>
          <w:tcPr>
            <w:tcW w:w="237" w:type="pct"/>
            <w:tcBorders>
              <w:tl2br w:val="nil"/>
              <w:tr2bl w:val="nil"/>
            </w:tcBorders>
            <w:noWrap w:val="0"/>
            <w:vAlign w:val="center"/>
          </w:tcPr>
          <w:p w14:paraId="460A5450">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70B9C23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VU</w:t>
            </w:r>
          </w:p>
        </w:tc>
        <w:tc>
          <w:tcPr>
            <w:tcW w:w="316" w:type="pct"/>
            <w:tcBorders>
              <w:tl2br w:val="nil"/>
              <w:tr2bl w:val="nil"/>
            </w:tcBorders>
            <w:noWrap w:val="0"/>
            <w:vAlign w:val="center"/>
          </w:tcPr>
          <w:p w14:paraId="1D38574E">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w:t>
            </w:r>
          </w:p>
        </w:tc>
        <w:tc>
          <w:tcPr>
            <w:tcW w:w="2111" w:type="pct"/>
            <w:tcBorders>
              <w:tl2br w:val="nil"/>
              <w:tr2bl w:val="nil"/>
            </w:tcBorders>
            <w:noWrap w:val="0"/>
            <w:vAlign w:val="center"/>
          </w:tcPr>
          <w:p w14:paraId="434BD12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体长可达2米，头和体背呈黄绿色或棕灰色；眼睛后方有明显的黑色花纹；体背的前、中段有黑色梯形或蝶状斑纹；看起来好像秤星，故又名秤星蛇；由体背中段往后斑纹逐渐消失，但中央具有数行背鳞。善攀爬，行动敏捷。主要以鼠类、麻雀及蛙类等为食。卵生，每胎2-12枚。</w:t>
            </w:r>
          </w:p>
        </w:tc>
        <w:tc>
          <w:tcPr>
            <w:tcW w:w="702" w:type="pct"/>
            <w:vMerge w:val="continue"/>
            <w:tcBorders>
              <w:tl2br w:val="nil"/>
              <w:tr2bl w:val="nil"/>
            </w:tcBorders>
            <w:noWrap w:val="0"/>
            <w:vAlign w:val="center"/>
          </w:tcPr>
          <w:p w14:paraId="41C7A62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p>
        </w:tc>
        <w:tc>
          <w:tcPr>
            <w:tcW w:w="232" w:type="pct"/>
            <w:tcBorders>
              <w:tl2br w:val="nil"/>
              <w:tr2bl w:val="nil"/>
            </w:tcBorders>
            <w:noWrap w:val="0"/>
            <w:vAlign w:val="center"/>
          </w:tcPr>
          <w:p w14:paraId="5CDEEAB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rPr>
              <w:t>文献记录</w:t>
            </w:r>
          </w:p>
        </w:tc>
        <w:tc>
          <w:tcPr>
            <w:tcW w:w="515" w:type="pct"/>
            <w:vMerge w:val="continue"/>
            <w:tcBorders>
              <w:tl2br w:val="nil"/>
              <w:tr2bl w:val="nil"/>
            </w:tcBorders>
            <w:noWrap w:val="0"/>
            <w:vAlign w:val="center"/>
          </w:tcPr>
          <w:p w14:paraId="6F215F6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r>
      <w:tr w14:paraId="3B7CB9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7099EF70">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63FF094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灰鼠蛇</w:t>
            </w:r>
          </w:p>
          <w:p w14:paraId="267503D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Ptyas korros</w:t>
            </w:r>
          </w:p>
        </w:tc>
        <w:tc>
          <w:tcPr>
            <w:tcW w:w="237" w:type="pct"/>
            <w:tcBorders>
              <w:tl2br w:val="nil"/>
              <w:tr2bl w:val="nil"/>
            </w:tcBorders>
            <w:noWrap w:val="0"/>
            <w:vAlign w:val="center"/>
          </w:tcPr>
          <w:p w14:paraId="08C50D2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5B1D22A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VU</w:t>
            </w:r>
          </w:p>
        </w:tc>
        <w:tc>
          <w:tcPr>
            <w:tcW w:w="316" w:type="pct"/>
            <w:tcBorders>
              <w:tl2br w:val="nil"/>
              <w:tr2bl w:val="nil"/>
            </w:tcBorders>
            <w:noWrap w:val="0"/>
            <w:vAlign w:val="center"/>
          </w:tcPr>
          <w:p w14:paraId="2A9774C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w:t>
            </w:r>
          </w:p>
        </w:tc>
        <w:tc>
          <w:tcPr>
            <w:tcW w:w="2111" w:type="pct"/>
            <w:tcBorders>
              <w:tl2br w:val="nil"/>
              <w:tr2bl w:val="nil"/>
            </w:tcBorders>
            <w:noWrap w:val="0"/>
            <w:vAlign w:val="center"/>
          </w:tcPr>
          <w:p w14:paraId="6274EAA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又名过树榕、过树龙。体略细长，一般在1米以上；眼大而圆。背面棕褐色或橄榄灰色，躯干后部和尾背鳞片边缘黑褐色，整体略显网纹；上唇和背面灰褐色；体中、后部每一背鳞中央有黑褐色纵线，前后缀连成黑褐色纵纹；腹面淡黄色。行动敏捷，性格温顺，胆子小，一般不主动袭击人。捕食树蛙、雨蛙、蜥蜴，也食小鸟、其它蛙类。11月开始冬眠，在田基、墓地向南的鼠洞内越冬，冬眠期随每年气温变化而有异。</w:t>
            </w:r>
          </w:p>
        </w:tc>
        <w:tc>
          <w:tcPr>
            <w:tcW w:w="702" w:type="pct"/>
            <w:tcBorders>
              <w:tl2br w:val="nil"/>
              <w:tr2bl w:val="nil"/>
            </w:tcBorders>
            <w:noWrap w:val="0"/>
            <w:vAlign w:val="center"/>
          </w:tcPr>
          <w:p w14:paraId="11BC1B3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rPr>
              <w:t>主要</w:t>
            </w:r>
            <w:r>
              <w:rPr>
                <w:rFonts w:hint="default" w:ascii="Times New Roman" w:hAnsi="Times New Roman" w:eastAsia="宋体" w:cs="Times New Roman"/>
                <w:b w:val="0"/>
                <w:bCs/>
                <w:caps w:val="0"/>
                <w:smallCaps w:val="0"/>
                <w:sz w:val="18"/>
                <w:szCs w:val="18"/>
                <w:lang w:val="en-US" w:eastAsia="zh-CN"/>
              </w:rPr>
              <w:t>分布于评价区内的</w:t>
            </w:r>
            <w:r>
              <w:rPr>
                <w:rFonts w:hint="default" w:ascii="Times New Roman" w:hAnsi="Times New Roman" w:eastAsia="宋体" w:cs="Times New Roman"/>
                <w:b w:val="0"/>
                <w:bCs/>
                <w:caps w:val="0"/>
                <w:smallCaps w:val="0"/>
                <w:sz w:val="18"/>
                <w:szCs w:val="18"/>
              </w:rPr>
              <w:t>田基、路边、沟边的灌木林</w:t>
            </w:r>
            <w:r>
              <w:rPr>
                <w:rFonts w:hint="default" w:ascii="Times New Roman" w:hAnsi="Times New Roman" w:eastAsia="宋体" w:cs="Times New Roman"/>
                <w:b w:val="0"/>
                <w:bCs/>
                <w:caps w:val="0"/>
                <w:smallCaps w:val="0"/>
                <w:sz w:val="18"/>
                <w:szCs w:val="18"/>
                <w:lang w:eastAsia="zh-CN"/>
              </w:rPr>
              <w:t>、</w:t>
            </w:r>
            <w:r>
              <w:rPr>
                <w:rFonts w:hint="default" w:ascii="Times New Roman" w:hAnsi="Times New Roman" w:eastAsia="宋体" w:cs="Times New Roman"/>
                <w:b w:val="0"/>
                <w:bCs/>
                <w:caps w:val="0"/>
                <w:smallCaps w:val="0"/>
                <w:sz w:val="18"/>
                <w:szCs w:val="18"/>
              </w:rPr>
              <w:t>石上或草丛中</w:t>
            </w:r>
          </w:p>
        </w:tc>
        <w:tc>
          <w:tcPr>
            <w:tcW w:w="232" w:type="pct"/>
            <w:tcBorders>
              <w:tl2br w:val="nil"/>
              <w:tr2bl w:val="nil"/>
            </w:tcBorders>
            <w:noWrap w:val="0"/>
            <w:vAlign w:val="center"/>
          </w:tcPr>
          <w:p w14:paraId="3C46321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文献记录</w:t>
            </w:r>
          </w:p>
        </w:tc>
        <w:tc>
          <w:tcPr>
            <w:tcW w:w="515" w:type="pct"/>
            <w:tcBorders>
              <w:tl2br w:val="nil"/>
              <w:tr2bl w:val="nil"/>
            </w:tcBorders>
            <w:noWrap w:val="0"/>
            <w:vAlign w:val="center"/>
          </w:tcPr>
          <w:p w14:paraId="3A92E91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否，工程不占用其主要生境，适生区域分布在工程周边</w:t>
            </w:r>
          </w:p>
        </w:tc>
      </w:tr>
      <w:tr w14:paraId="3C9E1A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498171C1">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33565280">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大白鹭</w:t>
            </w:r>
          </w:p>
          <w:p w14:paraId="73F6A7D3">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Ardea alba</w:t>
            </w:r>
          </w:p>
        </w:tc>
        <w:tc>
          <w:tcPr>
            <w:tcW w:w="237" w:type="pct"/>
            <w:tcBorders>
              <w:tl2br w:val="nil"/>
              <w:tr2bl w:val="nil"/>
            </w:tcBorders>
            <w:noWrap w:val="0"/>
            <w:vAlign w:val="center"/>
          </w:tcPr>
          <w:p w14:paraId="54EDCE4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33D84CB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3F56725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5930FCA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全身羽毛洁白；眼黄色；喙橙黄色（繁殖期黑色）；面部及周眼皮肤呈绿色；跗蹠和脚黑色。背上、肩上披有蓑羽，长超过尾部，生殖期后蓑羽消失。性颇机警，见人即飞去。白天多单独寻觅食物，在食物丰富的区域内，也成小群活动。以小鱼、虾及水生昆虫、贝类等为食。繁殖期为4-7月，1年繁殖1窝，每窝产卵3-6枚，最常见的为4枚，卵为天蓝色。孵化期25天左右，由雌雄亲鸟共同承担。</w:t>
            </w:r>
          </w:p>
        </w:tc>
        <w:tc>
          <w:tcPr>
            <w:tcW w:w="702" w:type="pct"/>
            <w:vMerge w:val="restart"/>
            <w:tcBorders>
              <w:tl2br w:val="nil"/>
              <w:tr2bl w:val="nil"/>
            </w:tcBorders>
            <w:noWrap w:val="0"/>
            <w:vAlign w:val="center"/>
          </w:tcPr>
          <w:p w14:paraId="5F44C063">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主要分布</w:t>
            </w:r>
            <w:r>
              <w:rPr>
                <w:rFonts w:hint="default" w:ascii="Times New Roman" w:hAnsi="Times New Roman" w:eastAsia="宋体" w:cs="Times New Roman"/>
                <w:b w:val="0"/>
                <w:bCs/>
                <w:caps w:val="0"/>
                <w:smallCaps w:val="0"/>
                <w:sz w:val="18"/>
                <w:szCs w:val="18"/>
              </w:rPr>
              <w:t>于</w:t>
            </w:r>
            <w:r>
              <w:rPr>
                <w:rFonts w:hint="default" w:ascii="Times New Roman" w:hAnsi="Times New Roman" w:eastAsia="宋体" w:cs="Times New Roman"/>
                <w:b w:val="0"/>
                <w:bCs/>
                <w:caps w:val="0"/>
                <w:smallCaps w:val="0"/>
                <w:sz w:val="18"/>
                <w:szCs w:val="18"/>
                <w:lang w:val="en-US" w:eastAsia="zh-CN"/>
              </w:rPr>
              <w:t>评价区内的</w:t>
            </w:r>
            <w:r>
              <w:rPr>
                <w:rFonts w:hint="default" w:ascii="Times New Roman" w:hAnsi="Times New Roman" w:eastAsia="宋体" w:cs="Times New Roman"/>
                <w:b w:val="0"/>
                <w:bCs/>
                <w:caps w:val="0"/>
                <w:smallCaps w:val="0"/>
                <w:sz w:val="18"/>
                <w:szCs w:val="18"/>
              </w:rPr>
              <w:t>池塘、水田</w:t>
            </w:r>
            <w:r>
              <w:rPr>
                <w:rFonts w:hint="default" w:ascii="Times New Roman" w:hAnsi="Times New Roman" w:eastAsia="宋体" w:cs="Times New Roman"/>
                <w:b w:val="0"/>
                <w:bCs/>
                <w:caps w:val="0"/>
                <w:smallCaps w:val="0"/>
                <w:sz w:val="18"/>
                <w:szCs w:val="18"/>
                <w:lang w:val="en-US" w:eastAsia="zh-CN"/>
              </w:rPr>
              <w:t>中</w:t>
            </w:r>
          </w:p>
        </w:tc>
        <w:tc>
          <w:tcPr>
            <w:tcW w:w="232" w:type="pct"/>
            <w:tcBorders>
              <w:tl2br w:val="nil"/>
              <w:tr2bl w:val="nil"/>
            </w:tcBorders>
            <w:noWrap w:val="0"/>
            <w:vAlign w:val="center"/>
          </w:tcPr>
          <w:p w14:paraId="2DD7E42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 w:val="0"/>
                <w:bCs/>
                <w:caps w:val="0"/>
                <w:smallCaps w:val="0"/>
                <w:sz w:val="18"/>
                <w:szCs w:val="18"/>
              </w:rPr>
              <w:t>文献记录</w:t>
            </w:r>
          </w:p>
        </w:tc>
        <w:tc>
          <w:tcPr>
            <w:tcW w:w="515" w:type="pct"/>
            <w:vMerge w:val="restart"/>
            <w:tcBorders>
              <w:tl2br w:val="nil"/>
              <w:tr2bl w:val="nil"/>
            </w:tcBorders>
            <w:noWrap w:val="0"/>
            <w:vAlign w:val="center"/>
          </w:tcPr>
          <w:p w14:paraId="3109B2D9">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否，工程不占用其主要生境，适生区域分布在工程周边</w:t>
            </w:r>
          </w:p>
        </w:tc>
      </w:tr>
      <w:tr w14:paraId="4B4921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3960E726">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26C8A6E9">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牛背鹭</w:t>
            </w:r>
          </w:p>
          <w:p w14:paraId="24F716D5">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Bubulcus ibis</w:t>
            </w:r>
          </w:p>
        </w:tc>
        <w:tc>
          <w:tcPr>
            <w:tcW w:w="237" w:type="pct"/>
            <w:tcBorders>
              <w:tl2br w:val="nil"/>
              <w:tr2bl w:val="nil"/>
            </w:tcBorders>
            <w:noWrap w:val="0"/>
            <w:vAlign w:val="center"/>
          </w:tcPr>
          <w:p w14:paraId="1074F0A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268A039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2862244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7D09B12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体型细瘦；橙黄色的喙长、尖而直，较侧扁、尖端多有小锯齿；颈细长，由19~20枚脊椎骨组成；翅较宽长，前牛背鹭端呈圆形，尾羽短小，脚细长，位于身体较后部；牛背鹭的头部和颈部为橙黄色，其余体羽均为白色；前颈的基部和背部中央具有羽枝分散成发状的橙黄色长饰羽、前颈的饰羽长达胸部，背部的饰羽向后长达尾部。常在水牛等牲畜周围活动，喜站在牛背上啄食翻耕出来的昆虫和寄生虫，主要觅食昆虫、蛙类、蜥蜴及蜘蛛等；成群营巢于树上或竹林中，或与白鹭、夜鹭混群营巢。繁殖期在4~7月，窝卵数4~9枚，雌雄亲鸟轮流孵化，孵化期21~24天，雏鸟晚成。</w:t>
            </w:r>
          </w:p>
        </w:tc>
        <w:tc>
          <w:tcPr>
            <w:tcW w:w="702" w:type="pct"/>
            <w:vMerge w:val="continue"/>
            <w:tcBorders>
              <w:tl2br w:val="nil"/>
              <w:tr2bl w:val="nil"/>
            </w:tcBorders>
            <w:noWrap w:val="0"/>
            <w:vAlign w:val="center"/>
          </w:tcPr>
          <w:p w14:paraId="0EF1025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p>
        </w:tc>
        <w:tc>
          <w:tcPr>
            <w:tcW w:w="232" w:type="pct"/>
            <w:tcBorders>
              <w:tl2br w:val="nil"/>
              <w:tr2bl w:val="nil"/>
            </w:tcBorders>
            <w:noWrap w:val="0"/>
            <w:vAlign w:val="center"/>
          </w:tcPr>
          <w:p w14:paraId="4D80651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 w:val="0"/>
                <w:bCs/>
                <w:caps w:val="0"/>
                <w:smallCaps w:val="0"/>
                <w:sz w:val="18"/>
                <w:szCs w:val="18"/>
              </w:rPr>
              <w:t>文献记录</w:t>
            </w:r>
          </w:p>
        </w:tc>
        <w:tc>
          <w:tcPr>
            <w:tcW w:w="515" w:type="pct"/>
            <w:vMerge w:val="continue"/>
            <w:tcBorders>
              <w:tl2br w:val="nil"/>
              <w:tr2bl w:val="nil"/>
            </w:tcBorders>
            <w:noWrap w:val="0"/>
            <w:vAlign w:val="center"/>
          </w:tcPr>
          <w:p w14:paraId="238C1CD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r>
      <w:tr w14:paraId="25BF9E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3BE16581">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5BE6624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rPr>
              <w:t>喜鹊</w:t>
            </w:r>
          </w:p>
          <w:p w14:paraId="4C3BCC35">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i/>
                <w:iCs/>
                <w:caps w:val="0"/>
                <w:smallCaps w:val="0"/>
                <w:sz w:val="18"/>
                <w:szCs w:val="18"/>
              </w:rPr>
              <w:fldChar w:fldCharType="begin"/>
            </w:r>
            <w:r>
              <w:rPr>
                <w:rFonts w:hint="default" w:ascii="Times New Roman" w:hAnsi="Times New Roman" w:eastAsia="宋体" w:cs="Times New Roman"/>
                <w:b w:val="0"/>
                <w:bCs/>
                <w:i/>
                <w:iCs/>
                <w:caps w:val="0"/>
                <w:smallCaps w:val="0"/>
                <w:sz w:val="18"/>
                <w:szCs w:val="18"/>
              </w:rPr>
              <w:instrText xml:space="preserve"> HYPERLINK "http://www.zoology.csdb.cn/dbb/ynswcvert/19297" </w:instrText>
            </w:r>
            <w:r>
              <w:rPr>
                <w:rFonts w:hint="default" w:ascii="Times New Roman" w:hAnsi="Times New Roman" w:eastAsia="宋体" w:cs="Times New Roman"/>
                <w:b w:val="0"/>
                <w:bCs/>
                <w:i/>
                <w:iCs/>
                <w:caps w:val="0"/>
                <w:smallCaps w:val="0"/>
                <w:sz w:val="18"/>
                <w:szCs w:val="18"/>
              </w:rPr>
              <w:fldChar w:fldCharType="separate"/>
            </w:r>
            <w:r>
              <w:rPr>
                <w:rFonts w:hint="default" w:ascii="Times New Roman" w:hAnsi="Times New Roman" w:eastAsia="宋体" w:cs="Times New Roman"/>
                <w:b w:val="0"/>
                <w:bCs/>
                <w:i/>
                <w:iCs/>
                <w:caps w:val="0"/>
                <w:smallCaps w:val="0"/>
                <w:sz w:val="18"/>
                <w:szCs w:val="18"/>
              </w:rPr>
              <w:t>Pica pica</w:t>
            </w:r>
            <w:r>
              <w:rPr>
                <w:rFonts w:hint="default" w:ascii="Times New Roman" w:hAnsi="Times New Roman" w:eastAsia="宋体" w:cs="Times New Roman"/>
                <w:b w:val="0"/>
                <w:bCs/>
                <w:i/>
                <w:iCs/>
                <w:caps w:val="0"/>
                <w:smallCaps w:val="0"/>
                <w:sz w:val="18"/>
                <w:szCs w:val="18"/>
              </w:rPr>
              <w:fldChar w:fldCharType="end"/>
            </w:r>
          </w:p>
        </w:tc>
        <w:tc>
          <w:tcPr>
            <w:tcW w:w="237" w:type="pct"/>
            <w:tcBorders>
              <w:tl2br w:val="nil"/>
              <w:tr2bl w:val="nil"/>
            </w:tcBorders>
            <w:noWrap w:val="0"/>
            <w:vAlign w:val="center"/>
          </w:tcPr>
          <w:p w14:paraId="511F4E4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735AB72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439CA925">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6D8F788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头、颈、背至尾均为黑色，并自前往后分别呈现紫色、绿蓝色、绿色等光泽。双翅黑色而在翼肩有一大形白斑。尾远较翅长，呈楔形；嘴、腿、脚纯黑色。喜欢把巢筑在民宅旁的大树上，</w:t>
            </w:r>
          </w:p>
        </w:tc>
        <w:tc>
          <w:tcPr>
            <w:tcW w:w="702" w:type="pct"/>
            <w:vMerge w:val="restart"/>
            <w:tcBorders>
              <w:tl2br w:val="nil"/>
              <w:tr2bl w:val="nil"/>
            </w:tcBorders>
            <w:noWrap w:val="0"/>
            <w:vAlign w:val="center"/>
          </w:tcPr>
          <w:p w14:paraId="4290B26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r>
              <w:rPr>
                <w:rFonts w:hint="default" w:ascii="Times New Roman" w:hAnsi="Times New Roman" w:eastAsia="宋体" w:cs="Times New Roman"/>
                <w:caps w:val="0"/>
                <w:smallCaps w:val="0"/>
                <w:sz w:val="18"/>
                <w:szCs w:val="18"/>
              </w:rPr>
              <w:t>主要分布于评价区内的树林、</w:t>
            </w:r>
            <w:r>
              <w:rPr>
                <w:rFonts w:hint="default" w:ascii="Times New Roman" w:hAnsi="Times New Roman" w:eastAsia="宋体" w:cs="Times New Roman"/>
                <w:caps w:val="0"/>
                <w:smallCaps w:val="0"/>
                <w:sz w:val="18"/>
                <w:szCs w:val="18"/>
                <w:lang w:val="en-US" w:eastAsia="zh-CN"/>
              </w:rPr>
              <w:t>水</w:t>
            </w:r>
            <w:r>
              <w:rPr>
                <w:rFonts w:hint="default" w:ascii="Times New Roman" w:hAnsi="Times New Roman" w:eastAsia="宋体" w:cs="Times New Roman"/>
                <w:caps w:val="0"/>
                <w:smallCaps w:val="0"/>
                <w:sz w:val="18"/>
                <w:szCs w:val="18"/>
              </w:rPr>
              <w:t>岸等生境附近</w:t>
            </w:r>
          </w:p>
        </w:tc>
        <w:tc>
          <w:tcPr>
            <w:tcW w:w="232" w:type="pct"/>
            <w:tcBorders>
              <w:tl2br w:val="nil"/>
              <w:tr2bl w:val="nil"/>
            </w:tcBorders>
            <w:noWrap w:val="0"/>
            <w:vAlign w:val="center"/>
          </w:tcPr>
          <w:p w14:paraId="5ED1430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 w:val="0"/>
                <w:bCs/>
                <w:caps w:val="0"/>
                <w:smallCaps w:val="0"/>
                <w:sz w:val="18"/>
                <w:szCs w:val="18"/>
              </w:rPr>
              <w:t>文献记录</w:t>
            </w:r>
          </w:p>
        </w:tc>
        <w:tc>
          <w:tcPr>
            <w:tcW w:w="515" w:type="pct"/>
            <w:vMerge w:val="restart"/>
            <w:tcBorders>
              <w:tl2br w:val="nil"/>
              <w:tr2bl w:val="nil"/>
            </w:tcBorders>
            <w:noWrap w:val="0"/>
            <w:vAlign w:val="center"/>
          </w:tcPr>
          <w:p w14:paraId="77C63963">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lang w:val="en-US" w:eastAsia="zh-CN"/>
              </w:rPr>
              <w:t>否，工程不占用其主要生境，适生区域分布在工程周边</w:t>
            </w:r>
          </w:p>
        </w:tc>
      </w:tr>
      <w:tr w14:paraId="475A7F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266509E4">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06365D5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rPr>
              <w:t>山斑鸠</w:t>
            </w:r>
          </w:p>
          <w:p w14:paraId="5B2A6B4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i/>
                <w:iCs/>
                <w:caps w:val="0"/>
                <w:smallCaps w:val="0"/>
                <w:sz w:val="18"/>
                <w:szCs w:val="18"/>
              </w:rPr>
              <w:t>Streptopelia orientalis</w:t>
            </w:r>
          </w:p>
        </w:tc>
        <w:tc>
          <w:tcPr>
            <w:tcW w:w="237" w:type="pct"/>
            <w:tcBorders>
              <w:tl2br w:val="nil"/>
              <w:tr2bl w:val="nil"/>
            </w:tcBorders>
            <w:noWrap w:val="0"/>
            <w:vAlign w:val="center"/>
          </w:tcPr>
          <w:p w14:paraId="02DCA72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2D013B80">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1CCBFB7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195A972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
                <w:bCs w:val="0"/>
                <w:caps w:val="0"/>
                <w:smallCaps w:val="0"/>
                <w:sz w:val="18"/>
                <w:szCs w:val="18"/>
                <w:lang w:eastAsia="zh-CN"/>
              </w:rPr>
            </w:pPr>
            <w:r>
              <w:rPr>
                <w:rFonts w:hint="default" w:ascii="Times New Roman" w:hAnsi="Times New Roman" w:eastAsia="宋体" w:cs="Times New Roman"/>
                <w:bCs/>
                <w:caps w:val="0"/>
                <w:smallCaps w:val="0"/>
                <w:sz w:val="18"/>
                <w:szCs w:val="18"/>
              </w:rPr>
              <w:t>中等体型（32cm）的偏粉色斑鸠，起飞时带有高频“噗噗”声。颈侧有带明显黑白色条纹的块状斑</w:t>
            </w:r>
            <w:r>
              <w:rPr>
                <w:rFonts w:hint="default" w:ascii="Times New Roman" w:hAnsi="Times New Roman" w:eastAsia="宋体" w:cs="Times New Roman"/>
                <w:bCs/>
                <w:caps w:val="0"/>
                <w:smallCaps w:val="0"/>
                <w:sz w:val="18"/>
                <w:szCs w:val="18"/>
                <w:lang w:eastAsia="zh-CN"/>
              </w:rPr>
              <w:t>，上体的深色扇贝斑纹体羽羽缘棕色，腰灰，尾羽近黑，尾梢浅灰。下体多偏粉色，脚红色。成对或单独活动。取食于地面，食物多为带颗谷类。</w:t>
            </w:r>
          </w:p>
        </w:tc>
        <w:tc>
          <w:tcPr>
            <w:tcW w:w="702" w:type="pct"/>
            <w:vMerge w:val="continue"/>
            <w:tcBorders>
              <w:tl2br w:val="nil"/>
              <w:tr2bl w:val="nil"/>
            </w:tcBorders>
            <w:noWrap w:val="0"/>
            <w:vAlign w:val="center"/>
          </w:tcPr>
          <w:p w14:paraId="7D1648B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p>
        </w:tc>
        <w:tc>
          <w:tcPr>
            <w:tcW w:w="232" w:type="pct"/>
            <w:tcBorders>
              <w:tl2br w:val="nil"/>
              <w:tr2bl w:val="nil"/>
            </w:tcBorders>
            <w:noWrap w:val="0"/>
            <w:vAlign w:val="center"/>
          </w:tcPr>
          <w:p w14:paraId="0457D3B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现场调查</w:t>
            </w:r>
          </w:p>
        </w:tc>
        <w:tc>
          <w:tcPr>
            <w:tcW w:w="515" w:type="pct"/>
            <w:vMerge w:val="continue"/>
            <w:tcBorders>
              <w:tl2br w:val="nil"/>
              <w:tr2bl w:val="nil"/>
            </w:tcBorders>
            <w:noWrap w:val="0"/>
            <w:vAlign w:val="center"/>
          </w:tcPr>
          <w:p w14:paraId="6FBD0E7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p>
        </w:tc>
      </w:tr>
      <w:tr w14:paraId="6EC3F3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28B3A270">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5C0E2A1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rPr>
              <w:t>普通翠鸟</w:t>
            </w:r>
          </w:p>
          <w:p w14:paraId="344FAF2E">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i/>
                <w:iCs/>
                <w:caps w:val="0"/>
                <w:smallCaps w:val="0"/>
                <w:sz w:val="18"/>
                <w:szCs w:val="18"/>
              </w:rPr>
              <w:t>Alcedo atthis</w:t>
            </w:r>
          </w:p>
        </w:tc>
        <w:tc>
          <w:tcPr>
            <w:tcW w:w="237" w:type="pct"/>
            <w:tcBorders>
              <w:tl2br w:val="nil"/>
              <w:tr2bl w:val="nil"/>
            </w:tcBorders>
            <w:noWrap w:val="0"/>
            <w:vAlign w:val="center"/>
          </w:tcPr>
          <w:p w14:paraId="69A4E54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7EDA94D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43C27D5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4869182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eastAsia="zh-CN"/>
              </w:rPr>
            </w:pPr>
            <w:r>
              <w:rPr>
                <w:rFonts w:hint="default" w:ascii="Times New Roman" w:hAnsi="Times New Roman" w:eastAsia="宋体" w:cs="Times New Roman"/>
                <w:bCs/>
                <w:caps w:val="0"/>
                <w:smallCaps w:val="0"/>
                <w:sz w:val="18"/>
                <w:szCs w:val="18"/>
                <w:lang w:eastAsia="zh-CN"/>
              </w:rPr>
              <w:t>身长16～17cm，翼展24～26cm，上体金属浅蓝绿色，体羽艳丽而具光辉，头顶布满暗蓝绿色和艳翠蓝色细斑。虹膜褐色；嘴黑色（雄鸟），下颚橘黄色（雌鸟）；脚红色。常见留鸟。单独或成对活动。食物以小鱼为主，兼吃甲壳类和多种水生昆虫及其幼虫，也啄食小型蛙类和少量水生植物。繁殖期4～7月。</w:t>
            </w:r>
          </w:p>
        </w:tc>
        <w:tc>
          <w:tcPr>
            <w:tcW w:w="702" w:type="pct"/>
            <w:vMerge w:val="continue"/>
            <w:tcBorders>
              <w:tl2br w:val="nil"/>
              <w:tr2bl w:val="nil"/>
            </w:tcBorders>
            <w:noWrap w:val="0"/>
            <w:vAlign w:val="center"/>
          </w:tcPr>
          <w:p w14:paraId="43C7C4F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sz w:val="18"/>
                <w:szCs w:val="18"/>
              </w:rPr>
            </w:pPr>
          </w:p>
        </w:tc>
        <w:tc>
          <w:tcPr>
            <w:tcW w:w="232" w:type="pct"/>
            <w:tcBorders>
              <w:tl2br w:val="nil"/>
              <w:tr2bl w:val="nil"/>
            </w:tcBorders>
            <w:noWrap w:val="0"/>
            <w:vAlign w:val="center"/>
          </w:tcPr>
          <w:p w14:paraId="1DDE9D8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文献记录</w:t>
            </w:r>
          </w:p>
        </w:tc>
        <w:tc>
          <w:tcPr>
            <w:tcW w:w="515" w:type="pct"/>
            <w:vMerge w:val="continue"/>
            <w:tcBorders>
              <w:tl2br w:val="nil"/>
              <w:tr2bl w:val="nil"/>
            </w:tcBorders>
            <w:noWrap w:val="0"/>
            <w:vAlign w:val="center"/>
          </w:tcPr>
          <w:p w14:paraId="18AB7C69">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p>
        </w:tc>
      </w:tr>
      <w:tr w14:paraId="19D991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3C1C8323">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5379C8F0">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家燕</w:t>
            </w:r>
          </w:p>
          <w:p w14:paraId="7B75201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kern w:val="2"/>
                <w:sz w:val="18"/>
                <w:szCs w:val="18"/>
                <w:lang w:val="en-US" w:eastAsia="zh-CN" w:bidi="ar-SA"/>
              </w:rPr>
            </w:pPr>
            <w:r>
              <w:rPr>
                <w:rFonts w:hint="default" w:ascii="Times New Roman" w:hAnsi="Times New Roman" w:eastAsia="宋体" w:cs="Times New Roman"/>
                <w:b w:val="0"/>
                <w:bCs/>
                <w:i/>
                <w:iCs/>
                <w:caps w:val="0"/>
                <w:smallCaps w:val="0"/>
                <w:sz w:val="18"/>
                <w:szCs w:val="18"/>
                <w:lang w:val="en-US" w:eastAsia="zh-CN"/>
              </w:rPr>
              <w:t>Hirundo rustica</w:t>
            </w:r>
          </w:p>
        </w:tc>
        <w:tc>
          <w:tcPr>
            <w:tcW w:w="237" w:type="pct"/>
            <w:tcBorders>
              <w:tl2br w:val="nil"/>
              <w:tr2bl w:val="nil"/>
            </w:tcBorders>
            <w:noWrap w:val="0"/>
            <w:vAlign w:val="center"/>
          </w:tcPr>
          <w:p w14:paraId="63311B0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kern w:val="2"/>
                <w:sz w:val="18"/>
                <w:szCs w:val="18"/>
                <w:lang w:val="en-US" w:eastAsia="zh-CN" w:bidi="ar-SA"/>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11699FA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kern w:val="2"/>
                <w:sz w:val="18"/>
                <w:szCs w:val="18"/>
                <w:lang w:val="en-US" w:eastAsia="zh-CN" w:bidi="ar-SA"/>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27396B98">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kern w:val="2"/>
                <w:sz w:val="18"/>
                <w:szCs w:val="18"/>
                <w:lang w:val="en-US" w:eastAsia="zh-CN" w:bidi="ar-SA"/>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180DAC60">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kern w:val="2"/>
                <w:sz w:val="18"/>
                <w:szCs w:val="18"/>
                <w:lang w:val="en-US" w:eastAsia="zh-CN" w:bidi="ar-SA"/>
              </w:rPr>
            </w:pPr>
            <w:r>
              <w:rPr>
                <w:rFonts w:hint="default" w:ascii="Times New Roman" w:hAnsi="Times New Roman" w:eastAsia="宋体" w:cs="Times New Roman"/>
                <w:bCs/>
                <w:caps w:val="0"/>
                <w:smallCaps w:val="0"/>
                <w:sz w:val="18"/>
                <w:szCs w:val="18"/>
              </w:rPr>
              <w:t>头顶、颈背部至尾上覆羽带有金属光泽的深蓝黑色，翼亦为黑色，飞羽狭长</w:t>
            </w:r>
            <w:r>
              <w:rPr>
                <w:rFonts w:hint="default" w:ascii="Times New Roman" w:hAnsi="Times New Roman" w:eastAsia="宋体" w:cs="Times New Roman"/>
                <w:bCs/>
                <w:caps w:val="0"/>
                <w:smallCaps w:val="0"/>
                <w:sz w:val="18"/>
                <w:szCs w:val="18"/>
                <w:lang w:eastAsia="zh-CN"/>
              </w:rPr>
              <w:t>。尾深叉形，蓝黑色；喙黑褐色，短小而龇阔；跗跖和脚黑色，较纤弱；雌雄相似。常成群栖息，低声细碎鸣叫，善飞行，白天大部分时间在栖息地附近飞行，喜飞行中捕食，不善啄食。主要以昆虫为食，包括蚊、蝇、虻、蛾、叶蝉、象甲等农林害虫。繁殖期为4-7月。</w:t>
            </w:r>
          </w:p>
        </w:tc>
        <w:tc>
          <w:tcPr>
            <w:tcW w:w="702" w:type="pct"/>
            <w:tcBorders>
              <w:tl2br w:val="nil"/>
              <w:tr2bl w:val="nil"/>
            </w:tcBorders>
            <w:noWrap w:val="0"/>
            <w:vAlign w:val="center"/>
          </w:tcPr>
          <w:p w14:paraId="250CD19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caps w:val="0"/>
                <w:smallCaps w:val="0"/>
                <w:kern w:val="2"/>
                <w:sz w:val="18"/>
                <w:szCs w:val="18"/>
                <w:lang w:val="en-US" w:eastAsia="zh-CN" w:bidi="ar-SA"/>
              </w:rPr>
            </w:pPr>
            <w:r>
              <w:rPr>
                <w:rFonts w:hint="default" w:ascii="Times New Roman" w:hAnsi="Times New Roman" w:eastAsia="宋体" w:cs="Times New Roman"/>
                <w:caps w:val="0"/>
                <w:smallCaps w:val="0"/>
                <w:sz w:val="18"/>
                <w:szCs w:val="18"/>
              </w:rPr>
              <w:t>主要分布于评价区内的树林、</w:t>
            </w:r>
            <w:r>
              <w:rPr>
                <w:rFonts w:hint="default" w:ascii="Times New Roman" w:hAnsi="Times New Roman" w:eastAsia="宋体" w:cs="Times New Roman"/>
                <w:caps w:val="0"/>
                <w:smallCaps w:val="0"/>
                <w:sz w:val="18"/>
                <w:szCs w:val="18"/>
                <w:lang w:val="en-US" w:eastAsia="zh-CN"/>
              </w:rPr>
              <w:t>居民点</w:t>
            </w:r>
            <w:r>
              <w:rPr>
                <w:rFonts w:hint="default" w:ascii="Times New Roman" w:hAnsi="Times New Roman" w:eastAsia="宋体" w:cs="Times New Roman"/>
                <w:caps w:val="0"/>
                <w:smallCaps w:val="0"/>
                <w:sz w:val="18"/>
                <w:szCs w:val="18"/>
              </w:rPr>
              <w:t>等生境附近</w:t>
            </w:r>
          </w:p>
        </w:tc>
        <w:tc>
          <w:tcPr>
            <w:tcW w:w="232" w:type="pct"/>
            <w:tcBorders>
              <w:tl2br w:val="nil"/>
              <w:tr2bl w:val="nil"/>
            </w:tcBorders>
            <w:noWrap w:val="0"/>
            <w:vAlign w:val="center"/>
          </w:tcPr>
          <w:p w14:paraId="6450D65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kern w:val="2"/>
                <w:sz w:val="18"/>
                <w:szCs w:val="18"/>
                <w:lang w:val="en-US" w:eastAsia="zh-CN" w:bidi="ar-SA"/>
              </w:rPr>
            </w:pPr>
            <w:r>
              <w:rPr>
                <w:rFonts w:hint="default" w:ascii="Times New Roman" w:hAnsi="Times New Roman" w:eastAsia="宋体" w:cs="Times New Roman"/>
                <w:b w:val="0"/>
                <w:bCs/>
                <w:caps w:val="0"/>
                <w:smallCaps w:val="0"/>
                <w:sz w:val="18"/>
                <w:szCs w:val="18"/>
              </w:rPr>
              <w:t>文献记录</w:t>
            </w:r>
          </w:p>
        </w:tc>
        <w:tc>
          <w:tcPr>
            <w:tcW w:w="515" w:type="pct"/>
            <w:vMerge w:val="restart"/>
            <w:tcBorders>
              <w:tl2br w:val="nil"/>
              <w:tr2bl w:val="nil"/>
            </w:tcBorders>
            <w:noWrap w:val="0"/>
            <w:vAlign w:val="center"/>
          </w:tcPr>
          <w:p w14:paraId="6BB7FD1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lang w:val="en-US" w:eastAsia="zh-CN"/>
              </w:rPr>
              <w:t>否，工程不占用其主要生境，适生区域分布在工程周边</w:t>
            </w:r>
          </w:p>
        </w:tc>
      </w:tr>
      <w:tr w14:paraId="29D464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689CC022">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3B6A0EE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红尾伯劳</w:t>
            </w:r>
          </w:p>
          <w:p w14:paraId="4F3981E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Brown Shrike</w:t>
            </w:r>
          </w:p>
        </w:tc>
        <w:tc>
          <w:tcPr>
            <w:tcW w:w="237" w:type="pct"/>
            <w:tcBorders>
              <w:tl2br w:val="nil"/>
              <w:tr2bl w:val="nil"/>
            </w:tcBorders>
            <w:noWrap w:val="0"/>
            <w:vAlign w:val="center"/>
          </w:tcPr>
          <w:p w14:paraId="3C22C7F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59B805E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7B568B3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41EAB30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雄鸟头顶和枕部为灰色，有宽阔的黑色贯眼纹；背部、两翼和尾羽为棕褐色。喉部为白色，胸腹部和腹部为皮黄色；雌鸟外观似雄鸟，但头部灰褐色，两胁有褐色鱼鳞纹；幼鸟外观似雌鸟，但头顶为棕色。主要以直翅目、鞘翅目、半翅目和鳞翅目等昆虫为食，偶食少量草籽。红尾伯劳繁殖期为每年5-7月，窝卵数5-7枚，孵化期为15天，由双亲共同喂养。</w:t>
            </w:r>
          </w:p>
        </w:tc>
        <w:tc>
          <w:tcPr>
            <w:tcW w:w="702" w:type="pct"/>
            <w:tcBorders>
              <w:tl2br w:val="nil"/>
              <w:tr2bl w:val="nil"/>
            </w:tcBorders>
            <w:noWrap w:val="0"/>
            <w:vAlign w:val="center"/>
          </w:tcPr>
          <w:p w14:paraId="5D0E408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caps w:val="0"/>
                <w:smallCaps w:val="0"/>
                <w:sz w:val="18"/>
                <w:szCs w:val="18"/>
              </w:rPr>
            </w:pPr>
            <w:r>
              <w:rPr>
                <w:rFonts w:hint="default" w:ascii="Times New Roman" w:hAnsi="Times New Roman" w:eastAsia="宋体" w:cs="Times New Roman"/>
                <w:caps w:val="0"/>
                <w:smallCaps w:val="0"/>
                <w:sz w:val="18"/>
                <w:szCs w:val="18"/>
              </w:rPr>
              <w:t>主要分布于评价区内的灌丛、疏林和林缘地带</w:t>
            </w:r>
          </w:p>
        </w:tc>
        <w:tc>
          <w:tcPr>
            <w:tcW w:w="232" w:type="pct"/>
            <w:tcBorders>
              <w:tl2br w:val="nil"/>
              <w:tr2bl w:val="nil"/>
            </w:tcBorders>
            <w:noWrap w:val="0"/>
            <w:vAlign w:val="center"/>
          </w:tcPr>
          <w:p w14:paraId="3244CE2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rPr>
              <w:t>文献记录</w:t>
            </w:r>
          </w:p>
        </w:tc>
        <w:tc>
          <w:tcPr>
            <w:tcW w:w="515" w:type="pct"/>
            <w:vMerge w:val="continue"/>
            <w:tcBorders>
              <w:tl2br w:val="nil"/>
              <w:tr2bl w:val="nil"/>
            </w:tcBorders>
            <w:noWrap w:val="0"/>
            <w:vAlign w:val="center"/>
          </w:tcPr>
          <w:p w14:paraId="74E2DEB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r>
      <w:tr w14:paraId="53BFF0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64551614">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4B6FA9C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环颈雉</w:t>
            </w:r>
          </w:p>
          <w:p w14:paraId="6E353020">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Phasianus colchicus</w:t>
            </w:r>
          </w:p>
        </w:tc>
        <w:tc>
          <w:tcPr>
            <w:tcW w:w="673" w:type="dxa"/>
            <w:tcBorders>
              <w:tl2br w:val="nil"/>
              <w:tr2bl w:val="nil"/>
            </w:tcBorders>
            <w:noWrap w:val="0"/>
            <w:vAlign w:val="center"/>
          </w:tcPr>
          <w:p w14:paraId="33E9D37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583" w:type="dxa"/>
            <w:tcBorders>
              <w:tl2br w:val="nil"/>
              <w:tr2bl w:val="nil"/>
            </w:tcBorders>
            <w:noWrap w:val="0"/>
            <w:vAlign w:val="center"/>
          </w:tcPr>
          <w:p w14:paraId="72A557A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897" w:type="dxa"/>
            <w:tcBorders>
              <w:tl2br w:val="nil"/>
              <w:tr2bl w:val="nil"/>
            </w:tcBorders>
            <w:noWrap w:val="0"/>
            <w:vAlign w:val="center"/>
          </w:tcPr>
          <w:p w14:paraId="337D42D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79FEEE15">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lang w:eastAsia="zh-CN"/>
              </w:rPr>
            </w:pPr>
            <w:r>
              <w:rPr>
                <w:rFonts w:hint="default" w:ascii="Times New Roman" w:hAnsi="Times New Roman" w:eastAsia="宋体" w:cs="Times New Roman"/>
                <w:bCs/>
                <w:caps w:val="0"/>
                <w:smallCaps w:val="0"/>
                <w:sz w:val="18"/>
                <w:szCs w:val="18"/>
              </w:rPr>
              <w:t>体形较家鸡略小，但尾巴却长得多。雄鸟和雌鸟羽色不同，雄鸟羽色华丽，多具金属反光，头顶两侧各具有一束能耸立起而羽端呈方形的耳羽簇，下背和腰的羽毛边缘披散如发状；翅稍短圆；尾羽18枚，尾长而逐渐变尖，中央尾羽比外侧尾羽长得多</w:t>
            </w:r>
            <w:r>
              <w:rPr>
                <w:rFonts w:hint="default" w:ascii="Times New Roman" w:hAnsi="Times New Roman" w:eastAsia="宋体" w:cs="Times New Roman"/>
                <w:bCs/>
                <w:caps w:val="0"/>
                <w:smallCaps w:val="0"/>
                <w:sz w:val="18"/>
                <w:szCs w:val="18"/>
                <w:lang w:eastAsia="zh-CN"/>
              </w:rPr>
              <w:t>。以水果、种子、叶子、芽等植物物质和少量动物物质（例如昆虫）为食。</w:t>
            </w:r>
          </w:p>
        </w:tc>
        <w:tc>
          <w:tcPr>
            <w:tcW w:w="702" w:type="pct"/>
            <w:tcBorders>
              <w:tl2br w:val="nil"/>
              <w:tr2bl w:val="nil"/>
            </w:tcBorders>
            <w:noWrap w:val="0"/>
            <w:vAlign w:val="center"/>
          </w:tcPr>
          <w:p w14:paraId="79E01329">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caps w:val="0"/>
                <w:smallCaps w:val="0"/>
                <w:sz w:val="18"/>
                <w:szCs w:val="18"/>
              </w:rPr>
            </w:pPr>
            <w:r>
              <w:rPr>
                <w:rFonts w:hint="default" w:ascii="Times New Roman" w:hAnsi="Times New Roman" w:eastAsia="宋体" w:cs="Times New Roman"/>
                <w:caps w:val="0"/>
                <w:smallCaps w:val="0"/>
                <w:sz w:val="18"/>
                <w:szCs w:val="18"/>
              </w:rPr>
              <w:t>主要分布于评价区内的农田、地边、沼泽草地，以及林缘灌丛和公路两边的灌丛与草地中</w:t>
            </w:r>
          </w:p>
        </w:tc>
        <w:tc>
          <w:tcPr>
            <w:tcW w:w="232" w:type="pct"/>
            <w:tcBorders>
              <w:tl2br w:val="nil"/>
              <w:tr2bl w:val="nil"/>
            </w:tcBorders>
            <w:noWrap w:val="0"/>
            <w:vAlign w:val="center"/>
          </w:tcPr>
          <w:p w14:paraId="214E168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rPr>
              <w:t>文献记录</w:t>
            </w:r>
          </w:p>
        </w:tc>
        <w:tc>
          <w:tcPr>
            <w:tcW w:w="515" w:type="pct"/>
            <w:tcBorders>
              <w:tl2br w:val="nil"/>
              <w:tr2bl w:val="nil"/>
            </w:tcBorders>
            <w:noWrap w:val="0"/>
            <w:vAlign w:val="center"/>
          </w:tcPr>
          <w:p w14:paraId="0359ABC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否，工程不占用其主要生境，适生区域分布在工程周边</w:t>
            </w:r>
          </w:p>
        </w:tc>
      </w:tr>
      <w:tr w14:paraId="460F26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3278076F">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2BDE0FB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小䴙䴘</w:t>
            </w:r>
          </w:p>
          <w:p w14:paraId="1F3E9F4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Tachybaptus ruficollis</w:t>
            </w:r>
          </w:p>
        </w:tc>
        <w:tc>
          <w:tcPr>
            <w:tcW w:w="673" w:type="dxa"/>
            <w:tcBorders>
              <w:tl2br w:val="nil"/>
              <w:tr2bl w:val="nil"/>
            </w:tcBorders>
            <w:noWrap w:val="0"/>
            <w:vAlign w:val="center"/>
          </w:tcPr>
          <w:p w14:paraId="3A2635D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583" w:type="dxa"/>
            <w:tcBorders>
              <w:tl2br w:val="nil"/>
              <w:tr2bl w:val="nil"/>
            </w:tcBorders>
            <w:noWrap w:val="0"/>
            <w:vAlign w:val="center"/>
          </w:tcPr>
          <w:p w14:paraId="65B73F8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897" w:type="dxa"/>
            <w:tcBorders>
              <w:tl2br w:val="nil"/>
              <w:tr2bl w:val="nil"/>
            </w:tcBorders>
            <w:noWrap w:val="0"/>
            <w:vAlign w:val="center"/>
          </w:tcPr>
          <w:p w14:paraId="444335C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148B3CC3">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也被称为水葫芦、王八鸭子、油鸭和刁鸭等。这种鸟的嘴尖如凿，颈部颜色丰富多彩，上体为灰褐色，下身为白色</w:t>
            </w:r>
            <w:r>
              <w:rPr>
                <w:rFonts w:hint="default" w:ascii="Times New Roman" w:hAnsi="Times New Roman" w:eastAsia="宋体" w:cs="Times New Roman"/>
                <w:bCs/>
                <w:caps w:val="0"/>
                <w:smallCaps w:val="0"/>
                <w:sz w:val="18"/>
                <w:szCs w:val="18"/>
                <w:lang w:eastAsia="zh-CN"/>
              </w:rPr>
              <w:t>。繁殖期成对活动，其余时间结群活动。杂食性，潜水捕捉小型鱼类和一些无脊椎动物为食。繁殖期为5—7月。以水草在芦苇或其他水生植物中间做圆形台状浮巢。1年繁殖1—2窝，每窝产卵4—7枚。孵化期为19—24天，早成鸟。</w:t>
            </w:r>
          </w:p>
        </w:tc>
        <w:tc>
          <w:tcPr>
            <w:tcW w:w="702" w:type="pct"/>
            <w:tcBorders>
              <w:tl2br w:val="nil"/>
              <w:tr2bl w:val="nil"/>
            </w:tcBorders>
            <w:noWrap w:val="0"/>
            <w:vAlign w:val="center"/>
          </w:tcPr>
          <w:p w14:paraId="64C73EBB">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caps w:val="0"/>
                <w:smallCaps w:val="0"/>
                <w:sz w:val="18"/>
                <w:szCs w:val="18"/>
              </w:rPr>
            </w:pPr>
            <w:r>
              <w:rPr>
                <w:rFonts w:hint="default" w:ascii="Times New Roman" w:hAnsi="Times New Roman" w:eastAsia="宋体" w:cs="Times New Roman"/>
                <w:caps w:val="0"/>
                <w:smallCaps w:val="0"/>
                <w:sz w:val="18"/>
                <w:szCs w:val="18"/>
              </w:rPr>
              <w:t>主要分布于评价区内的静止或流速缓慢的水域中</w:t>
            </w:r>
          </w:p>
        </w:tc>
        <w:tc>
          <w:tcPr>
            <w:tcW w:w="232" w:type="pct"/>
            <w:tcBorders>
              <w:tl2br w:val="nil"/>
              <w:tr2bl w:val="nil"/>
            </w:tcBorders>
            <w:noWrap w:val="0"/>
            <w:vAlign w:val="center"/>
          </w:tcPr>
          <w:p w14:paraId="43D0875F">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rPr>
            </w:pPr>
            <w:r>
              <w:rPr>
                <w:rFonts w:hint="default" w:ascii="Times New Roman" w:hAnsi="Times New Roman" w:eastAsia="宋体" w:cs="Times New Roman"/>
                <w:b w:val="0"/>
                <w:bCs/>
                <w:caps w:val="0"/>
                <w:smallCaps w:val="0"/>
                <w:sz w:val="18"/>
                <w:szCs w:val="18"/>
              </w:rPr>
              <w:t>文献记录</w:t>
            </w:r>
          </w:p>
        </w:tc>
        <w:tc>
          <w:tcPr>
            <w:tcW w:w="515" w:type="pct"/>
            <w:tcBorders>
              <w:tl2br w:val="nil"/>
              <w:tr2bl w:val="nil"/>
            </w:tcBorders>
            <w:noWrap w:val="0"/>
            <w:vAlign w:val="center"/>
          </w:tcPr>
          <w:p w14:paraId="2DE53A0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否，工程不占用其主要生境，适生区域分布在工程周边</w:t>
            </w:r>
          </w:p>
        </w:tc>
      </w:tr>
      <w:tr w14:paraId="2B1AEF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707700FE">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02FA028D">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黑卷尾</w:t>
            </w:r>
          </w:p>
          <w:p w14:paraId="397E70C9">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kern w:val="2"/>
                <w:sz w:val="18"/>
                <w:szCs w:val="18"/>
                <w:lang w:val="en-US" w:eastAsia="zh-CN" w:bidi="ar-SA"/>
              </w:rPr>
            </w:pPr>
            <w:r>
              <w:rPr>
                <w:rFonts w:hint="default" w:ascii="Times New Roman" w:hAnsi="Times New Roman" w:eastAsia="宋体" w:cs="Times New Roman"/>
                <w:b w:val="0"/>
                <w:bCs/>
                <w:i/>
                <w:iCs/>
                <w:caps w:val="0"/>
                <w:smallCaps w:val="0"/>
                <w:sz w:val="18"/>
                <w:szCs w:val="18"/>
                <w:lang w:val="en-US" w:eastAsia="zh-CN"/>
              </w:rPr>
              <w:t>Dicrurus macrocercus</w:t>
            </w:r>
          </w:p>
        </w:tc>
        <w:tc>
          <w:tcPr>
            <w:tcW w:w="237" w:type="pct"/>
            <w:tcBorders>
              <w:tl2br w:val="nil"/>
              <w:tr2bl w:val="nil"/>
            </w:tcBorders>
            <w:noWrap w:val="0"/>
            <w:vAlign w:val="center"/>
          </w:tcPr>
          <w:p w14:paraId="13EF85B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kern w:val="2"/>
                <w:sz w:val="18"/>
                <w:szCs w:val="18"/>
                <w:lang w:val="en-US" w:eastAsia="zh-CN" w:bidi="ar-SA"/>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6190FD03">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kern w:val="2"/>
                <w:sz w:val="18"/>
                <w:szCs w:val="18"/>
                <w:lang w:val="en-US" w:eastAsia="zh-CN" w:bidi="ar-SA"/>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4A91D67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kern w:val="2"/>
                <w:sz w:val="18"/>
                <w:szCs w:val="18"/>
                <w:lang w:val="en-US" w:eastAsia="zh-CN" w:bidi="ar-SA"/>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69617F23">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kern w:val="2"/>
                <w:sz w:val="18"/>
                <w:szCs w:val="18"/>
                <w:lang w:val="en-US" w:eastAsia="zh-CN" w:bidi="ar-SA"/>
              </w:rPr>
            </w:pPr>
            <w:r>
              <w:rPr>
                <w:rFonts w:hint="default" w:ascii="Times New Roman" w:hAnsi="Times New Roman" w:eastAsia="宋体" w:cs="Times New Roman"/>
                <w:bCs/>
                <w:caps w:val="0"/>
                <w:smallCaps w:val="0"/>
                <w:sz w:val="18"/>
                <w:szCs w:val="18"/>
              </w:rPr>
              <w:t>又称铁练甲、铁燕子、铁林哥、羊蹄刺、榨油郎，体长约30厘米全身蓝黑色而具金属光泽，尾长且分叉较深。幼鸟似成鸟，金属光泽弱，下腹部具近白色的横纹。虹膜暗红色，嘴黑色，脚黑色。多成对或小群活动，喜栖于高大乔木或电线上，发现猎物时俯冲捕捉，然后返回栖息的高处吞食。在六、七、八月以鳞翅目、鞘翅目、膜翅目、直翅目昆虫为食。繁殖期常在黎明时彼此呼应地连续鸣叫。繁殖期为4至7月。</w:t>
            </w:r>
          </w:p>
        </w:tc>
        <w:tc>
          <w:tcPr>
            <w:tcW w:w="702" w:type="pct"/>
            <w:vMerge w:val="restart"/>
            <w:tcBorders>
              <w:tl2br w:val="nil"/>
              <w:tr2bl w:val="nil"/>
            </w:tcBorders>
            <w:noWrap w:val="0"/>
            <w:vAlign w:val="center"/>
          </w:tcPr>
          <w:p w14:paraId="5F69A81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caps w:val="0"/>
                <w:smallCaps w:val="0"/>
                <w:sz w:val="18"/>
                <w:szCs w:val="18"/>
              </w:rPr>
            </w:pPr>
            <w:r>
              <w:rPr>
                <w:rFonts w:hint="default" w:ascii="Times New Roman" w:hAnsi="Times New Roman" w:eastAsia="宋体" w:cs="Times New Roman"/>
                <w:caps w:val="0"/>
                <w:smallCaps w:val="0"/>
                <w:sz w:val="18"/>
                <w:szCs w:val="18"/>
              </w:rPr>
              <w:t>主要分布于评价区内的树林、</w:t>
            </w:r>
            <w:r>
              <w:rPr>
                <w:rFonts w:hint="default" w:ascii="Times New Roman" w:hAnsi="Times New Roman" w:eastAsia="宋体" w:cs="Times New Roman"/>
                <w:caps w:val="0"/>
                <w:smallCaps w:val="0"/>
                <w:sz w:val="18"/>
                <w:szCs w:val="18"/>
                <w:lang w:val="en-US" w:eastAsia="zh-CN"/>
              </w:rPr>
              <w:t>水</w:t>
            </w:r>
            <w:r>
              <w:rPr>
                <w:rFonts w:hint="default" w:ascii="Times New Roman" w:hAnsi="Times New Roman" w:eastAsia="宋体" w:cs="Times New Roman"/>
                <w:caps w:val="0"/>
                <w:smallCaps w:val="0"/>
                <w:sz w:val="18"/>
                <w:szCs w:val="18"/>
              </w:rPr>
              <w:t>岸、农田等生境附近</w:t>
            </w:r>
          </w:p>
          <w:p w14:paraId="0EF23B64">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caps w:val="0"/>
                <w:smallCaps w:val="0"/>
                <w:sz w:val="18"/>
                <w:szCs w:val="18"/>
              </w:rPr>
            </w:pPr>
            <w:r>
              <w:rPr>
                <w:rFonts w:hint="default" w:ascii="Times New Roman" w:hAnsi="Times New Roman" w:eastAsia="宋体" w:cs="Times New Roman"/>
                <w:caps w:val="0"/>
                <w:smallCaps w:val="0"/>
                <w:sz w:val="18"/>
                <w:szCs w:val="18"/>
              </w:rPr>
              <w:t>主要分布于评价区内的树林、水岸等生境附近</w:t>
            </w:r>
          </w:p>
        </w:tc>
        <w:tc>
          <w:tcPr>
            <w:tcW w:w="232" w:type="pct"/>
            <w:tcBorders>
              <w:tl2br w:val="nil"/>
              <w:tr2bl w:val="nil"/>
            </w:tcBorders>
            <w:noWrap w:val="0"/>
            <w:vAlign w:val="center"/>
          </w:tcPr>
          <w:p w14:paraId="1EDE7AE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现场调查</w:t>
            </w:r>
          </w:p>
        </w:tc>
        <w:tc>
          <w:tcPr>
            <w:tcW w:w="515" w:type="pct"/>
            <w:vMerge w:val="restart"/>
            <w:tcBorders>
              <w:tl2br w:val="nil"/>
              <w:tr2bl w:val="nil"/>
            </w:tcBorders>
            <w:noWrap w:val="0"/>
            <w:vAlign w:val="center"/>
          </w:tcPr>
          <w:p w14:paraId="519D9F6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lang w:val="en-US" w:eastAsia="zh-CN"/>
              </w:rPr>
              <w:t>否，工程不占用其主要生境，适生区域分布在工程周边</w:t>
            </w:r>
          </w:p>
        </w:tc>
      </w:tr>
      <w:tr w14:paraId="4CF9D7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0B64BD90">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48200912">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白头鹎</w:t>
            </w:r>
          </w:p>
          <w:p w14:paraId="3421EAA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Pycnonotus sinensis</w:t>
            </w:r>
          </w:p>
        </w:tc>
        <w:tc>
          <w:tcPr>
            <w:tcW w:w="237" w:type="pct"/>
            <w:tcBorders>
              <w:tl2br w:val="nil"/>
              <w:tr2bl w:val="nil"/>
            </w:tcBorders>
            <w:noWrap w:val="0"/>
            <w:vAlign w:val="center"/>
          </w:tcPr>
          <w:p w14:paraId="29625129">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34DD4929">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3ACF09D5">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04B58E46">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别名有白头翁、白头婆、淡臀鹎、中国鹎等。喙黑色，嘴峰稍曲，端部下曲，具近端缺刻；鼻孔裸露，具瓣膜和嘴须；额至头顶黑色，虹膜褐色，眼至后枕白色，耳羽后端具一小白斑，髭纹黑色；上体灰褐或橄榄灰色具黄绿色羽缘，飞羽、翼上覆羽和尾羽黑褐色具橄榄绿色羽缘，尾呈方形；颏、喉部白色，胸灰褐色，腹白色具浅黄绿色纵纹，尾下覆羽白色略沾杂黄，脚黑色。幼鸟头灰褐色，后枕无显著性白斑，胸具灰色横纹。杂食性，动物以金龟子、蝗虫、蚊、蝇等为食，植物以野生楂、桑葚、樱桃、葡萄等为食。繁殖期为4-8月。</w:t>
            </w:r>
          </w:p>
        </w:tc>
        <w:tc>
          <w:tcPr>
            <w:tcW w:w="702" w:type="pct"/>
            <w:vMerge w:val="continue"/>
            <w:tcBorders>
              <w:tl2br w:val="nil"/>
              <w:tr2bl w:val="nil"/>
            </w:tcBorders>
            <w:noWrap w:val="0"/>
            <w:vAlign w:val="center"/>
          </w:tcPr>
          <w:p w14:paraId="20516A0E">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caps w:val="0"/>
                <w:smallCaps w:val="0"/>
                <w:sz w:val="18"/>
                <w:szCs w:val="18"/>
              </w:rPr>
            </w:pPr>
          </w:p>
        </w:tc>
        <w:tc>
          <w:tcPr>
            <w:tcW w:w="232" w:type="pct"/>
            <w:tcBorders>
              <w:tl2br w:val="nil"/>
              <w:tr2bl w:val="nil"/>
            </w:tcBorders>
            <w:noWrap w:val="0"/>
            <w:vAlign w:val="center"/>
          </w:tcPr>
          <w:p w14:paraId="63075DB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现场调查</w:t>
            </w:r>
          </w:p>
        </w:tc>
        <w:tc>
          <w:tcPr>
            <w:tcW w:w="515" w:type="pct"/>
            <w:vMerge w:val="continue"/>
            <w:tcBorders>
              <w:tl2br w:val="nil"/>
              <w:tr2bl w:val="nil"/>
            </w:tcBorders>
            <w:noWrap w:val="0"/>
            <w:vAlign w:val="center"/>
          </w:tcPr>
          <w:p w14:paraId="08388FD7">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r>
      <w:tr w14:paraId="3EE78C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03" w:type="pct"/>
            <w:tcBorders>
              <w:tl2br w:val="nil"/>
              <w:tr2bl w:val="nil"/>
            </w:tcBorders>
            <w:noWrap w:val="0"/>
            <w:vAlign w:val="center"/>
          </w:tcPr>
          <w:p w14:paraId="58ACBBC3">
            <w:pPr>
              <w:keepNext w:val="0"/>
              <w:keepLines w:val="0"/>
              <w:widowControl/>
              <w:numPr>
                <w:ilvl w:val="0"/>
                <w:numId w:val="20"/>
              </w:numPr>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c>
          <w:tcPr>
            <w:tcW w:w="475" w:type="pct"/>
            <w:tcBorders>
              <w:tl2br w:val="nil"/>
              <w:tr2bl w:val="nil"/>
            </w:tcBorders>
            <w:noWrap w:val="0"/>
            <w:vAlign w:val="center"/>
          </w:tcPr>
          <w:p w14:paraId="73874359">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val="0"/>
                <w:iCs w:val="0"/>
                <w:caps w:val="0"/>
                <w:smallCaps w:val="0"/>
                <w:sz w:val="18"/>
                <w:szCs w:val="18"/>
                <w:lang w:val="en-US" w:eastAsia="zh-CN"/>
              </w:rPr>
            </w:pPr>
            <w:r>
              <w:rPr>
                <w:rFonts w:hint="default" w:ascii="Times New Roman" w:hAnsi="Times New Roman" w:eastAsia="宋体" w:cs="Times New Roman"/>
                <w:b w:val="0"/>
                <w:bCs/>
                <w:i w:val="0"/>
                <w:iCs w:val="0"/>
                <w:caps w:val="0"/>
                <w:smallCaps w:val="0"/>
                <w:sz w:val="18"/>
                <w:szCs w:val="18"/>
                <w:lang w:val="en-US" w:eastAsia="zh-CN"/>
              </w:rPr>
              <w:t>乌鸫</w:t>
            </w:r>
          </w:p>
          <w:p w14:paraId="15B36D53">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i/>
                <w:iCs/>
                <w:caps w:val="0"/>
                <w:smallCaps w:val="0"/>
                <w:sz w:val="18"/>
                <w:szCs w:val="18"/>
                <w:lang w:val="en-US" w:eastAsia="zh-CN"/>
              </w:rPr>
            </w:pPr>
            <w:r>
              <w:rPr>
                <w:rFonts w:hint="default" w:ascii="Times New Roman" w:hAnsi="Times New Roman" w:eastAsia="宋体" w:cs="Times New Roman"/>
                <w:b w:val="0"/>
                <w:bCs/>
                <w:i/>
                <w:iCs/>
                <w:caps w:val="0"/>
                <w:smallCaps w:val="0"/>
                <w:sz w:val="18"/>
                <w:szCs w:val="18"/>
                <w:lang w:val="en-US" w:eastAsia="zh-CN"/>
              </w:rPr>
              <w:t>Turdus merula</w:t>
            </w:r>
          </w:p>
        </w:tc>
        <w:tc>
          <w:tcPr>
            <w:tcW w:w="237" w:type="pct"/>
            <w:tcBorders>
              <w:tl2br w:val="nil"/>
              <w:tr2bl w:val="nil"/>
            </w:tcBorders>
            <w:noWrap w:val="0"/>
            <w:vAlign w:val="center"/>
          </w:tcPr>
          <w:p w14:paraId="3F460C9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省级</w:t>
            </w:r>
          </w:p>
        </w:tc>
        <w:tc>
          <w:tcPr>
            <w:tcW w:w="205" w:type="pct"/>
            <w:tcBorders>
              <w:tl2br w:val="nil"/>
              <w:tr2bl w:val="nil"/>
            </w:tcBorders>
            <w:noWrap w:val="0"/>
            <w:vAlign w:val="center"/>
          </w:tcPr>
          <w:p w14:paraId="202F4EF1">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val="0"/>
                <w:bCs/>
                <w:caps w:val="0"/>
                <w:smallCaps w:val="0"/>
                <w:sz w:val="18"/>
                <w:szCs w:val="18"/>
                <w:lang w:val="en-US" w:eastAsia="zh-CN"/>
              </w:rPr>
            </w:pPr>
            <w:r>
              <w:rPr>
                <w:rFonts w:hint="default" w:ascii="Times New Roman" w:hAnsi="Times New Roman" w:eastAsia="宋体" w:cs="Times New Roman"/>
                <w:b w:val="0"/>
                <w:bCs/>
                <w:caps w:val="0"/>
                <w:smallCaps w:val="0"/>
                <w:sz w:val="18"/>
                <w:szCs w:val="18"/>
                <w:lang w:val="en-US" w:eastAsia="zh-CN"/>
              </w:rPr>
              <w:t>LC</w:t>
            </w:r>
          </w:p>
        </w:tc>
        <w:tc>
          <w:tcPr>
            <w:tcW w:w="316" w:type="pct"/>
            <w:tcBorders>
              <w:tl2br w:val="nil"/>
              <w:tr2bl w:val="nil"/>
            </w:tcBorders>
            <w:noWrap w:val="0"/>
            <w:vAlign w:val="center"/>
          </w:tcPr>
          <w:p w14:paraId="09C5BDD0">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否</w:t>
            </w:r>
          </w:p>
        </w:tc>
        <w:tc>
          <w:tcPr>
            <w:tcW w:w="2111" w:type="pct"/>
            <w:tcBorders>
              <w:tl2br w:val="nil"/>
              <w:tr2bl w:val="nil"/>
            </w:tcBorders>
            <w:noWrap w:val="0"/>
            <w:vAlign w:val="center"/>
          </w:tcPr>
          <w:p w14:paraId="336A3CCC">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both"/>
              <w:rPr>
                <w:rFonts w:hint="default" w:ascii="Times New Roman" w:hAnsi="Times New Roman" w:eastAsia="宋体" w:cs="Times New Roman"/>
                <w:bCs/>
                <w:caps w:val="0"/>
                <w:smallCaps w:val="0"/>
                <w:sz w:val="18"/>
                <w:szCs w:val="18"/>
              </w:rPr>
            </w:pPr>
            <w:r>
              <w:rPr>
                <w:rFonts w:hint="default" w:ascii="Times New Roman" w:hAnsi="Times New Roman" w:eastAsia="宋体" w:cs="Times New Roman"/>
                <w:bCs/>
                <w:caps w:val="0"/>
                <w:smallCaps w:val="0"/>
                <w:sz w:val="18"/>
                <w:szCs w:val="18"/>
              </w:rPr>
              <w:t>体长26-28厘米，雄鸟通体黑色，嘴和眼周橙黄色，脚黑褐色；雌鸟通体黑褐色而沾锈色，下体尤著，有不明显的暗色纵横。鸣声嘹亮，富于音韵，并能模仿其他鸟的叫声，故有“百舌”之称，是一种常见的鸣叫观赏鸟。以昆虫和昆虫幼虫为食，也吃植物的果实和种子。营巢于村寨附近、房前屋后和田园中乔木主干分枝处；4-7月繁殖。</w:t>
            </w:r>
          </w:p>
        </w:tc>
        <w:tc>
          <w:tcPr>
            <w:tcW w:w="702" w:type="pct"/>
            <w:vMerge w:val="continue"/>
            <w:tcBorders>
              <w:tl2br w:val="nil"/>
              <w:tr2bl w:val="nil"/>
            </w:tcBorders>
            <w:noWrap w:val="0"/>
            <w:vAlign w:val="center"/>
          </w:tcPr>
          <w:p w14:paraId="2BD0F628">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caps w:val="0"/>
                <w:smallCaps w:val="0"/>
                <w:sz w:val="18"/>
                <w:szCs w:val="18"/>
              </w:rPr>
            </w:pPr>
          </w:p>
        </w:tc>
        <w:tc>
          <w:tcPr>
            <w:tcW w:w="232" w:type="pct"/>
            <w:tcBorders>
              <w:tl2br w:val="nil"/>
              <w:tr2bl w:val="nil"/>
            </w:tcBorders>
            <w:noWrap w:val="0"/>
            <w:vAlign w:val="center"/>
          </w:tcPr>
          <w:p w14:paraId="548D8DA5">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r>
              <w:rPr>
                <w:rFonts w:hint="default" w:ascii="Times New Roman" w:hAnsi="Times New Roman" w:eastAsia="宋体" w:cs="Times New Roman"/>
                <w:bCs/>
                <w:caps w:val="0"/>
                <w:smallCaps w:val="0"/>
                <w:sz w:val="18"/>
                <w:szCs w:val="18"/>
                <w:lang w:val="en-US" w:eastAsia="zh-CN"/>
              </w:rPr>
              <w:t>现场调查</w:t>
            </w:r>
          </w:p>
        </w:tc>
        <w:tc>
          <w:tcPr>
            <w:tcW w:w="515" w:type="pct"/>
            <w:vMerge w:val="continue"/>
            <w:tcBorders>
              <w:tl2br w:val="nil"/>
              <w:tr2bl w:val="nil"/>
            </w:tcBorders>
            <w:noWrap w:val="0"/>
            <w:vAlign w:val="center"/>
          </w:tcPr>
          <w:p w14:paraId="09F823AA">
            <w:pPr>
              <w:keepNext w:val="0"/>
              <w:keepLines w:val="0"/>
              <w:widowControl/>
              <w:suppressLineNumbers w:val="0"/>
              <w:tabs>
                <w:tab w:val="left" w:pos="480"/>
              </w:tabs>
              <w:adjustRightInd w:val="0"/>
              <w:snapToGrid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sz w:val="18"/>
                <w:szCs w:val="18"/>
                <w:lang w:val="en-US" w:eastAsia="zh-CN"/>
              </w:rPr>
            </w:pPr>
          </w:p>
        </w:tc>
      </w:tr>
    </w:tbl>
    <w:p w14:paraId="3C10BED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aps w:val="0"/>
          <w:smallCaps w:val="0"/>
          <w:sz w:val="24"/>
          <w:szCs w:val="24"/>
          <w:lang w:eastAsia="zh-CN"/>
        </w:rPr>
        <w:sectPr>
          <w:pgSz w:w="16838" w:h="11905" w:orient="landscape"/>
          <w:pgMar w:top="1797" w:right="1440" w:bottom="1797" w:left="1440" w:header="851" w:footer="992" w:gutter="0"/>
          <w:pgBorders>
            <w:top w:val="none" w:sz="0" w:space="0"/>
            <w:left w:val="none" w:sz="0" w:space="0"/>
            <w:bottom w:val="none" w:sz="0" w:space="0"/>
            <w:right w:val="none" w:sz="0" w:space="0"/>
          </w:pgBorders>
          <w:pgNumType w:fmt="decimal"/>
          <w:cols w:space="0" w:num="1"/>
          <w:rtlGutter w:val="0"/>
          <w:docGrid w:linePitch="312" w:charSpace="0"/>
        </w:sectPr>
      </w:pPr>
    </w:p>
    <w:p w14:paraId="197DB684">
      <w:pPr>
        <w:pStyle w:val="4"/>
        <w:bidi w:val="0"/>
        <w:rPr>
          <w:rFonts w:hint="default" w:ascii="Times New Roman" w:hAnsi="Times New Roman" w:cs="Times New Roman"/>
          <w:lang w:val="en-US" w:eastAsia="zh-CN"/>
        </w:rPr>
      </w:pPr>
      <w:bookmarkStart w:id="248" w:name="_Toc17541"/>
      <w:bookmarkStart w:id="249" w:name="_Toc5415"/>
      <w:bookmarkStart w:id="250" w:name="_Toc18813"/>
      <w:bookmarkStart w:id="251" w:name="_Toc6655"/>
      <w:bookmarkStart w:id="252" w:name="_Toc31271"/>
      <w:bookmarkStart w:id="253" w:name="_Toc8528"/>
      <w:bookmarkStart w:id="254" w:name="_Toc25507"/>
      <w:r>
        <w:rPr>
          <w:rFonts w:hint="default" w:ascii="Times New Roman" w:hAnsi="Times New Roman" w:cs="Times New Roman"/>
          <w:lang w:val="en-US" w:eastAsia="zh-CN"/>
        </w:rPr>
        <w:t>水生生态现状</w:t>
      </w:r>
      <w:bookmarkEnd w:id="248"/>
      <w:bookmarkEnd w:id="249"/>
    </w:p>
    <w:p w14:paraId="2DF39353">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水生生境</w:t>
      </w:r>
    </w:p>
    <w:p w14:paraId="4AE4BBE3">
      <w:pPr>
        <w:spacing w:line="360" w:lineRule="auto"/>
        <w:ind w:firstLine="480" w:firstLineChars="200"/>
        <w:rPr>
          <w:rFonts w:hint="default" w:ascii="Times New Roman" w:hAnsi="Times New Roman" w:eastAsia="宋体" w:cs="Times New Roman"/>
          <w:caps w:val="0"/>
          <w:smallCaps w:val="0"/>
          <w:color w:val="auto"/>
          <w:sz w:val="24"/>
          <w:szCs w:val="24"/>
          <w:highlight w:val="none"/>
          <w:u w:val="none"/>
          <w:lang w:val="en-US" w:eastAsia="zh-CN" w:bidi="ar"/>
        </w:rPr>
      </w:pPr>
      <w:r>
        <w:rPr>
          <w:rFonts w:hint="default" w:ascii="Times New Roman" w:hAnsi="Times New Roman" w:eastAsia="宋体" w:cs="Times New Roman"/>
          <w:caps w:val="0"/>
          <w:smallCaps w:val="0"/>
          <w:color w:val="auto"/>
          <w:sz w:val="24"/>
          <w:szCs w:val="24"/>
          <w:highlight w:val="none"/>
          <w:u w:val="none"/>
          <w:lang w:val="en-US" w:eastAsia="zh-CN" w:bidi="ar"/>
        </w:rPr>
        <w:t>东山水库大坝位于华容县东山镇仙鹅寺村，枢纽座落在大荆湖水系主支流—白马港（河）的中上游，东山水库坝址控制集雨面积13.3km</w:t>
      </w:r>
      <w:r>
        <w:rPr>
          <w:rFonts w:hint="default" w:ascii="Times New Roman" w:hAnsi="Times New Roman" w:eastAsia="宋体" w:cs="Times New Roman"/>
          <w:caps w:val="0"/>
          <w:smallCaps w:val="0"/>
          <w:color w:val="auto"/>
          <w:sz w:val="24"/>
          <w:szCs w:val="24"/>
          <w:highlight w:val="none"/>
          <w:u w:val="none"/>
          <w:vertAlign w:val="superscript"/>
          <w:lang w:val="en-US" w:eastAsia="zh-CN" w:bidi="ar"/>
        </w:rPr>
        <w:t>2</w:t>
      </w:r>
      <w:r>
        <w:rPr>
          <w:rFonts w:hint="default" w:ascii="Times New Roman" w:hAnsi="Times New Roman" w:eastAsia="宋体" w:cs="Times New Roman"/>
          <w:caps w:val="0"/>
          <w:smallCaps w:val="0"/>
          <w:color w:val="auto"/>
          <w:sz w:val="24"/>
          <w:szCs w:val="24"/>
          <w:highlight w:val="none"/>
          <w:u w:val="none"/>
          <w:lang w:val="en-US" w:eastAsia="zh-CN" w:bidi="ar"/>
        </w:rPr>
        <w:t>，另有枯水期外引集雨面积1.19km</w:t>
      </w:r>
      <w:r>
        <w:rPr>
          <w:rFonts w:hint="default" w:ascii="Times New Roman" w:hAnsi="Times New Roman" w:eastAsia="宋体" w:cs="Times New Roman"/>
          <w:caps w:val="0"/>
          <w:smallCaps w:val="0"/>
          <w:color w:val="auto"/>
          <w:sz w:val="24"/>
          <w:szCs w:val="24"/>
          <w:highlight w:val="none"/>
          <w:u w:val="none"/>
          <w:vertAlign w:val="superscript"/>
          <w:lang w:val="en-US" w:eastAsia="zh-CN" w:bidi="ar"/>
        </w:rPr>
        <w:t>2</w:t>
      </w:r>
      <w:r>
        <w:rPr>
          <w:rFonts w:hint="default" w:ascii="Times New Roman" w:hAnsi="Times New Roman" w:eastAsia="宋体" w:cs="Times New Roman"/>
          <w:caps w:val="0"/>
          <w:smallCaps w:val="0"/>
          <w:color w:val="auto"/>
          <w:sz w:val="24"/>
          <w:szCs w:val="24"/>
          <w:highlight w:val="none"/>
          <w:u w:val="none"/>
          <w:lang w:val="en-US" w:eastAsia="zh-CN" w:bidi="ar"/>
        </w:rPr>
        <w:t>。正常蓄水位67.50m，正常库容960.60万m</w:t>
      </w:r>
      <w:r>
        <w:rPr>
          <w:rFonts w:hint="default" w:ascii="Times New Roman" w:hAnsi="Times New Roman" w:eastAsia="宋体" w:cs="Times New Roman"/>
          <w:caps w:val="0"/>
          <w:smallCaps w:val="0"/>
          <w:color w:val="auto"/>
          <w:sz w:val="24"/>
          <w:szCs w:val="24"/>
          <w:highlight w:val="none"/>
          <w:u w:val="none"/>
          <w:vertAlign w:val="superscript"/>
          <w:lang w:val="en-US" w:eastAsia="zh-CN" w:bidi="ar"/>
        </w:rPr>
        <w:t>3</w:t>
      </w:r>
      <w:r>
        <w:rPr>
          <w:rFonts w:hint="default" w:ascii="Times New Roman" w:hAnsi="Times New Roman" w:eastAsia="宋体" w:cs="Times New Roman"/>
          <w:caps w:val="0"/>
          <w:smallCaps w:val="0"/>
          <w:color w:val="auto"/>
          <w:sz w:val="24"/>
          <w:szCs w:val="24"/>
          <w:highlight w:val="none"/>
          <w:u w:val="none"/>
          <w:lang w:val="en-US" w:eastAsia="zh-CN" w:bidi="ar"/>
        </w:rPr>
        <w:t>。校核洪水标准为1000年一遇，校核洪水位68.70m，相应库容1054.50万m</w:t>
      </w:r>
      <w:r>
        <w:rPr>
          <w:rFonts w:hint="default" w:ascii="Times New Roman" w:hAnsi="Times New Roman" w:eastAsia="宋体" w:cs="Times New Roman"/>
          <w:caps w:val="0"/>
          <w:smallCaps w:val="0"/>
          <w:color w:val="auto"/>
          <w:sz w:val="24"/>
          <w:szCs w:val="24"/>
          <w:highlight w:val="none"/>
          <w:u w:val="none"/>
          <w:vertAlign w:val="superscript"/>
          <w:lang w:val="en-US" w:eastAsia="zh-CN" w:bidi="ar"/>
        </w:rPr>
        <w:t>3</w:t>
      </w:r>
      <w:r>
        <w:rPr>
          <w:rFonts w:hint="default" w:ascii="Times New Roman" w:hAnsi="Times New Roman" w:eastAsia="宋体" w:cs="Times New Roman"/>
          <w:caps w:val="0"/>
          <w:smallCaps w:val="0"/>
          <w:color w:val="auto"/>
          <w:sz w:val="24"/>
          <w:szCs w:val="24"/>
          <w:highlight w:val="none"/>
          <w:u w:val="none"/>
          <w:lang w:val="en-US" w:eastAsia="zh-CN" w:bidi="ar"/>
        </w:rPr>
        <w:t>，死水位48.30m，相应库容92.00万m</w:t>
      </w:r>
      <w:r>
        <w:rPr>
          <w:rFonts w:hint="default" w:ascii="Times New Roman" w:hAnsi="Times New Roman" w:eastAsia="宋体" w:cs="Times New Roman"/>
          <w:caps w:val="0"/>
          <w:smallCaps w:val="0"/>
          <w:color w:val="auto"/>
          <w:sz w:val="24"/>
          <w:szCs w:val="24"/>
          <w:highlight w:val="none"/>
          <w:u w:val="none"/>
          <w:vertAlign w:val="superscript"/>
          <w:lang w:val="en-US" w:eastAsia="zh-CN" w:bidi="ar"/>
        </w:rPr>
        <w:t>3</w:t>
      </w:r>
      <w:r>
        <w:rPr>
          <w:rFonts w:hint="default" w:ascii="Times New Roman" w:hAnsi="Times New Roman" w:eastAsia="宋体" w:cs="Times New Roman"/>
          <w:caps w:val="0"/>
          <w:smallCaps w:val="0"/>
          <w:color w:val="auto"/>
          <w:sz w:val="24"/>
          <w:szCs w:val="24"/>
          <w:highlight w:val="none"/>
          <w:u w:val="none"/>
          <w:lang w:val="en-US" w:eastAsia="zh-CN" w:bidi="ar"/>
        </w:rPr>
        <w:t>。</w:t>
      </w:r>
    </w:p>
    <w:p w14:paraId="08FC8240">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水生生物</w:t>
      </w:r>
    </w:p>
    <w:p w14:paraId="48B78CE6">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浮游植物</w:t>
      </w:r>
    </w:p>
    <w:p w14:paraId="1F7B35B2">
      <w:pPr>
        <w:widowControl w:val="0"/>
        <w:spacing w:line="360" w:lineRule="auto"/>
        <w:ind w:firstLine="536" w:firstLineChars="200"/>
        <w:jc w:val="both"/>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spacing w:val="14"/>
          <w:sz w:val="24"/>
          <w:szCs w:val="24"/>
          <w:u w:val="none" w:color="auto"/>
        </w:rPr>
        <w:t>经查</w:t>
      </w:r>
      <w:r>
        <w:rPr>
          <w:rFonts w:hint="default" w:ascii="Times New Roman" w:hAnsi="Times New Roman" w:eastAsia="宋体" w:cs="Times New Roman"/>
          <w:color w:val="auto"/>
          <w:spacing w:val="7"/>
          <w:sz w:val="24"/>
          <w:szCs w:val="24"/>
          <w:u w:val="none" w:color="auto"/>
        </w:rPr>
        <w:t>阅资料，评价范围</w:t>
      </w:r>
      <w:r>
        <w:rPr>
          <w:rFonts w:hint="default" w:ascii="Times New Roman" w:hAnsi="Times New Roman" w:eastAsia="宋体" w:cs="Times New Roman"/>
          <w:color w:val="auto"/>
          <w:spacing w:val="15"/>
          <w:sz w:val="24"/>
          <w:szCs w:val="24"/>
          <w:u w:val="none" w:color="auto"/>
        </w:rPr>
        <w:t>浮</w:t>
      </w:r>
      <w:r>
        <w:rPr>
          <w:rFonts w:hint="default" w:ascii="Times New Roman" w:hAnsi="Times New Roman" w:eastAsia="宋体" w:cs="Times New Roman"/>
          <w:color w:val="auto"/>
          <w:spacing w:val="9"/>
          <w:sz w:val="24"/>
          <w:szCs w:val="24"/>
          <w:u w:val="none" w:color="auto"/>
        </w:rPr>
        <w:t>游植物优势门类为绿藻门和硅藻门，其中以四角十字藻(</w:t>
      </w:r>
      <w:r>
        <w:rPr>
          <w:rFonts w:hint="default" w:ascii="Times New Roman" w:hAnsi="Times New Roman" w:eastAsia="宋体" w:cs="Times New Roman"/>
          <w:i/>
          <w:iCs/>
          <w:color w:val="auto"/>
          <w:sz w:val="24"/>
          <w:szCs w:val="24"/>
          <w:u w:val="none" w:color="auto"/>
        </w:rPr>
        <w:t>Crucigenia</w:t>
      </w:r>
      <w:r>
        <w:rPr>
          <w:rFonts w:hint="default" w:ascii="Times New Roman" w:hAnsi="Times New Roman" w:eastAsia="宋体" w:cs="Times New Roman"/>
          <w:i/>
          <w:iCs/>
          <w:color w:val="auto"/>
          <w:spacing w:val="9"/>
          <w:sz w:val="24"/>
          <w:szCs w:val="24"/>
          <w:u w:val="none" w:color="auto"/>
        </w:rPr>
        <w:t xml:space="preserve"> </w:t>
      </w:r>
      <w:r>
        <w:rPr>
          <w:rFonts w:hint="default" w:ascii="Times New Roman" w:hAnsi="Times New Roman" w:eastAsia="宋体" w:cs="Times New Roman"/>
          <w:i/>
          <w:iCs/>
          <w:color w:val="auto"/>
          <w:sz w:val="24"/>
          <w:szCs w:val="24"/>
          <w:u w:val="none" w:color="auto"/>
        </w:rPr>
        <w:t>quadrata</w:t>
      </w:r>
      <w:r>
        <w:rPr>
          <w:rFonts w:hint="default" w:ascii="Times New Roman" w:hAnsi="Times New Roman" w:eastAsia="宋体" w:cs="Times New Roman"/>
          <w:color w:val="auto"/>
          <w:spacing w:val="9"/>
          <w:sz w:val="24"/>
          <w:szCs w:val="24"/>
          <w:u w:val="none" w:color="auto"/>
        </w:rPr>
        <w:t>)、四尾</w:t>
      </w:r>
      <w:r>
        <w:rPr>
          <w:rFonts w:hint="default" w:ascii="Times New Roman" w:hAnsi="Times New Roman" w:eastAsia="宋体" w:cs="Times New Roman"/>
          <w:color w:val="auto"/>
          <w:spacing w:val="10"/>
          <w:sz w:val="24"/>
          <w:szCs w:val="24"/>
          <w:u w:val="none" w:color="auto"/>
        </w:rPr>
        <w:t>栅藻(</w:t>
      </w:r>
      <w:r>
        <w:rPr>
          <w:rFonts w:hint="default" w:ascii="Times New Roman" w:hAnsi="Times New Roman" w:eastAsia="宋体" w:cs="Times New Roman"/>
          <w:i/>
          <w:iCs/>
          <w:color w:val="auto"/>
          <w:sz w:val="24"/>
          <w:szCs w:val="24"/>
          <w:u w:val="none" w:color="auto"/>
        </w:rPr>
        <w:t>Scenedesmus</w:t>
      </w:r>
      <w:r>
        <w:rPr>
          <w:rFonts w:hint="default" w:ascii="Times New Roman" w:hAnsi="Times New Roman" w:eastAsia="宋体" w:cs="Times New Roman"/>
          <w:i/>
          <w:iCs/>
          <w:color w:val="auto"/>
          <w:spacing w:val="10"/>
          <w:sz w:val="24"/>
          <w:szCs w:val="24"/>
          <w:u w:val="none" w:color="auto"/>
        </w:rPr>
        <w:t xml:space="preserve"> </w:t>
      </w:r>
      <w:r>
        <w:rPr>
          <w:rFonts w:hint="default" w:ascii="Times New Roman" w:hAnsi="Times New Roman" w:eastAsia="宋体" w:cs="Times New Roman"/>
          <w:i/>
          <w:iCs/>
          <w:color w:val="auto"/>
          <w:sz w:val="24"/>
          <w:szCs w:val="24"/>
          <w:u w:val="none" w:color="auto"/>
        </w:rPr>
        <w:t>quadricauda</w:t>
      </w:r>
      <w:r>
        <w:rPr>
          <w:rFonts w:hint="default" w:ascii="Times New Roman" w:hAnsi="Times New Roman" w:eastAsia="宋体" w:cs="Times New Roman"/>
          <w:color w:val="auto"/>
          <w:spacing w:val="10"/>
          <w:sz w:val="24"/>
          <w:szCs w:val="24"/>
          <w:u w:val="none" w:color="auto"/>
        </w:rPr>
        <w:t>)、颗粒直链藻(</w:t>
      </w:r>
      <w:r>
        <w:rPr>
          <w:rFonts w:hint="default" w:ascii="Times New Roman" w:hAnsi="Times New Roman" w:eastAsia="宋体" w:cs="Times New Roman"/>
          <w:i/>
          <w:iCs/>
          <w:color w:val="auto"/>
          <w:sz w:val="24"/>
          <w:szCs w:val="24"/>
          <w:u w:val="none" w:color="auto"/>
        </w:rPr>
        <w:t>Melosira</w:t>
      </w:r>
      <w:r>
        <w:rPr>
          <w:rFonts w:hint="default" w:ascii="Times New Roman" w:hAnsi="Times New Roman" w:eastAsia="宋体" w:cs="Times New Roman"/>
          <w:i/>
          <w:iCs/>
          <w:color w:val="auto"/>
          <w:spacing w:val="10"/>
          <w:sz w:val="24"/>
          <w:szCs w:val="24"/>
          <w:u w:val="none" w:color="auto"/>
        </w:rPr>
        <w:t xml:space="preserve"> </w:t>
      </w:r>
      <w:r>
        <w:rPr>
          <w:rFonts w:hint="default" w:ascii="Times New Roman" w:hAnsi="Times New Roman" w:eastAsia="宋体" w:cs="Times New Roman"/>
          <w:i/>
          <w:iCs/>
          <w:color w:val="auto"/>
          <w:sz w:val="24"/>
          <w:szCs w:val="24"/>
          <w:u w:val="none" w:color="auto"/>
        </w:rPr>
        <w:t>granulata</w:t>
      </w:r>
      <w:r>
        <w:rPr>
          <w:rFonts w:hint="default" w:ascii="Times New Roman" w:hAnsi="Times New Roman" w:eastAsia="宋体" w:cs="Times New Roman"/>
          <w:color w:val="auto"/>
          <w:spacing w:val="10"/>
          <w:sz w:val="24"/>
          <w:szCs w:val="24"/>
          <w:u w:val="none" w:color="auto"/>
          <w:lang w:eastAsia="zh-CN"/>
        </w:rPr>
        <w:t>）</w:t>
      </w:r>
      <w:r>
        <w:rPr>
          <w:rFonts w:hint="default" w:ascii="Times New Roman" w:hAnsi="Times New Roman" w:eastAsia="宋体" w:cs="Times New Roman"/>
          <w:color w:val="auto"/>
          <w:spacing w:val="10"/>
          <w:sz w:val="24"/>
          <w:szCs w:val="24"/>
          <w:u w:val="none" w:color="auto"/>
        </w:rPr>
        <w:t>和尖针杆藻</w:t>
      </w:r>
      <w:r>
        <w:rPr>
          <w:rFonts w:hint="default" w:ascii="Times New Roman" w:hAnsi="Times New Roman" w:eastAsia="宋体" w:cs="Times New Roman"/>
          <w:color w:val="auto"/>
          <w:spacing w:val="6"/>
          <w:sz w:val="24"/>
          <w:szCs w:val="24"/>
          <w:u w:val="none" w:color="auto"/>
        </w:rPr>
        <w:t>(</w:t>
      </w:r>
      <w:r>
        <w:rPr>
          <w:rFonts w:hint="default" w:ascii="Times New Roman" w:hAnsi="Times New Roman" w:eastAsia="宋体" w:cs="Times New Roman"/>
          <w:i/>
          <w:iCs/>
          <w:color w:val="auto"/>
          <w:sz w:val="24"/>
          <w:szCs w:val="24"/>
          <w:u w:val="none" w:color="auto"/>
        </w:rPr>
        <w:t>Synedra acusvar</w:t>
      </w:r>
      <w:r>
        <w:rPr>
          <w:rFonts w:hint="default" w:ascii="Times New Roman" w:hAnsi="Times New Roman" w:eastAsia="宋体" w:cs="Times New Roman"/>
          <w:color w:val="auto"/>
          <w:sz w:val="24"/>
          <w:szCs w:val="24"/>
          <w:u w:val="none" w:color="auto"/>
          <w:lang w:eastAsia="zh-CN"/>
        </w:rPr>
        <w:t>）</w:t>
      </w:r>
      <w:r>
        <w:rPr>
          <w:rFonts w:hint="default" w:ascii="Times New Roman" w:hAnsi="Times New Roman" w:eastAsia="宋体" w:cs="Times New Roman"/>
          <w:color w:val="auto"/>
          <w:spacing w:val="10"/>
          <w:sz w:val="24"/>
          <w:szCs w:val="24"/>
          <w:u w:val="none" w:color="auto"/>
        </w:rPr>
        <w:t>为优势种。</w:t>
      </w:r>
    </w:p>
    <w:p w14:paraId="4FFEE357">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浮游动物</w:t>
      </w:r>
    </w:p>
    <w:p w14:paraId="3125ACC3">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2"/>
          <w:position w:val="0"/>
          <w:sz w:val="24"/>
          <w:szCs w:val="24"/>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2"/>
          <w:position w:val="0"/>
          <w:sz w:val="24"/>
          <w:szCs w:val="24"/>
          <w:highlight w:val="none"/>
          <w:u w:val="none" w:color="auto"/>
          <w:lang w:val="en-US" w:eastAsia="zh-CN" w:bidi="ar-SA"/>
        </w:rPr>
        <w:t>浮游动物（zooplankton）是一个复杂的生态类群，包含无脊椎动物的大部分门类。在淡水水体中研究最多的是原生动物（protozoan）、轮虫（rotifer）、枝角类（cladocera）和桡足类（copepod）四大类。浮游动物以水生细菌和浮游藻类为食，是属于水生生态系统中的消费者第二营养级，亦称次级生产力。</w:t>
      </w:r>
    </w:p>
    <w:p w14:paraId="6ED60C93">
      <w:pPr>
        <w:widowControl w:val="0"/>
        <w:spacing w:line="360" w:lineRule="auto"/>
        <w:ind w:firstLine="536" w:firstLineChars="200"/>
        <w:jc w:val="both"/>
        <w:rPr>
          <w:rFonts w:hint="default" w:ascii="Times New Roman" w:hAnsi="Times New Roman" w:eastAsia="宋体" w:cs="Times New Roman"/>
          <w:caps w:val="0"/>
          <w:smallCaps w:val="0"/>
          <w:color w:val="auto"/>
          <w:spacing w:val="0"/>
          <w:w w:val="100"/>
          <w:position w:val="0"/>
          <w:sz w:val="24"/>
          <w:szCs w:val="24"/>
          <w:highlight w:val="none"/>
          <w:u w:val="none" w:color="auto"/>
        </w:rPr>
      </w:pPr>
      <w:r>
        <w:rPr>
          <w:rFonts w:hint="default" w:ascii="Times New Roman" w:hAnsi="Times New Roman" w:eastAsia="宋体" w:cs="Times New Roman"/>
          <w:color w:val="auto"/>
          <w:spacing w:val="14"/>
          <w:sz w:val="24"/>
          <w:szCs w:val="24"/>
          <w:u w:val="none" w:color="auto"/>
        </w:rPr>
        <w:t>经查</w:t>
      </w:r>
      <w:r>
        <w:rPr>
          <w:rFonts w:hint="default" w:ascii="Times New Roman" w:hAnsi="Times New Roman" w:eastAsia="宋体" w:cs="Times New Roman"/>
          <w:color w:val="auto"/>
          <w:spacing w:val="7"/>
          <w:sz w:val="24"/>
          <w:szCs w:val="24"/>
          <w:u w:val="none" w:color="auto"/>
        </w:rPr>
        <w:t>阅资料，</w:t>
      </w:r>
      <w:r>
        <w:rPr>
          <w:rFonts w:hint="default" w:ascii="Times New Roman" w:hAnsi="Times New Roman" w:eastAsia="宋体" w:cs="Times New Roman"/>
          <w:color w:val="auto"/>
          <w:spacing w:val="7"/>
          <w:sz w:val="24"/>
          <w:szCs w:val="24"/>
          <w:u w:val="none" w:color="auto"/>
          <w:lang w:val="en-US" w:eastAsia="zh-CN"/>
        </w:rPr>
        <w:t>评价区</w:t>
      </w:r>
      <w:r>
        <w:rPr>
          <w:rFonts w:hint="default" w:ascii="Times New Roman" w:hAnsi="Times New Roman" w:eastAsia="宋体" w:cs="Times New Roman"/>
          <w:caps w:val="0"/>
          <w:smallCaps w:val="0"/>
          <w:color w:val="auto"/>
          <w:spacing w:val="0"/>
          <w:w w:val="100"/>
          <w:position w:val="0"/>
          <w:sz w:val="24"/>
          <w:szCs w:val="24"/>
          <w:highlight w:val="none"/>
          <w:u w:val="none" w:color="auto"/>
        </w:rPr>
        <w:t>共</w:t>
      </w:r>
      <w:r>
        <w:rPr>
          <w:rFonts w:hint="default" w:ascii="Times New Roman" w:hAnsi="Times New Roman" w:eastAsia="宋体" w:cs="Times New Roman"/>
          <w:caps w:val="0"/>
          <w:smallCaps w:val="0"/>
          <w:color w:val="auto"/>
          <w:spacing w:val="0"/>
          <w:w w:val="100"/>
          <w:position w:val="0"/>
          <w:sz w:val="24"/>
          <w:szCs w:val="24"/>
          <w:highlight w:val="none"/>
          <w:u w:val="none" w:color="auto"/>
          <w:lang w:val="en-US" w:eastAsia="zh-CN"/>
        </w:rPr>
        <w:t>有</w:t>
      </w:r>
      <w:r>
        <w:rPr>
          <w:rFonts w:hint="default" w:ascii="Times New Roman" w:hAnsi="Times New Roman" w:eastAsia="宋体" w:cs="Times New Roman"/>
          <w:caps w:val="0"/>
          <w:smallCaps w:val="0"/>
          <w:color w:val="auto"/>
          <w:spacing w:val="0"/>
          <w:w w:val="100"/>
          <w:position w:val="0"/>
          <w:sz w:val="24"/>
          <w:szCs w:val="24"/>
          <w:highlight w:val="none"/>
          <w:u w:val="none" w:color="auto"/>
        </w:rPr>
        <w:t>浮游动物3类9种</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其中原生动物2种</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轮虫6种</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以及桡足类1种</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分别占到种类总数的22.2</w:t>
      </w:r>
      <w:r>
        <w:rPr>
          <w:rFonts w:hint="default" w:ascii="Times New Roman" w:hAnsi="Times New Roman" w:eastAsia="宋体" w:cs="Times New Roman"/>
          <w:caps w:val="0"/>
          <w:smallCaps w:val="0"/>
          <w:color w:val="auto"/>
          <w:spacing w:val="0"/>
          <w:w w:val="100"/>
          <w:position w:val="0"/>
          <w:sz w:val="24"/>
          <w:szCs w:val="24"/>
          <w:highlight w:val="none"/>
          <w:u w:val="none" w:color="auto"/>
          <w:lang w:val="en-US" w:eastAsia="zh-CN"/>
        </w:rPr>
        <w:t>1</w:t>
      </w:r>
      <w:r>
        <w:rPr>
          <w:rFonts w:hint="default" w:ascii="Times New Roman" w:hAnsi="Times New Roman" w:eastAsia="宋体" w:cs="Times New Roman"/>
          <w:caps w:val="0"/>
          <w:smallCaps w:val="0"/>
          <w:color w:val="auto"/>
          <w:spacing w:val="0"/>
          <w:w w:val="100"/>
          <w:position w:val="0"/>
          <w:sz w:val="24"/>
          <w:szCs w:val="24"/>
          <w:highlight w:val="none"/>
          <w:u w:val="none" w:color="auto"/>
        </w:rPr>
        <w:t>%、66.6</w:t>
      </w:r>
      <w:r>
        <w:rPr>
          <w:rFonts w:hint="default" w:ascii="Times New Roman" w:hAnsi="Times New Roman" w:eastAsia="宋体" w:cs="Times New Roman"/>
          <w:caps w:val="0"/>
          <w:smallCaps w:val="0"/>
          <w:color w:val="auto"/>
          <w:spacing w:val="0"/>
          <w:w w:val="100"/>
          <w:position w:val="0"/>
          <w:sz w:val="24"/>
          <w:szCs w:val="24"/>
          <w:highlight w:val="none"/>
          <w:u w:val="none" w:color="auto"/>
          <w:lang w:val="en-US" w:eastAsia="zh-CN"/>
        </w:rPr>
        <w:t>8</w:t>
      </w:r>
      <w:r>
        <w:rPr>
          <w:rFonts w:hint="default" w:ascii="Times New Roman" w:hAnsi="Times New Roman" w:eastAsia="宋体" w:cs="Times New Roman"/>
          <w:caps w:val="0"/>
          <w:smallCaps w:val="0"/>
          <w:color w:val="auto"/>
          <w:spacing w:val="0"/>
          <w:w w:val="100"/>
          <w:position w:val="0"/>
          <w:sz w:val="24"/>
          <w:szCs w:val="24"/>
          <w:highlight w:val="none"/>
          <w:u w:val="none" w:color="auto"/>
        </w:rPr>
        <w:t>%和11.1</w:t>
      </w:r>
      <w:r>
        <w:rPr>
          <w:rFonts w:hint="default" w:ascii="Times New Roman" w:hAnsi="Times New Roman" w:eastAsia="宋体" w:cs="Times New Roman"/>
          <w:caps w:val="0"/>
          <w:smallCaps w:val="0"/>
          <w:color w:val="auto"/>
          <w:spacing w:val="0"/>
          <w:w w:val="100"/>
          <w:position w:val="0"/>
          <w:sz w:val="24"/>
          <w:szCs w:val="24"/>
          <w:highlight w:val="none"/>
          <w:u w:val="none" w:color="auto"/>
          <w:lang w:val="en-US" w:eastAsia="zh-CN"/>
        </w:rPr>
        <w:t>2</w:t>
      </w:r>
      <w:r>
        <w:rPr>
          <w:rFonts w:hint="default" w:ascii="Times New Roman" w:hAnsi="Times New Roman" w:eastAsia="宋体" w:cs="Times New Roman"/>
          <w:caps w:val="0"/>
          <w:smallCaps w:val="0"/>
          <w:color w:val="auto"/>
          <w:spacing w:val="0"/>
          <w:w w:val="100"/>
          <w:position w:val="0"/>
          <w:sz w:val="24"/>
          <w:szCs w:val="24"/>
          <w:highlight w:val="none"/>
          <w:u w:val="none" w:color="auto"/>
        </w:rPr>
        <w:t>%。</w:t>
      </w:r>
    </w:p>
    <w:p w14:paraId="133B52FB">
      <w:pPr>
        <w:pStyle w:val="6"/>
        <w:keepNext w:val="0"/>
        <w:keepLines w:val="0"/>
        <w:pageBreakBefore w:val="0"/>
        <w:widowControl w:val="0"/>
        <w:kinsoku w:val="0"/>
        <w:wordWrap w:val="0"/>
        <w:overflowPunct/>
        <w:topLinePunct/>
        <w:autoSpaceDE/>
        <w:autoSpaceDN/>
        <w:bidi w:val="0"/>
        <w:adjustRightInd/>
        <w:snapToGrid/>
        <w:spacing w:before="0" w:beforeLines="50" w:line="360" w:lineRule="auto"/>
        <w:ind w:left="0" w:leftChars="0" w:firstLine="0" w:firstLineChars="0"/>
        <w:jc w:val="center"/>
        <w:textAlignment w:val="auto"/>
        <w:rPr>
          <w:rFonts w:hint="default" w:ascii="Times New Roman" w:hAnsi="Times New Roman" w:eastAsia="宋体" w:cs="Times New Roman"/>
          <w:b/>
          <w:caps w:val="0"/>
          <w:smallCaps w:val="0"/>
          <w:color w:val="auto"/>
          <w:spacing w:val="0"/>
          <w:w w:val="100"/>
          <w:position w:val="0"/>
          <w:sz w:val="21"/>
          <w:szCs w:val="21"/>
          <w:u w:val="none" w:color="auto"/>
          <w:lang w:val="en-US" w:eastAsia="zh-CN"/>
        </w:rPr>
      </w:pP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表3.3-</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begin"/>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instrText xml:space="preserve"> SEQ 表 \* ARABIC \s 1 </w:instrTex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separate"/>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10</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end"/>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 xml:space="preserve"> 水库影响水域浮游动物种类分布</w:t>
      </w:r>
    </w:p>
    <w:tbl>
      <w:tblPr>
        <w:tblStyle w:val="39"/>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06"/>
        <w:gridCol w:w="2619"/>
        <w:gridCol w:w="4093"/>
      </w:tblGrid>
      <w:tr w14:paraId="4B7DB9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pct"/>
            <w:tcBorders>
              <w:tl2br w:val="nil"/>
              <w:tr2bl w:val="nil"/>
            </w:tcBorders>
            <w:noWrap w:val="0"/>
            <w:vAlign w:val="center"/>
          </w:tcPr>
          <w:p w14:paraId="4C4E084C">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b/>
                <w:bCs/>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b/>
                <w:bCs/>
                <w:caps w:val="0"/>
                <w:smallCaps w:val="0"/>
                <w:color w:val="auto"/>
                <w:spacing w:val="0"/>
                <w:w w:val="100"/>
                <w:kern w:val="2"/>
                <w:position w:val="0"/>
                <w:sz w:val="21"/>
                <w:szCs w:val="21"/>
                <w:highlight w:val="none"/>
                <w:u w:val="none" w:color="auto"/>
                <w:lang w:val="en-US" w:eastAsia="zh-CN" w:bidi="ar-SA"/>
              </w:rPr>
              <w:t>种类</w:t>
            </w:r>
          </w:p>
        </w:tc>
        <w:tc>
          <w:tcPr>
            <w:tcW w:w="1537" w:type="pct"/>
            <w:tcBorders>
              <w:tl2br w:val="nil"/>
              <w:tr2bl w:val="nil"/>
            </w:tcBorders>
            <w:noWrap w:val="0"/>
            <w:vAlign w:val="center"/>
          </w:tcPr>
          <w:p w14:paraId="2964870F">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b/>
                <w:bCs/>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b/>
                <w:bCs/>
                <w:caps w:val="0"/>
                <w:smallCaps w:val="0"/>
                <w:color w:val="auto"/>
                <w:spacing w:val="0"/>
                <w:w w:val="100"/>
                <w:kern w:val="2"/>
                <w:position w:val="0"/>
                <w:sz w:val="21"/>
                <w:szCs w:val="21"/>
                <w:highlight w:val="none"/>
                <w:u w:val="none" w:color="auto"/>
                <w:lang w:val="en-US" w:eastAsia="zh-CN" w:bidi="ar-SA"/>
              </w:rPr>
              <w:t>种类中文名</w:t>
            </w:r>
          </w:p>
        </w:tc>
        <w:tc>
          <w:tcPr>
            <w:tcW w:w="2401" w:type="pct"/>
            <w:tcBorders>
              <w:tl2br w:val="nil"/>
              <w:tr2bl w:val="nil"/>
            </w:tcBorders>
            <w:noWrap w:val="0"/>
            <w:vAlign w:val="center"/>
          </w:tcPr>
          <w:p w14:paraId="790BDC0B">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b/>
                <w:bCs/>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b/>
                <w:bCs/>
                <w:caps w:val="0"/>
                <w:smallCaps w:val="0"/>
                <w:color w:val="auto"/>
                <w:spacing w:val="0"/>
                <w:w w:val="100"/>
                <w:kern w:val="2"/>
                <w:position w:val="0"/>
                <w:sz w:val="21"/>
                <w:szCs w:val="21"/>
                <w:highlight w:val="none"/>
                <w:u w:val="none" w:color="auto"/>
                <w:lang w:val="en-US" w:eastAsia="zh-CN" w:bidi="ar-SA"/>
              </w:rPr>
              <w:t>种类拉丁名</w:t>
            </w:r>
          </w:p>
        </w:tc>
      </w:tr>
      <w:tr w14:paraId="49AA6C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pct"/>
            <w:vMerge w:val="restart"/>
            <w:tcBorders>
              <w:tl2br w:val="nil"/>
              <w:tr2bl w:val="nil"/>
            </w:tcBorders>
            <w:noWrap w:val="0"/>
            <w:vAlign w:val="center"/>
          </w:tcPr>
          <w:p w14:paraId="4C1673B8">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t>原生动物</w:t>
            </w:r>
          </w:p>
        </w:tc>
        <w:tc>
          <w:tcPr>
            <w:tcW w:w="1537" w:type="pct"/>
            <w:tcBorders>
              <w:tl2br w:val="nil"/>
              <w:tr2bl w:val="nil"/>
            </w:tcBorders>
            <w:noWrap w:val="0"/>
            <w:vAlign w:val="center"/>
          </w:tcPr>
          <w:p w14:paraId="58887B18">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t>普通表壳虫</w:t>
            </w:r>
          </w:p>
        </w:tc>
        <w:tc>
          <w:tcPr>
            <w:tcW w:w="2401" w:type="pct"/>
            <w:tcBorders>
              <w:tl2br w:val="nil"/>
              <w:tr2bl w:val="nil"/>
            </w:tcBorders>
            <w:noWrap w:val="0"/>
            <w:vAlign w:val="center"/>
          </w:tcPr>
          <w:p w14:paraId="67C54416">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t>Arcalla vulgaris</w:t>
            </w:r>
          </w:p>
        </w:tc>
      </w:tr>
      <w:tr w14:paraId="4D722C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pct"/>
            <w:vMerge w:val="continue"/>
            <w:tcBorders>
              <w:tl2br w:val="nil"/>
              <w:tr2bl w:val="nil"/>
            </w:tcBorders>
            <w:noWrap w:val="0"/>
            <w:vAlign w:val="center"/>
          </w:tcPr>
          <w:p w14:paraId="33695926">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p>
        </w:tc>
        <w:tc>
          <w:tcPr>
            <w:tcW w:w="1537" w:type="pct"/>
            <w:tcBorders>
              <w:tl2br w:val="nil"/>
              <w:tr2bl w:val="nil"/>
            </w:tcBorders>
            <w:noWrap w:val="0"/>
            <w:vAlign w:val="center"/>
          </w:tcPr>
          <w:p w14:paraId="2B655DF6">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t>针棘匣壳虫</w:t>
            </w:r>
          </w:p>
        </w:tc>
        <w:tc>
          <w:tcPr>
            <w:tcW w:w="2401" w:type="pct"/>
            <w:tcBorders>
              <w:tl2br w:val="nil"/>
              <w:tr2bl w:val="nil"/>
            </w:tcBorders>
            <w:noWrap w:val="0"/>
            <w:vAlign w:val="center"/>
          </w:tcPr>
          <w:p w14:paraId="2B72F48E">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t>Centropyxis aculeata</w:t>
            </w:r>
          </w:p>
        </w:tc>
      </w:tr>
      <w:tr w14:paraId="276446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pct"/>
            <w:vMerge w:val="restart"/>
            <w:tcBorders>
              <w:tl2br w:val="nil"/>
              <w:tr2bl w:val="nil"/>
            </w:tcBorders>
            <w:noWrap w:val="0"/>
            <w:vAlign w:val="center"/>
          </w:tcPr>
          <w:p w14:paraId="3413B25B">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t>轮虫</w:t>
            </w:r>
          </w:p>
        </w:tc>
        <w:tc>
          <w:tcPr>
            <w:tcW w:w="1537" w:type="pct"/>
            <w:tcBorders>
              <w:tl2br w:val="nil"/>
              <w:tr2bl w:val="nil"/>
            </w:tcBorders>
            <w:noWrap w:val="0"/>
            <w:vAlign w:val="center"/>
          </w:tcPr>
          <w:p w14:paraId="68DB925C">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t>吻叉猪吻轮虫</w:t>
            </w:r>
          </w:p>
        </w:tc>
        <w:tc>
          <w:tcPr>
            <w:tcW w:w="2401" w:type="pct"/>
            <w:tcBorders>
              <w:tl2br w:val="nil"/>
              <w:tr2bl w:val="nil"/>
            </w:tcBorders>
            <w:noWrap w:val="0"/>
            <w:vAlign w:val="center"/>
          </w:tcPr>
          <w:p w14:paraId="2EF2944F">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t>Dicranoplcorus lutheni</w:t>
            </w:r>
          </w:p>
        </w:tc>
      </w:tr>
      <w:tr w14:paraId="56FD82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pct"/>
            <w:vMerge w:val="continue"/>
            <w:tcBorders>
              <w:tl2br w:val="nil"/>
              <w:tr2bl w:val="nil"/>
            </w:tcBorders>
            <w:noWrap w:val="0"/>
            <w:vAlign w:val="center"/>
          </w:tcPr>
          <w:p w14:paraId="764F3B8B">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p>
        </w:tc>
        <w:tc>
          <w:tcPr>
            <w:tcW w:w="1537" w:type="pct"/>
            <w:tcBorders>
              <w:tl2br w:val="nil"/>
              <w:tr2bl w:val="nil"/>
            </w:tcBorders>
            <w:noWrap w:val="0"/>
            <w:vAlign w:val="center"/>
          </w:tcPr>
          <w:p w14:paraId="264B7AED">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t>长足轮虫</w:t>
            </w:r>
          </w:p>
        </w:tc>
        <w:tc>
          <w:tcPr>
            <w:tcW w:w="2401" w:type="pct"/>
            <w:tcBorders>
              <w:tl2br w:val="nil"/>
              <w:tr2bl w:val="nil"/>
            </w:tcBorders>
            <w:noWrap w:val="0"/>
            <w:vAlign w:val="center"/>
          </w:tcPr>
          <w:p w14:paraId="6636A6C2">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t>Rotaria neptunia</w:t>
            </w:r>
          </w:p>
        </w:tc>
      </w:tr>
      <w:tr w14:paraId="3814B8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pct"/>
            <w:vMerge w:val="continue"/>
            <w:tcBorders>
              <w:tl2br w:val="nil"/>
              <w:tr2bl w:val="nil"/>
            </w:tcBorders>
            <w:noWrap w:val="0"/>
            <w:vAlign w:val="center"/>
          </w:tcPr>
          <w:p w14:paraId="5F8FE8AF">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p>
        </w:tc>
        <w:tc>
          <w:tcPr>
            <w:tcW w:w="1537" w:type="pct"/>
            <w:tcBorders>
              <w:tl2br w:val="nil"/>
              <w:tr2bl w:val="nil"/>
            </w:tcBorders>
            <w:noWrap w:val="0"/>
            <w:vAlign w:val="center"/>
          </w:tcPr>
          <w:p w14:paraId="6A7AD3F3">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t>角突臂尾轮虫</w:t>
            </w:r>
          </w:p>
        </w:tc>
        <w:tc>
          <w:tcPr>
            <w:tcW w:w="2401" w:type="pct"/>
            <w:tcBorders>
              <w:tl2br w:val="nil"/>
              <w:tr2bl w:val="nil"/>
            </w:tcBorders>
            <w:noWrap w:val="0"/>
            <w:vAlign w:val="center"/>
          </w:tcPr>
          <w:p w14:paraId="259F093F">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t>Bradcionus angularis</w:t>
            </w:r>
          </w:p>
        </w:tc>
      </w:tr>
      <w:tr w14:paraId="7B0D24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pct"/>
            <w:vMerge w:val="continue"/>
            <w:tcBorders>
              <w:tl2br w:val="nil"/>
              <w:tr2bl w:val="nil"/>
            </w:tcBorders>
            <w:noWrap w:val="0"/>
            <w:vAlign w:val="center"/>
          </w:tcPr>
          <w:p w14:paraId="053FDB2E">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p>
        </w:tc>
        <w:tc>
          <w:tcPr>
            <w:tcW w:w="1537" w:type="pct"/>
            <w:tcBorders>
              <w:tl2br w:val="nil"/>
              <w:tr2bl w:val="nil"/>
            </w:tcBorders>
            <w:noWrap w:val="0"/>
            <w:vAlign w:val="center"/>
          </w:tcPr>
          <w:p w14:paraId="1733D33C">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t>螺形龟甲轮虫</w:t>
            </w:r>
          </w:p>
        </w:tc>
        <w:tc>
          <w:tcPr>
            <w:tcW w:w="2401" w:type="pct"/>
            <w:tcBorders>
              <w:tl2br w:val="nil"/>
              <w:tr2bl w:val="nil"/>
            </w:tcBorders>
            <w:noWrap w:val="0"/>
            <w:vAlign w:val="center"/>
          </w:tcPr>
          <w:p w14:paraId="2492C55F">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t>Keratella cochlearis</w:t>
            </w:r>
          </w:p>
        </w:tc>
      </w:tr>
      <w:tr w14:paraId="57CE08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pct"/>
            <w:vMerge w:val="continue"/>
            <w:tcBorders>
              <w:tl2br w:val="nil"/>
              <w:tr2bl w:val="nil"/>
            </w:tcBorders>
            <w:noWrap w:val="0"/>
            <w:vAlign w:val="center"/>
          </w:tcPr>
          <w:p w14:paraId="2BBE9EFA">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p>
        </w:tc>
        <w:tc>
          <w:tcPr>
            <w:tcW w:w="1537" w:type="pct"/>
            <w:tcBorders>
              <w:tl2br w:val="nil"/>
              <w:tr2bl w:val="nil"/>
            </w:tcBorders>
            <w:noWrap w:val="0"/>
            <w:vAlign w:val="center"/>
          </w:tcPr>
          <w:p w14:paraId="7BE8B273">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t>广布多肢轮虫</w:t>
            </w:r>
          </w:p>
        </w:tc>
        <w:tc>
          <w:tcPr>
            <w:tcW w:w="2401" w:type="pct"/>
            <w:tcBorders>
              <w:tl2br w:val="nil"/>
              <w:tr2bl w:val="nil"/>
            </w:tcBorders>
            <w:noWrap w:val="0"/>
            <w:vAlign w:val="center"/>
          </w:tcPr>
          <w:p w14:paraId="4604C103">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t>Polyarthra vulgaris</w:t>
            </w:r>
          </w:p>
        </w:tc>
      </w:tr>
      <w:tr w14:paraId="3015AC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pct"/>
            <w:vMerge w:val="continue"/>
            <w:tcBorders>
              <w:tl2br w:val="nil"/>
              <w:tr2bl w:val="nil"/>
            </w:tcBorders>
            <w:noWrap w:val="0"/>
            <w:vAlign w:val="center"/>
          </w:tcPr>
          <w:p w14:paraId="5DC2A421">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p>
        </w:tc>
        <w:tc>
          <w:tcPr>
            <w:tcW w:w="1537" w:type="pct"/>
            <w:tcBorders>
              <w:tl2br w:val="nil"/>
              <w:tr2bl w:val="nil"/>
            </w:tcBorders>
            <w:noWrap w:val="0"/>
            <w:vAlign w:val="center"/>
          </w:tcPr>
          <w:p w14:paraId="71DA98FC">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t>钩状狭甲轮虫</w:t>
            </w:r>
          </w:p>
        </w:tc>
        <w:tc>
          <w:tcPr>
            <w:tcW w:w="2401" w:type="pct"/>
            <w:tcBorders>
              <w:tl2br w:val="nil"/>
              <w:tr2bl w:val="nil"/>
            </w:tcBorders>
            <w:noWrap w:val="0"/>
            <w:vAlign w:val="center"/>
          </w:tcPr>
          <w:p w14:paraId="0555ED9D">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t>Colurella uncilata</w:t>
            </w:r>
          </w:p>
        </w:tc>
      </w:tr>
      <w:tr w14:paraId="05255A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pct"/>
            <w:tcBorders>
              <w:tl2br w:val="nil"/>
              <w:tr2bl w:val="nil"/>
            </w:tcBorders>
            <w:noWrap w:val="0"/>
            <w:vAlign w:val="center"/>
          </w:tcPr>
          <w:p w14:paraId="713FCBB0">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t>桡足</w:t>
            </w:r>
          </w:p>
        </w:tc>
        <w:tc>
          <w:tcPr>
            <w:tcW w:w="1537" w:type="pct"/>
            <w:tcBorders>
              <w:tl2br w:val="nil"/>
              <w:tr2bl w:val="nil"/>
            </w:tcBorders>
            <w:noWrap w:val="0"/>
            <w:vAlign w:val="center"/>
          </w:tcPr>
          <w:p w14:paraId="24FF8F66">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2"/>
                <w:position w:val="0"/>
                <w:sz w:val="21"/>
                <w:szCs w:val="21"/>
                <w:highlight w:val="none"/>
                <w:u w:val="none" w:color="auto"/>
                <w:lang w:val="en-US" w:eastAsia="zh-CN" w:bidi="ar-SA"/>
              </w:rPr>
              <w:t>广布中剑水蚤</w:t>
            </w:r>
          </w:p>
        </w:tc>
        <w:tc>
          <w:tcPr>
            <w:tcW w:w="2401" w:type="pct"/>
            <w:tcBorders>
              <w:tl2br w:val="nil"/>
              <w:tr2bl w:val="nil"/>
            </w:tcBorders>
            <w:noWrap w:val="0"/>
            <w:vAlign w:val="center"/>
          </w:tcPr>
          <w:p w14:paraId="3A164CC6">
            <w:pPr>
              <w:keepNext w:val="0"/>
              <w:keepLines w:val="0"/>
              <w:pageBreakBefore w:val="0"/>
              <w:widowControl w:val="0"/>
              <w:suppressLineNumbers w:val="0"/>
              <w:kinsoku w:val="0"/>
              <w:wordWrap w:val="0"/>
              <w:overflowPunct/>
              <w:topLinePunct/>
              <w:autoSpaceDE/>
              <w:autoSpaceDN/>
              <w:bidi w:val="0"/>
              <w:adjustRightInd w:val="0"/>
              <w:spacing w:before="0" w:beforeAutospacing="0" w:after="0" w:afterAutospacing="0"/>
              <w:ind w:left="0" w:right="0"/>
              <w:jc w:val="cente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pPr>
            <w:r>
              <w:rPr>
                <w:rFonts w:hint="default" w:ascii="Times New Roman" w:hAnsi="Times New Roman" w:eastAsia="宋体" w:cs="Times New Roman"/>
                <w:i/>
                <w:iCs/>
                <w:caps w:val="0"/>
                <w:smallCaps w:val="0"/>
                <w:color w:val="auto"/>
                <w:spacing w:val="0"/>
                <w:w w:val="100"/>
                <w:kern w:val="2"/>
                <w:position w:val="0"/>
                <w:sz w:val="21"/>
                <w:szCs w:val="21"/>
                <w:highlight w:val="none"/>
                <w:u w:val="none" w:color="auto"/>
                <w:lang w:val="en-US" w:eastAsia="zh-CN" w:bidi="ar-SA"/>
              </w:rPr>
              <w:t>Mesocyclops leuckarti</w:t>
            </w:r>
          </w:p>
        </w:tc>
      </w:tr>
    </w:tbl>
    <w:p w14:paraId="5AA94CA9">
      <w:pPr>
        <w:widowControl w:val="0"/>
        <w:spacing w:line="360" w:lineRule="auto"/>
        <w:ind w:firstLine="480" w:firstLineChars="200"/>
        <w:jc w:val="both"/>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aps w:val="0"/>
          <w:smallCaps w:val="0"/>
          <w:color w:val="auto"/>
          <w:spacing w:val="0"/>
          <w:w w:val="100"/>
          <w:position w:val="0"/>
          <w:sz w:val="24"/>
          <w:szCs w:val="24"/>
          <w:highlight w:val="none"/>
          <w:u w:val="none" w:color="auto"/>
        </w:rPr>
        <w:t>浮游动物因其身体微小</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极易传播</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绝大多数为世界性分布的</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但分布的广度却因种类而不同</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在区系组成上没有明显的划分。从总体上看</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其浮游动物区系组成均以古北区分布种类为主</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但体现亚热带种类分布特点的东洋界地理成分亦有出现</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广布种在</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水库</w:t>
      </w:r>
      <w:r>
        <w:rPr>
          <w:rFonts w:hint="default" w:ascii="Times New Roman" w:hAnsi="Times New Roman" w:eastAsia="宋体" w:cs="Times New Roman"/>
          <w:caps w:val="0"/>
          <w:smallCaps w:val="0"/>
          <w:color w:val="auto"/>
          <w:spacing w:val="0"/>
          <w:w w:val="100"/>
          <w:position w:val="0"/>
          <w:sz w:val="24"/>
          <w:szCs w:val="24"/>
          <w:highlight w:val="none"/>
          <w:u w:val="none" w:color="auto"/>
        </w:rPr>
        <w:t>影响水域占的比例较大</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如原生动物普通表壳虫。</w:t>
      </w:r>
    </w:p>
    <w:p w14:paraId="417DAD2D">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底栖动物</w:t>
      </w:r>
    </w:p>
    <w:p w14:paraId="7CFCC915">
      <w:pPr>
        <w:pageBreakBefore w:val="0"/>
        <w:kinsoku w:val="0"/>
        <w:wordWrap w:val="0"/>
        <w:overflowPunct/>
        <w:topLinePunct/>
        <w:autoSpaceDE/>
        <w:autoSpaceDN/>
        <w:bidi w:val="0"/>
        <w:adjustRightInd w:val="0"/>
        <w:spacing w:line="360" w:lineRule="auto"/>
        <w:ind w:firstLine="480" w:firstLineChars="200"/>
        <w:jc w:val="left"/>
        <w:rPr>
          <w:rFonts w:hint="default" w:ascii="Times New Roman" w:hAnsi="Times New Roman" w:eastAsia="宋体" w:cs="Times New Roman"/>
          <w:caps w:val="0"/>
          <w:smallCaps w:val="0"/>
          <w:color w:val="auto"/>
          <w:spacing w:val="0"/>
          <w:w w:val="100"/>
          <w:kern w:val="0"/>
          <w:position w:val="0"/>
          <w:sz w:val="24"/>
          <w:szCs w:val="24"/>
          <w:highlight w:val="none"/>
          <w:u w:val="none" w:color="auto"/>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底栖生物（benthos）是常栖息于水域底或底表的生物</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水生生物中的一个重要生态类型。底栖生物的最大特点是居住在泥底</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与水底有密切的联系。但栖所的深浅度、海域的纬度、距岸远近、受水文条件影响的程度、水底沉积物的理化性质、栖所的营养条件及共同栖息的生物群落中的成员组成</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都与它们的生存发展有一定关系。</w:t>
      </w:r>
      <w:r>
        <w:rPr>
          <w:rFonts w:hint="default" w:ascii="Times New Roman" w:hAnsi="Times New Roman" w:eastAsia="宋体" w:cs="Times New Roman"/>
          <w:caps w:val="0"/>
          <w:smallCaps w:val="0"/>
          <w:color w:val="auto"/>
          <w:spacing w:val="0"/>
          <w:w w:val="100"/>
          <w:position w:val="0"/>
          <w:sz w:val="24"/>
          <w:szCs w:val="24"/>
          <w:highlight w:val="none"/>
          <w:u w:val="none" w:color="auto"/>
        </w:rPr>
        <w:t>底栖动物是第三营养级的主要组成</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也是原河道形态饵料生物中生物量较大的类群</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属于江河中多数鱼类的饵料基础</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并且与江河鱼类的生态类群和区系组成有密切关系。</w:t>
      </w:r>
    </w:p>
    <w:p w14:paraId="728CE8D1">
      <w:pPr>
        <w:pageBreakBefore w:val="0"/>
        <w:widowControl w:val="0"/>
        <w:kinsoku w:val="0"/>
        <w:wordWrap w:val="0"/>
        <w:overflowPunct/>
        <w:topLinePunct/>
        <w:autoSpaceDE/>
        <w:autoSpaceDN/>
        <w:bidi w:val="0"/>
        <w:adjustRightInd w:val="0"/>
        <w:spacing w:line="360" w:lineRule="auto"/>
        <w:ind w:firstLine="465"/>
        <w:rPr>
          <w:rFonts w:hint="default" w:ascii="Times New Roman" w:hAnsi="Times New Roman" w:eastAsia="宋体" w:cs="Times New Roman"/>
          <w:caps w:val="0"/>
          <w:smallCaps w:val="0"/>
          <w:color w:val="auto"/>
          <w:spacing w:val="0"/>
          <w:w w:val="100"/>
          <w:kern w:val="2"/>
          <w:position w:val="0"/>
          <w:sz w:val="24"/>
          <w:szCs w:val="24"/>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2"/>
          <w:position w:val="0"/>
          <w:sz w:val="24"/>
          <w:szCs w:val="24"/>
          <w:highlight w:val="none"/>
          <w:u w:val="none" w:color="auto"/>
          <w:lang w:val="en-US" w:eastAsia="zh-CN" w:bidi="ar-SA"/>
        </w:rPr>
        <w:t>本次查阅到昆虫纲的底栖动物4目10属。包括蜉蝣目的蜉蝣、扁蜉、四节蜉、小蜉和细蜉；襀翅目的石蝇和短尾石蝇；毛翅目的纹石蚕；双翅目的牛虻和摇蚊幼虫等。常见种为扁蜉、四节蜉、短尾石蝇和纹石蚕等，均属较常见的典型水生昆虫。</w:t>
      </w:r>
    </w:p>
    <w:p w14:paraId="6B89C052">
      <w:pPr>
        <w:widowControl w:val="0"/>
        <w:spacing w:line="360" w:lineRule="auto"/>
        <w:ind w:firstLine="480" w:firstLineChars="200"/>
        <w:jc w:val="both"/>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aps w:val="0"/>
          <w:smallCaps w:val="0"/>
          <w:color w:val="auto"/>
          <w:spacing w:val="0"/>
          <w:w w:val="100"/>
          <w:position w:val="0"/>
          <w:sz w:val="24"/>
          <w:szCs w:val="24"/>
          <w:highlight w:val="none"/>
          <w:u w:val="none" w:color="auto"/>
        </w:rPr>
        <w:t>在</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水库</w:t>
      </w:r>
      <w:r>
        <w:rPr>
          <w:rFonts w:hint="default" w:ascii="Times New Roman" w:hAnsi="Times New Roman" w:eastAsia="宋体" w:cs="Times New Roman"/>
          <w:caps w:val="0"/>
          <w:smallCaps w:val="0"/>
          <w:color w:val="auto"/>
          <w:spacing w:val="0"/>
          <w:w w:val="100"/>
          <w:position w:val="0"/>
          <w:sz w:val="24"/>
          <w:szCs w:val="24"/>
          <w:highlight w:val="none"/>
          <w:u w:val="none" w:color="auto"/>
        </w:rPr>
        <w:t>影响水域底栖动物中</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全部为常见的水生昆虫</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如蜉蝣目的扁蜉和四节蜉、襀翅目的石蝇等</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一般生存水域多为高溶氧的洁净流水环境。绝大多数水生昆虫用气管鳃或直肠鳃吸收水体中溶解的氧</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当水域受到严重的污染</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溶氧减少</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大部分将随之死亡。所以</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上述底栖动物栖息环境水的清洁度和水中溶氧的高低是决定水生昆虫分布的主要因素</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这也进一步说明了</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水库</w:t>
      </w:r>
      <w:r>
        <w:rPr>
          <w:rFonts w:hint="default" w:ascii="Times New Roman" w:hAnsi="Times New Roman" w:eastAsia="宋体" w:cs="Times New Roman"/>
          <w:caps w:val="0"/>
          <w:smallCaps w:val="0"/>
          <w:color w:val="auto"/>
          <w:spacing w:val="0"/>
          <w:w w:val="100"/>
          <w:position w:val="0"/>
          <w:sz w:val="24"/>
          <w:szCs w:val="24"/>
          <w:highlight w:val="none"/>
          <w:u w:val="none" w:color="auto"/>
        </w:rPr>
        <w:t>影响水域水体是清洁的。经过对底栖动物的调查分析</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可得到以下结论：</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水库</w:t>
      </w:r>
      <w:r>
        <w:rPr>
          <w:rFonts w:hint="default" w:ascii="Times New Roman" w:hAnsi="Times New Roman" w:eastAsia="宋体" w:cs="Times New Roman"/>
          <w:caps w:val="0"/>
          <w:smallCaps w:val="0"/>
          <w:color w:val="auto"/>
          <w:spacing w:val="0"/>
          <w:w w:val="100"/>
          <w:position w:val="0"/>
          <w:sz w:val="24"/>
          <w:szCs w:val="24"/>
          <w:highlight w:val="none"/>
          <w:u w:val="none" w:color="auto"/>
        </w:rPr>
        <w:t>影响水域的底栖动物种类较丰富</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喜高溶氧和流水环境的种类较多</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水体为清洁水质。</w:t>
      </w:r>
    </w:p>
    <w:p w14:paraId="4FB138D0">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水生维管束植物</w:t>
      </w:r>
    </w:p>
    <w:p w14:paraId="58D404B2">
      <w:pPr>
        <w:keepNext w:val="0"/>
        <w:keepLines w:val="0"/>
        <w:pageBreakBefore w:val="0"/>
        <w:widowControl w:val="0"/>
        <w:kinsoku/>
        <w:wordWrap/>
        <w:overflowPunct/>
        <w:topLinePunct w:val="0"/>
        <w:autoSpaceDE/>
        <w:autoSpaceDN/>
        <w:bidi w:val="0"/>
        <w:adjustRightInd/>
        <w:snapToGrid/>
        <w:spacing w:line="360" w:lineRule="auto"/>
        <w:ind w:left="0" w:right="0" w:firstLine="456" w:firstLineChars="200"/>
        <w:textAlignment w:val="auto"/>
        <w:rPr>
          <w:rFonts w:hint="default" w:ascii="Times New Roman" w:hAnsi="Times New Roman" w:eastAsia="宋体" w:cs="Times New Roman"/>
          <w:color w:val="auto"/>
          <w:sz w:val="24"/>
          <w:szCs w:val="24"/>
          <w:u w:val="none" w:color="auto"/>
        </w:rPr>
      </w:pPr>
      <w:r>
        <w:rPr>
          <w:rFonts w:hint="default" w:ascii="Times New Roman" w:hAnsi="Times New Roman" w:eastAsia="宋体" w:cs="Times New Roman"/>
          <w:color w:val="auto"/>
          <w:spacing w:val="-6"/>
          <w:sz w:val="24"/>
          <w:szCs w:val="24"/>
          <w:u w:val="none" w:color="auto"/>
        </w:rPr>
        <w:t>水生</w:t>
      </w:r>
      <w:r>
        <w:rPr>
          <w:rFonts w:hint="default" w:ascii="Times New Roman" w:hAnsi="Times New Roman" w:eastAsia="宋体" w:cs="Times New Roman"/>
          <w:color w:val="auto"/>
          <w:spacing w:val="-4"/>
          <w:sz w:val="24"/>
          <w:szCs w:val="24"/>
          <w:u w:val="none" w:color="auto"/>
        </w:rPr>
        <w:t>维</w:t>
      </w:r>
      <w:r>
        <w:rPr>
          <w:rFonts w:hint="default" w:ascii="Times New Roman" w:hAnsi="Times New Roman" w:eastAsia="宋体" w:cs="Times New Roman"/>
          <w:color w:val="auto"/>
          <w:spacing w:val="-3"/>
          <w:sz w:val="24"/>
          <w:szCs w:val="24"/>
          <w:u w:val="none" w:color="auto"/>
        </w:rPr>
        <w:t>管束植物通常分为漂浮植物、浮叶植物、沉水植物和挺水植物四大类</w:t>
      </w:r>
      <w:r>
        <w:rPr>
          <w:rFonts w:hint="default" w:ascii="Times New Roman" w:hAnsi="Times New Roman" w:eastAsia="宋体" w:cs="Times New Roman"/>
          <w:color w:val="auto"/>
          <w:spacing w:val="-12"/>
          <w:sz w:val="24"/>
          <w:szCs w:val="24"/>
          <w:u w:val="none" w:color="auto"/>
        </w:rPr>
        <w:t>型</w:t>
      </w:r>
      <w:r>
        <w:rPr>
          <w:rFonts w:hint="default" w:ascii="Times New Roman" w:hAnsi="Times New Roman" w:eastAsia="宋体" w:cs="Times New Roman"/>
          <w:color w:val="auto"/>
          <w:spacing w:val="-10"/>
          <w:sz w:val="24"/>
          <w:szCs w:val="24"/>
          <w:u w:val="none" w:color="auto"/>
        </w:rPr>
        <w:t>。</w:t>
      </w:r>
      <w:r>
        <w:rPr>
          <w:rFonts w:hint="default" w:ascii="Times New Roman" w:hAnsi="Times New Roman" w:eastAsia="宋体" w:cs="Times New Roman"/>
          <w:color w:val="auto"/>
          <w:spacing w:val="9"/>
          <w:sz w:val="24"/>
          <w:szCs w:val="24"/>
          <w:u w:val="none" w:color="auto"/>
        </w:rPr>
        <w:t>其中挺水植物在沿岸带和亚沿岸带浅水区域常呈</w:t>
      </w:r>
      <w:r>
        <w:rPr>
          <w:rFonts w:hint="default" w:ascii="Times New Roman" w:hAnsi="Times New Roman" w:eastAsia="宋体" w:cs="Times New Roman"/>
          <w:color w:val="auto"/>
          <w:spacing w:val="18"/>
          <w:sz w:val="24"/>
          <w:szCs w:val="24"/>
          <w:u w:val="none" w:color="auto"/>
        </w:rPr>
        <w:t>长带状</w:t>
      </w:r>
      <w:r>
        <w:rPr>
          <w:rFonts w:hint="default" w:ascii="Times New Roman" w:hAnsi="Times New Roman" w:eastAsia="宋体" w:cs="Times New Roman"/>
          <w:color w:val="auto"/>
          <w:spacing w:val="11"/>
          <w:sz w:val="24"/>
          <w:szCs w:val="24"/>
          <w:u w:val="none" w:color="auto"/>
        </w:rPr>
        <w:t>分</w:t>
      </w:r>
      <w:r>
        <w:rPr>
          <w:rFonts w:hint="default" w:ascii="Times New Roman" w:hAnsi="Times New Roman" w:eastAsia="宋体" w:cs="Times New Roman"/>
          <w:color w:val="auto"/>
          <w:spacing w:val="9"/>
          <w:sz w:val="24"/>
          <w:szCs w:val="24"/>
          <w:u w:val="none" w:color="auto"/>
        </w:rPr>
        <w:t>布；浮叶植物和漂浮一般在浅水区域的河床沿岸带生长，多生于干流河湾及河床显</w:t>
      </w:r>
      <w:r>
        <w:rPr>
          <w:rFonts w:hint="default" w:ascii="Times New Roman" w:hAnsi="Times New Roman" w:eastAsia="宋体" w:cs="Times New Roman"/>
          <w:color w:val="auto"/>
          <w:spacing w:val="18"/>
          <w:sz w:val="24"/>
          <w:szCs w:val="24"/>
          <w:u w:val="none" w:color="auto"/>
        </w:rPr>
        <w:t>露后形</w:t>
      </w:r>
      <w:r>
        <w:rPr>
          <w:rFonts w:hint="default" w:ascii="Times New Roman" w:hAnsi="Times New Roman" w:eastAsia="宋体" w:cs="Times New Roman"/>
          <w:color w:val="auto"/>
          <w:spacing w:val="10"/>
          <w:sz w:val="24"/>
          <w:szCs w:val="24"/>
          <w:u w:val="none" w:color="auto"/>
        </w:rPr>
        <w:t>成</w:t>
      </w:r>
      <w:r>
        <w:rPr>
          <w:rFonts w:hint="default" w:ascii="Times New Roman" w:hAnsi="Times New Roman" w:eastAsia="宋体" w:cs="Times New Roman"/>
          <w:color w:val="auto"/>
          <w:spacing w:val="9"/>
          <w:sz w:val="24"/>
          <w:szCs w:val="24"/>
          <w:u w:val="none" w:color="auto"/>
        </w:rPr>
        <w:t>的小洼地及静水区、缓流水区，多零星分布，分布的区域多在水流速度相对较缓</w:t>
      </w:r>
      <w:r>
        <w:rPr>
          <w:rFonts w:hint="default" w:ascii="Times New Roman" w:hAnsi="Times New Roman" w:eastAsia="宋体" w:cs="Times New Roman"/>
          <w:color w:val="auto"/>
          <w:spacing w:val="10"/>
          <w:sz w:val="24"/>
          <w:szCs w:val="24"/>
          <w:u w:val="none" w:color="auto"/>
        </w:rPr>
        <w:t>慢</w:t>
      </w:r>
      <w:r>
        <w:rPr>
          <w:rFonts w:hint="default" w:ascii="Times New Roman" w:hAnsi="Times New Roman" w:eastAsia="宋体" w:cs="Times New Roman"/>
          <w:color w:val="auto"/>
          <w:spacing w:val="9"/>
          <w:sz w:val="24"/>
          <w:szCs w:val="24"/>
          <w:u w:val="none" w:color="auto"/>
        </w:rPr>
        <w:t>，底质平坦，多为淤泥底质或泥沙底质的河段。</w:t>
      </w:r>
    </w:p>
    <w:p w14:paraId="3345646A">
      <w:pPr>
        <w:keepNext w:val="0"/>
        <w:keepLines w:val="0"/>
        <w:pageBreakBefore w:val="0"/>
        <w:widowControl w:val="0"/>
        <w:kinsoku/>
        <w:wordWrap/>
        <w:overflowPunct/>
        <w:topLinePunct w:val="0"/>
        <w:autoSpaceDE/>
        <w:autoSpaceDN/>
        <w:bidi w:val="0"/>
        <w:adjustRightInd/>
        <w:snapToGrid/>
        <w:spacing w:line="360" w:lineRule="auto"/>
        <w:ind w:left="0" w:right="0" w:firstLine="456" w:firstLineChars="200"/>
        <w:textAlignment w:val="auto"/>
        <w:rPr>
          <w:rFonts w:hint="default" w:ascii="Times New Roman" w:hAnsi="Times New Roman" w:eastAsia="宋体" w:cs="Times New Roman"/>
          <w:caps w:val="0"/>
          <w:smallCaps w:val="0"/>
          <w:color w:val="auto"/>
          <w:spacing w:val="0"/>
          <w:w w:val="100"/>
          <w:position w:val="0"/>
          <w:sz w:val="24"/>
          <w:szCs w:val="24"/>
          <w:highlight w:val="none"/>
          <w:u w:val="none" w:color="auto"/>
        </w:rPr>
      </w:pPr>
      <w:r>
        <w:rPr>
          <w:rFonts w:hint="default" w:ascii="Times New Roman" w:hAnsi="Times New Roman" w:eastAsia="宋体" w:cs="Times New Roman"/>
          <w:color w:val="auto"/>
          <w:spacing w:val="-6"/>
          <w:sz w:val="24"/>
          <w:szCs w:val="24"/>
          <w:u w:val="none" w:color="auto"/>
        </w:rPr>
        <w:t>根据现场调查，</w:t>
      </w:r>
      <w:r>
        <w:rPr>
          <w:rFonts w:hint="default" w:ascii="Times New Roman" w:hAnsi="Times New Roman" w:eastAsia="宋体" w:cs="Times New Roman"/>
          <w:caps w:val="0"/>
          <w:smallCaps w:val="0"/>
          <w:color w:val="auto"/>
          <w:spacing w:val="0"/>
          <w:w w:val="100"/>
          <w:position w:val="0"/>
          <w:sz w:val="24"/>
          <w:szCs w:val="24"/>
          <w:highlight w:val="none"/>
          <w:u w:val="none" w:color="auto"/>
        </w:rPr>
        <w:t>评价区</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域内</w:t>
      </w:r>
      <w:r>
        <w:rPr>
          <w:rFonts w:hint="default" w:ascii="Times New Roman" w:hAnsi="Times New Roman" w:eastAsia="宋体" w:cs="Times New Roman"/>
          <w:caps w:val="0"/>
          <w:smallCaps w:val="0"/>
          <w:color w:val="auto"/>
          <w:spacing w:val="0"/>
          <w:w w:val="100"/>
          <w:position w:val="0"/>
          <w:sz w:val="24"/>
          <w:szCs w:val="24"/>
          <w:highlight w:val="none"/>
          <w:u w:val="none" w:color="auto"/>
        </w:rPr>
        <w:t>森林覆盖率高，沿岸人口较少，</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库尾</w:t>
      </w:r>
      <w:r>
        <w:rPr>
          <w:rFonts w:hint="default" w:ascii="Times New Roman" w:hAnsi="Times New Roman" w:eastAsia="宋体" w:cs="Times New Roman"/>
          <w:caps w:val="0"/>
          <w:smallCaps w:val="0"/>
          <w:color w:val="auto"/>
          <w:spacing w:val="0"/>
          <w:w w:val="100"/>
          <w:position w:val="0"/>
          <w:sz w:val="24"/>
          <w:szCs w:val="24"/>
          <w:highlight w:val="none"/>
          <w:u w:val="none" w:color="auto"/>
        </w:rPr>
        <w:t>两岸</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及大坝下游</w:t>
      </w:r>
      <w:r>
        <w:rPr>
          <w:rFonts w:hint="default" w:ascii="Times New Roman" w:hAnsi="Times New Roman" w:eastAsia="宋体" w:cs="Times New Roman"/>
          <w:caps w:val="0"/>
          <w:smallCaps w:val="0"/>
          <w:color w:val="auto"/>
          <w:spacing w:val="0"/>
          <w:w w:val="100"/>
          <w:position w:val="0"/>
          <w:sz w:val="24"/>
          <w:szCs w:val="24"/>
          <w:highlight w:val="none"/>
          <w:u w:val="none" w:color="auto"/>
        </w:rPr>
        <w:t>平缓坡地</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有部分居民</w:t>
      </w:r>
      <w:r>
        <w:rPr>
          <w:rFonts w:hint="default" w:ascii="Times New Roman" w:hAnsi="Times New Roman" w:eastAsia="宋体" w:cs="Times New Roman"/>
          <w:caps w:val="0"/>
          <w:smallCaps w:val="0"/>
          <w:color w:val="auto"/>
          <w:spacing w:val="0"/>
          <w:w w:val="100"/>
          <w:position w:val="0"/>
          <w:sz w:val="24"/>
          <w:szCs w:val="24"/>
          <w:highlight w:val="none"/>
          <w:u w:val="none" w:color="auto"/>
        </w:rPr>
        <w:t>开垦种植农业植被，水体有机质丰富，水生维管束植物种类较多</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w:t>
      </w:r>
      <w:r>
        <w:rPr>
          <w:rFonts w:hint="default" w:ascii="Times New Roman" w:hAnsi="Times New Roman" w:eastAsia="宋体" w:cs="Times New Roman"/>
          <w:color w:val="auto"/>
          <w:spacing w:val="-1"/>
          <w:sz w:val="24"/>
          <w:szCs w:val="24"/>
          <w:u w:val="none" w:color="auto"/>
        </w:rPr>
        <w:t>漂浮植物和挺水植物多沿</w:t>
      </w:r>
      <w:r>
        <w:rPr>
          <w:rFonts w:hint="default" w:ascii="Times New Roman" w:hAnsi="Times New Roman" w:eastAsia="宋体" w:cs="Times New Roman"/>
          <w:color w:val="auto"/>
          <w:spacing w:val="-1"/>
          <w:sz w:val="24"/>
          <w:szCs w:val="24"/>
          <w:u w:val="none" w:color="auto"/>
          <w:lang w:eastAsia="zh-CN"/>
        </w:rPr>
        <w:t>库尾小溪和大坝下游</w:t>
      </w:r>
      <w:r>
        <w:rPr>
          <w:rFonts w:hint="default" w:ascii="Times New Roman" w:hAnsi="Times New Roman" w:eastAsia="宋体" w:cs="Times New Roman"/>
          <w:color w:val="auto"/>
          <w:spacing w:val="-1"/>
          <w:sz w:val="24"/>
          <w:szCs w:val="24"/>
          <w:u w:val="none" w:color="auto"/>
        </w:rPr>
        <w:t>浅水带分布</w:t>
      </w:r>
      <w:r>
        <w:rPr>
          <w:rFonts w:hint="default" w:ascii="Times New Roman" w:hAnsi="Times New Roman" w:eastAsia="宋体" w:cs="Times New Roman"/>
          <w:caps w:val="0"/>
          <w:smallCaps w:val="0"/>
          <w:color w:val="auto"/>
          <w:spacing w:val="0"/>
          <w:w w:val="100"/>
          <w:position w:val="0"/>
          <w:sz w:val="24"/>
          <w:szCs w:val="24"/>
          <w:highlight w:val="none"/>
          <w:u w:val="none" w:color="auto"/>
        </w:rPr>
        <w:t>。</w:t>
      </w:r>
      <w:r>
        <w:rPr>
          <w:rFonts w:hint="default" w:ascii="Times New Roman" w:hAnsi="Times New Roman" w:eastAsia="宋体" w:cs="Times New Roman"/>
          <w:color w:val="auto"/>
          <w:spacing w:val="-6"/>
          <w:sz w:val="24"/>
          <w:szCs w:val="24"/>
          <w:u w:val="none" w:color="auto"/>
          <w:lang w:eastAsia="zh-CN"/>
        </w:rPr>
        <w:t>水库水体</w:t>
      </w:r>
      <w:r>
        <w:rPr>
          <w:rFonts w:hint="default" w:ascii="Times New Roman" w:hAnsi="Times New Roman" w:eastAsia="宋体" w:cs="Times New Roman"/>
          <w:color w:val="auto"/>
          <w:spacing w:val="-6"/>
          <w:sz w:val="24"/>
          <w:szCs w:val="24"/>
          <w:u w:val="none" w:color="auto"/>
        </w:rPr>
        <w:t>内水生维管束植物物种数量少</w:t>
      </w:r>
      <w:r>
        <w:rPr>
          <w:rFonts w:hint="default" w:ascii="Times New Roman" w:hAnsi="Times New Roman" w:eastAsia="宋体" w:cs="Times New Roman"/>
          <w:color w:val="auto"/>
          <w:spacing w:val="-6"/>
          <w:sz w:val="24"/>
          <w:szCs w:val="24"/>
          <w:u w:val="none" w:color="auto"/>
          <w:lang w:eastAsia="zh-CN"/>
        </w:rPr>
        <w:t>，现场</w:t>
      </w:r>
      <w:r>
        <w:rPr>
          <w:rFonts w:hint="default" w:ascii="Times New Roman" w:hAnsi="Times New Roman" w:eastAsia="宋体" w:cs="Times New Roman"/>
          <w:color w:val="auto"/>
          <w:spacing w:val="-6"/>
          <w:sz w:val="24"/>
          <w:szCs w:val="24"/>
          <w:u w:val="none" w:color="auto"/>
        </w:rPr>
        <w:t>观察到的沉</w:t>
      </w:r>
      <w:r>
        <w:rPr>
          <w:rFonts w:hint="default" w:ascii="Times New Roman" w:hAnsi="Times New Roman" w:eastAsia="宋体" w:cs="Times New Roman"/>
          <w:color w:val="auto"/>
          <w:spacing w:val="-2"/>
          <w:sz w:val="24"/>
          <w:szCs w:val="24"/>
          <w:u w:val="none" w:color="auto"/>
        </w:rPr>
        <w:t>水植物极少，仅有</w:t>
      </w:r>
      <w:r>
        <w:rPr>
          <w:rFonts w:hint="default" w:ascii="Times New Roman" w:hAnsi="Times New Roman" w:eastAsia="宋体" w:cs="Times New Roman"/>
          <w:color w:val="auto"/>
          <w:spacing w:val="-2"/>
          <w:sz w:val="24"/>
          <w:szCs w:val="24"/>
          <w:u w:val="none" w:color="auto"/>
          <w:lang w:val="en-US" w:eastAsia="zh-CN"/>
        </w:rPr>
        <w:t>1</w:t>
      </w:r>
      <w:r>
        <w:rPr>
          <w:rFonts w:hint="default" w:ascii="Times New Roman" w:hAnsi="Times New Roman" w:eastAsia="宋体" w:cs="Times New Roman"/>
          <w:color w:val="auto"/>
          <w:spacing w:val="-1"/>
          <w:sz w:val="24"/>
          <w:szCs w:val="24"/>
          <w:u w:val="none" w:color="auto"/>
        </w:rPr>
        <w:t>种</w:t>
      </w:r>
      <w:r>
        <w:rPr>
          <w:rFonts w:hint="default" w:ascii="Times New Roman" w:hAnsi="Times New Roman" w:eastAsia="宋体" w:cs="Times New Roman"/>
          <w:color w:val="auto"/>
          <w:spacing w:val="-1"/>
          <w:sz w:val="24"/>
          <w:szCs w:val="24"/>
          <w:u w:val="none" w:color="auto"/>
          <w:lang w:eastAsia="zh-CN"/>
        </w:rPr>
        <w:t>。</w:t>
      </w:r>
      <w:r>
        <w:rPr>
          <w:rFonts w:hint="default" w:ascii="Times New Roman" w:hAnsi="Times New Roman" w:eastAsia="宋体" w:cs="Times New Roman"/>
          <w:caps w:val="0"/>
          <w:smallCaps w:val="0"/>
          <w:color w:val="auto"/>
          <w:spacing w:val="0"/>
          <w:w w:val="100"/>
          <w:position w:val="0"/>
          <w:sz w:val="24"/>
          <w:szCs w:val="24"/>
          <w:highlight w:val="none"/>
          <w:u w:val="none" w:color="auto"/>
        </w:rPr>
        <w:t>根据现场调查结果，工程评价区域的水生维管束植物可分为4类</w:t>
      </w:r>
      <w:r>
        <w:rPr>
          <w:rFonts w:hint="default" w:ascii="Times New Roman" w:hAnsi="Times New Roman" w:eastAsia="宋体" w:cs="Times New Roman"/>
          <w:caps w:val="0"/>
          <w:smallCaps w:val="0"/>
          <w:color w:val="auto"/>
          <w:spacing w:val="0"/>
          <w:w w:val="100"/>
          <w:position w:val="0"/>
          <w:sz w:val="24"/>
          <w:szCs w:val="24"/>
          <w:highlight w:val="none"/>
          <w:u w:val="none" w:color="auto"/>
          <w:lang w:val="en-US" w:eastAsia="zh-CN"/>
        </w:rPr>
        <w:t>9</w:t>
      </w:r>
      <w:r>
        <w:rPr>
          <w:rFonts w:hint="default" w:ascii="Times New Roman" w:hAnsi="Times New Roman" w:eastAsia="宋体" w:cs="Times New Roman"/>
          <w:caps w:val="0"/>
          <w:smallCaps w:val="0"/>
          <w:color w:val="auto"/>
          <w:spacing w:val="0"/>
          <w:w w:val="100"/>
          <w:position w:val="0"/>
          <w:sz w:val="24"/>
          <w:szCs w:val="24"/>
          <w:highlight w:val="none"/>
          <w:u w:val="none" w:color="auto"/>
        </w:rPr>
        <w:t>种，其中挺水植物</w:t>
      </w:r>
      <w:r>
        <w:rPr>
          <w:rFonts w:hint="default" w:ascii="Times New Roman" w:hAnsi="Times New Roman" w:eastAsia="宋体" w:cs="Times New Roman"/>
          <w:caps w:val="0"/>
          <w:smallCaps w:val="0"/>
          <w:color w:val="auto"/>
          <w:spacing w:val="0"/>
          <w:w w:val="100"/>
          <w:position w:val="0"/>
          <w:sz w:val="24"/>
          <w:szCs w:val="24"/>
          <w:highlight w:val="none"/>
          <w:u w:val="none" w:color="auto"/>
          <w:lang w:val="en-US" w:eastAsia="zh-CN"/>
        </w:rPr>
        <w:t>3</w:t>
      </w:r>
      <w:r>
        <w:rPr>
          <w:rFonts w:hint="default" w:ascii="Times New Roman" w:hAnsi="Times New Roman" w:eastAsia="宋体" w:cs="Times New Roman"/>
          <w:caps w:val="0"/>
          <w:smallCaps w:val="0"/>
          <w:color w:val="auto"/>
          <w:spacing w:val="0"/>
          <w:w w:val="100"/>
          <w:position w:val="0"/>
          <w:sz w:val="24"/>
          <w:szCs w:val="24"/>
          <w:highlight w:val="none"/>
          <w:u w:val="none" w:color="auto"/>
        </w:rPr>
        <w:t>种；沉水植物4种，漂浮植物和浮叶植物各1种，主要分布的水生维管束植物有水蓼（</w:t>
      </w:r>
      <w:r>
        <w:rPr>
          <w:rFonts w:hint="default" w:ascii="Times New Roman" w:hAnsi="Times New Roman" w:eastAsia="宋体" w:cs="Times New Roman"/>
          <w:i/>
          <w:caps w:val="0"/>
          <w:smallCaps w:val="0"/>
          <w:color w:val="auto"/>
          <w:spacing w:val="0"/>
          <w:w w:val="100"/>
          <w:position w:val="0"/>
          <w:sz w:val="24"/>
          <w:szCs w:val="24"/>
          <w:highlight w:val="none"/>
          <w:u w:val="none" w:color="auto"/>
        </w:rPr>
        <w:t>Polygonum hydropiper</w:t>
      </w:r>
      <w:r>
        <w:rPr>
          <w:rFonts w:hint="default" w:ascii="Times New Roman" w:hAnsi="Times New Roman" w:eastAsia="宋体" w:cs="Times New Roman"/>
          <w:caps w:val="0"/>
          <w:smallCaps w:val="0"/>
          <w:color w:val="auto"/>
          <w:spacing w:val="0"/>
          <w:w w:val="100"/>
          <w:position w:val="0"/>
          <w:sz w:val="24"/>
          <w:szCs w:val="24"/>
          <w:highlight w:val="none"/>
          <w:u w:val="none" w:color="auto"/>
        </w:rPr>
        <w:t>）、喜旱莲子草（</w:t>
      </w:r>
      <w:r>
        <w:rPr>
          <w:rFonts w:hint="default" w:ascii="Times New Roman" w:hAnsi="Times New Roman" w:eastAsia="宋体" w:cs="Times New Roman"/>
          <w:i/>
          <w:caps w:val="0"/>
          <w:smallCaps w:val="0"/>
          <w:color w:val="auto"/>
          <w:spacing w:val="0"/>
          <w:w w:val="100"/>
          <w:position w:val="0"/>
          <w:sz w:val="24"/>
          <w:szCs w:val="24"/>
          <w:highlight w:val="none"/>
          <w:u w:val="none" w:color="auto"/>
        </w:rPr>
        <w:t>Alternanthera philoxeroides</w:t>
      </w:r>
      <w:r>
        <w:rPr>
          <w:rFonts w:hint="default" w:ascii="Times New Roman" w:hAnsi="Times New Roman" w:eastAsia="宋体" w:cs="Times New Roman"/>
          <w:caps w:val="0"/>
          <w:smallCaps w:val="0"/>
          <w:color w:val="auto"/>
          <w:spacing w:val="0"/>
          <w:w w:val="100"/>
          <w:position w:val="0"/>
          <w:sz w:val="24"/>
          <w:szCs w:val="24"/>
          <w:highlight w:val="none"/>
          <w:u w:val="none" w:color="auto"/>
        </w:rPr>
        <w:t>）、 竹叶眼子菜（</w:t>
      </w:r>
      <w:r>
        <w:rPr>
          <w:rFonts w:hint="default" w:ascii="Times New Roman" w:hAnsi="Times New Roman" w:eastAsia="宋体" w:cs="Times New Roman"/>
          <w:i/>
          <w:caps w:val="0"/>
          <w:smallCaps w:val="0"/>
          <w:color w:val="auto"/>
          <w:spacing w:val="0"/>
          <w:w w:val="100"/>
          <w:position w:val="0"/>
          <w:sz w:val="24"/>
          <w:szCs w:val="24"/>
          <w:highlight w:val="none"/>
          <w:u w:val="none" w:color="auto"/>
        </w:rPr>
        <w:t>Potamogeton malaianus</w:t>
      </w:r>
      <w:r>
        <w:rPr>
          <w:rFonts w:hint="default" w:ascii="Times New Roman" w:hAnsi="Times New Roman" w:eastAsia="宋体" w:cs="Times New Roman"/>
          <w:caps w:val="0"/>
          <w:smallCaps w:val="0"/>
          <w:color w:val="auto"/>
          <w:spacing w:val="0"/>
          <w:w w:val="100"/>
          <w:position w:val="0"/>
          <w:sz w:val="24"/>
          <w:szCs w:val="24"/>
          <w:highlight w:val="none"/>
          <w:u w:val="none" w:color="auto"/>
        </w:rPr>
        <w:t>）等。</w:t>
      </w:r>
    </w:p>
    <w:p w14:paraId="2650652D">
      <w:pPr>
        <w:pStyle w:val="6"/>
        <w:keepNext w:val="0"/>
        <w:keepLines w:val="0"/>
        <w:pageBreakBefore w:val="0"/>
        <w:widowControl w:val="0"/>
        <w:kinsoku w:val="0"/>
        <w:wordWrap w:val="0"/>
        <w:overflowPunct/>
        <w:topLinePunct/>
        <w:autoSpaceDE/>
        <w:autoSpaceDN/>
        <w:bidi w:val="0"/>
        <w:adjustRightInd/>
        <w:snapToGrid/>
        <w:spacing w:before="0" w:beforeLines="50" w:line="360" w:lineRule="auto"/>
        <w:ind w:left="0" w:leftChars="0" w:firstLine="0" w:firstLineChars="0"/>
        <w:jc w:val="center"/>
        <w:textAlignment w:val="auto"/>
        <w:rPr>
          <w:rFonts w:hint="default" w:ascii="Times New Roman" w:hAnsi="Times New Roman" w:eastAsia="宋体" w:cs="Times New Roman"/>
          <w:b/>
          <w:caps w:val="0"/>
          <w:smallCaps w:val="0"/>
          <w:color w:val="auto"/>
          <w:spacing w:val="0"/>
          <w:w w:val="100"/>
          <w:position w:val="0"/>
          <w:sz w:val="21"/>
          <w:szCs w:val="21"/>
          <w:u w:val="none" w:color="auto"/>
          <w:lang w:val="en-US" w:eastAsia="zh-CN"/>
        </w:rPr>
      </w:pP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表3.3-</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begin"/>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instrText xml:space="preserve"> SEQ 表 \* ARABIC \s 1 </w:instrTex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separate"/>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11</w:t>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fldChar w:fldCharType="end"/>
      </w: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 xml:space="preserve"> 评价区水生维管束植物名录</w:t>
      </w:r>
    </w:p>
    <w:tbl>
      <w:tblPr>
        <w:tblStyle w:val="39"/>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667"/>
        <w:gridCol w:w="1666"/>
        <w:gridCol w:w="1662"/>
        <w:gridCol w:w="3339"/>
      </w:tblGrid>
      <w:tr w14:paraId="516115A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blHeader/>
        </w:trPr>
        <w:tc>
          <w:tcPr>
            <w:tcW w:w="1000" w:type="pct"/>
            <w:tcBorders>
              <w:tl2br w:val="nil"/>
              <w:tr2bl w:val="nil"/>
            </w:tcBorders>
            <w:noWrap w:val="0"/>
            <w:vAlign w:val="center"/>
          </w:tcPr>
          <w:p w14:paraId="0FBC8E64">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b/>
                <w:bCs/>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b/>
                <w:bCs/>
                <w:caps w:val="0"/>
                <w:smallCaps w:val="0"/>
                <w:color w:val="auto"/>
                <w:spacing w:val="0"/>
                <w:w w:val="100"/>
                <w:kern w:val="0"/>
                <w:position w:val="0"/>
                <w:sz w:val="21"/>
                <w:szCs w:val="21"/>
                <w:highlight w:val="none"/>
                <w:u w:val="none" w:color="auto"/>
                <w:lang w:val="en-US" w:eastAsia="zh-CN" w:bidi="ar-SA"/>
              </w:rPr>
              <w:t>类别</w:t>
            </w:r>
          </w:p>
        </w:tc>
        <w:tc>
          <w:tcPr>
            <w:tcW w:w="999" w:type="pct"/>
            <w:tcBorders>
              <w:tl2br w:val="nil"/>
              <w:tr2bl w:val="nil"/>
            </w:tcBorders>
            <w:noWrap w:val="0"/>
            <w:vAlign w:val="center"/>
          </w:tcPr>
          <w:p w14:paraId="4DA05190">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b/>
                <w:bCs/>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b/>
                <w:bCs/>
                <w:caps w:val="0"/>
                <w:smallCaps w:val="0"/>
                <w:color w:val="auto"/>
                <w:spacing w:val="0"/>
                <w:w w:val="100"/>
                <w:kern w:val="0"/>
                <w:position w:val="0"/>
                <w:sz w:val="21"/>
                <w:szCs w:val="21"/>
                <w:highlight w:val="none"/>
                <w:u w:val="none" w:color="auto"/>
                <w:lang w:val="en-US" w:eastAsia="zh-CN" w:bidi="ar-SA"/>
              </w:rPr>
              <w:t>科名</w:t>
            </w:r>
          </w:p>
        </w:tc>
        <w:tc>
          <w:tcPr>
            <w:tcW w:w="997" w:type="pct"/>
            <w:tcBorders>
              <w:tl2br w:val="nil"/>
              <w:tr2bl w:val="nil"/>
            </w:tcBorders>
            <w:noWrap w:val="0"/>
            <w:vAlign w:val="center"/>
          </w:tcPr>
          <w:p w14:paraId="00D18391">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b/>
                <w:bCs/>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b/>
                <w:bCs/>
                <w:caps w:val="0"/>
                <w:smallCaps w:val="0"/>
                <w:color w:val="auto"/>
                <w:spacing w:val="0"/>
                <w:w w:val="100"/>
                <w:kern w:val="0"/>
                <w:position w:val="0"/>
                <w:sz w:val="21"/>
                <w:szCs w:val="21"/>
                <w:highlight w:val="none"/>
                <w:u w:val="none" w:color="auto"/>
                <w:lang w:val="en-US" w:eastAsia="zh-CN" w:bidi="ar-SA"/>
              </w:rPr>
              <w:t>种名</w:t>
            </w:r>
          </w:p>
        </w:tc>
        <w:tc>
          <w:tcPr>
            <w:tcW w:w="2002" w:type="pct"/>
            <w:tcBorders>
              <w:tl2br w:val="nil"/>
              <w:tr2bl w:val="nil"/>
            </w:tcBorders>
            <w:noWrap w:val="0"/>
            <w:vAlign w:val="center"/>
          </w:tcPr>
          <w:p w14:paraId="5931205C">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b/>
                <w:bCs/>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b/>
                <w:bCs/>
                <w:caps w:val="0"/>
                <w:smallCaps w:val="0"/>
                <w:color w:val="auto"/>
                <w:spacing w:val="0"/>
                <w:w w:val="100"/>
                <w:kern w:val="0"/>
                <w:position w:val="0"/>
                <w:sz w:val="21"/>
                <w:szCs w:val="21"/>
                <w:highlight w:val="none"/>
                <w:u w:val="none" w:color="auto"/>
                <w:lang w:val="en-US" w:eastAsia="zh-CN" w:bidi="ar-SA"/>
              </w:rPr>
              <w:t>拉丁名</w:t>
            </w:r>
          </w:p>
        </w:tc>
      </w:tr>
      <w:tr w14:paraId="192849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00" w:type="pct"/>
            <w:tcBorders>
              <w:tl2br w:val="nil"/>
              <w:tr2bl w:val="nil"/>
            </w:tcBorders>
            <w:noWrap w:val="0"/>
            <w:vAlign w:val="center"/>
          </w:tcPr>
          <w:p w14:paraId="0DA64CB2">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漂浮植物</w:t>
            </w:r>
          </w:p>
        </w:tc>
        <w:tc>
          <w:tcPr>
            <w:tcW w:w="999" w:type="pct"/>
            <w:tcBorders>
              <w:tl2br w:val="nil"/>
              <w:tr2bl w:val="nil"/>
            </w:tcBorders>
            <w:noWrap w:val="0"/>
            <w:vAlign w:val="center"/>
          </w:tcPr>
          <w:p w14:paraId="6664FE64">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苹科</w:t>
            </w:r>
          </w:p>
        </w:tc>
        <w:tc>
          <w:tcPr>
            <w:tcW w:w="997" w:type="pct"/>
            <w:tcBorders>
              <w:tl2br w:val="nil"/>
              <w:tr2bl w:val="nil"/>
            </w:tcBorders>
            <w:noWrap w:val="0"/>
            <w:vAlign w:val="center"/>
          </w:tcPr>
          <w:p w14:paraId="7C2263F3">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苹</w:t>
            </w:r>
          </w:p>
        </w:tc>
        <w:tc>
          <w:tcPr>
            <w:tcW w:w="2002" w:type="pct"/>
            <w:tcBorders>
              <w:tl2br w:val="nil"/>
              <w:tr2bl w:val="nil"/>
            </w:tcBorders>
            <w:noWrap w:val="0"/>
            <w:vAlign w:val="center"/>
          </w:tcPr>
          <w:p w14:paraId="31DB05C6">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i/>
                <w:caps w:val="0"/>
                <w:smallCaps w:val="0"/>
                <w:color w:val="auto"/>
                <w:spacing w:val="0"/>
                <w:w w:val="100"/>
                <w:kern w:val="0"/>
                <w:position w:val="0"/>
                <w:sz w:val="21"/>
                <w:szCs w:val="24"/>
                <w:highlight w:val="none"/>
                <w:u w:val="none" w:color="auto"/>
                <w:lang w:val="en-US" w:eastAsia="zh-CN" w:bidi="ar-SA"/>
              </w:rPr>
              <w:t>Marsilea quadrifolia</w:t>
            </w:r>
          </w:p>
        </w:tc>
      </w:tr>
      <w:tr w14:paraId="3BB44FC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00" w:type="pct"/>
            <w:tcBorders>
              <w:tl2br w:val="nil"/>
              <w:tr2bl w:val="nil"/>
            </w:tcBorders>
            <w:noWrap w:val="0"/>
            <w:vAlign w:val="center"/>
          </w:tcPr>
          <w:p w14:paraId="73B427CA">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浮叶植物</w:t>
            </w:r>
          </w:p>
        </w:tc>
        <w:tc>
          <w:tcPr>
            <w:tcW w:w="999" w:type="pct"/>
            <w:tcBorders>
              <w:tl2br w:val="nil"/>
              <w:tr2bl w:val="nil"/>
            </w:tcBorders>
            <w:noWrap w:val="0"/>
            <w:vAlign w:val="center"/>
          </w:tcPr>
          <w:p w14:paraId="442DA7BB">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水鳖科</w:t>
            </w:r>
          </w:p>
        </w:tc>
        <w:tc>
          <w:tcPr>
            <w:tcW w:w="997" w:type="pct"/>
            <w:tcBorders>
              <w:tl2br w:val="nil"/>
              <w:tr2bl w:val="nil"/>
            </w:tcBorders>
            <w:noWrap w:val="0"/>
            <w:vAlign w:val="center"/>
          </w:tcPr>
          <w:p w14:paraId="0A7A0E92">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水鳖</w:t>
            </w:r>
          </w:p>
        </w:tc>
        <w:tc>
          <w:tcPr>
            <w:tcW w:w="2002" w:type="pct"/>
            <w:tcBorders>
              <w:tl2br w:val="nil"/>
              <w:tr2bl w:val="nil"/>
            </w:tcBorders>
            <w:noWrap w:val="0"/>
            <w:vAlign w:val="center"/>
          </w:tcPr>
          <w:p w14:paraId="634E140D">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i/>
                <w:caps w:val="0"/>
                <w:smallCaps w:val="0"/>
                <w:color w:val="auto"/>
                <w:spacing w:val="0"/>
                <w:w w:val="100"/>
                <w:kern w:val="0"/>
                <w:position w:val="0"/>
                <w:sz w:val="21"/>
                <w:szCs w:val="24"/>
                <w:highlight w:val="none"/>
                <w:u w:val="none" w:color="auto"/>
                <w:lang w:val="en-US" w:eastAsia="zh-CN" w:bidi="ar-SA"/>
              </w:rPr>
              <w:t>Hydrocharis dubia</w:t>
            </w:r>
          </w:p>
        </w:tc>
      </w:tr>
      <w:tr w14:paraId="773B64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00" w:type="pct"/>
            <w:vMerge w:val="restart"/>
            <w:tcBorders>
              <w:tl2br w:val="nil"/>
              <w:tr2bl w:val="nil"/>
            </w:tcBorders>
            <w:noWrap w:val="0"/>
            <w:vAlign w:val="center"/>
          </w:tcPr>
          <w:p w14:paraId="222380DF">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挺水植物</w:t>
            </w:r>
          </w:p>
        </w:tc>
        <w:tc>
          <w:tcPr>
            <w:tcW w:w="999" w:type="pct"/>
            <w:tcBorders>
              <w:tl2br w:val="nil"/>
              <w:tr2bl w:val="nil"/>
            </w:tcBorders>
            <w:noWrap w:val="0"/>
            <w:vAlign w:val="center"/>
          </w:tcPr>
          <w:p w14:paraId="1B5588DC">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苋科</w:t>
            </w:r>
          </w:p>
        </w:tc>
        <w:tc>
          <w:tcPr>
            <w:tcW w:w="997" w:type="pct"/>
            <w:tcBorders>
              <w:tl2br w:val="nil"/>
              <w:tr2bl w:val="nil"/>
            </w:tcBorders>
            <w:noWrap w:val="0"/>
            <w:vAlign w:val="center"/>
          </w:tcPr>
          <w:p w14:paraId="62D0329B">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喜旱莲子草</w:t>
            </w:r>
          </w:p>
        </w:tc>
        <w:tc>
          <w:tcPr>
            <w:tcW w:w="2002" w:type="pct"/>
            <w:tcBorders>
              <w:tl2br w:val="nil"/>
              <w:tr2bl w:val="nil"/>
            </w:tcBorders>
            <w:noWrap w:val="0"/>
            <w:vAlign w:val="center"/>
          </w:tcPr>
          <w:p w14:paraId="19289D5C">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i/>
                <w:caps w:val="0"/>
                <w:smallCaps w:val="0"/>
                <w:color w:val="auto"/>
                <w:spacing w:val="0"/>
                <w:w w:val="100"/>
                <w:kern w:val="0"/>
                <w:position w:val="0"/>
                <w:sz w:val="21"/>
                <w:szCs w:val="24"/>
                <w:highlight w:val="none"/>
                <w:u w:val="none" w:color="auto"/>
                <w:lang w:val="en-US" w:eastAsia="zh-CN" w:bidi="ar-SA"/>
              </w:rPr>
              <w:t>Alternanthera philoxeroides</w:t>
            </w:r>
          </w:p>
        </w:tc>
      </w:tr>
      <w:tr w14:paraId="3FF220B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00" w:type="pct"/>
            <w:vMerge w:val="continue"/>
            <w:tcBorders>
              <w:tl2br w:val="nil"/>
              <w:tr2bl w:val="nil"/>
            </w:tcBorders>
            <w:noWrap w:val="0"/>
            <w:vAlign w:val="center"/>
          </w:tcPr>
          <w:p w14:paraId="58074C09">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position w:val="0"/>
                <w:sz w:val="24"/>
                <w:szCs w:val="21"/>
                <w:highlight w:val="none"/>
                <w:u w:val="none" w:color="auto"/>
              </w:rPr>
            </w:pPr>
          </w:p>
        </w:tc>
        <w:tc>
          <w:tcPr>
            <w:tcW w:w="999" w:type="pct"/>
            <w:tcBorders>
              <w:tl2br w:val="nil"/>
              <w:tr2bl w:val="nil"/>
            </w:tcBorders>
            <w:noWrap w:val="0"/>
            <w:vAlign w:val="center"/>
          </w:tcPr>
          <w:p w14:paraId="241843A7">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蓼科</w:t>
            </w:r>
          </w:p>
        </w:tc>
        <w:tc>
          <w:tcPr>
            <w:tcW w:w="997" w:type="pct"/>
            <w:tcBorders>
              <w:tl2br w:val="nil"/>
              <w:tr2bl w:val="nil"/>
            </w:tcBorders>
            <w:noWrap w:val="0"/>
            <w:vAlign w:val="center"/>
          </w:tcPr>
          <w:p w14:paraId="4276A55A">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水蓼</w:t>
            </w:r>
          </w:p>
        </w:tc>
        <w:tc>
          <w:tcPr>
            <w:tcW w:w="2002" w:type="pct"/>
            <w:tcBorders>
              <w:tl2br w:val="nil"/>
              <w:tr2bl w:val="nil"/>
            </w:tcBorders>
            <w:noWrap w:val="0"/>
            <w:vAlign w:val="center"/>
          </w:tcPr>
          <w:p w14:paraId="6206EC8C">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i/>
                <w:caps w:val="0"/>
                <w:smallCaps w:val="0"/>
                <w:color w:val="auto"/>
                <w:spacing w:val="0"/>
                <w:w w:val="100"/>
                <w:kern w:val="0"/>
                <w:position w:val="0"/>
                <w:sz w:val="21"/>
                <w:szCs w:val="24"/>
                <w:highlight w:val="none"/>
                <w:u w:val="none" w:color="auto"/>
                <w:lang w:val="en-US" w:eastAsia="zh-CN" w:bidi="ar-SA"/>
              </w:rPr>
              <w:t>Polygonum hydropiper</w:t>
            </w:r>
          </w:p>
        </w:tc>
      </w:tr>
      <w:tr w14:paraId="4979D6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00" w:type="pct"/>
            <w:vMerge w:val="continue"/>
            <w:tcBorders>
              <w:tl2br w:val="nil"/>
              <w:tr2bl w:val="nil"/>
            </w:tcBorders>
            <w:noWrap w:val="0"/>
            <w:vAlign w:val="center"/>
          </w:tcPr>
          <w:p w14:paraId="69069528">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position w:val="0"/>
                <w:sz w:val="24"/>
                <w:szCs w:val="21"/>
                <w:highlight w:val="none"/>
                <w:u w:val="none" w:color="auto"/>
              </w:rPr>
            </w:pPr>
          </w:p>
        </w:tc>
        <w:tc>
          <w:tcPr>
            <w:tcW w:w="999" w:type="pct"/>
            <w:tcBorders>
              <w:tl2br w:val="nil"/>
              <w:tr2bl w:val="nil"/>
            </w:tcBorders>
            <w:noWrap w:val="0"/>
            <w:vAlign w:val="center"/>
          </w:tcPr>
          <w:p w14:paraId="07298840">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伞形科</w:t>
            </w:r>
          </w:p>
        </w:tc>
        <w:tc>
          <w:tcPr>
            <w:tcW w:w="997" w:type="pct"/>
            <w:tcBorders>
              <w:tl2br w:val="nil"/>
              <w:tr2bl w:val="nil"/>
            </w:tcBorders>
            <w:noWrap w:val="0"/>
            <w:vAlign w:val="center"/>
          </w:tcPr>
          <w:p w14:paraId="31C6938A">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水芹</w:t>
            </w:r>
          </w:p>
        </w:tc>
        <w:tc>
          <w:tcPr>
            <w:tcW w:w="2002" w:type="pct"/>
            <w:tcBorders>
              <w:tl2br w:val="nil"/>
              <w:tr2bl w:val="nil"/>
            </w:tcBorders>
            <w:noWrap w:val="0"/>
            <w:vAlign w:val="center"/>
          </w:tcPr>
          <w:p w14:paraId="7446211E">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i/>
                <w:caps w:val="0"/>
                <w:smallCaps w:val="0"/>
                <w:color w:val="auto"/>
                <w:spacing w:val="0"/>
                <w:w w:val="100"/>
                <w:kern w:val="0"/>
                <w:position w:val="0"/>
                <w:sz w:val="21"/>
                <w:szCs w:val="24"/>
                <w:highlight w:val="none"/>
                <w:u w:val="none" w:color="auto"/>
                <w:lang w:val="en-US" w:eastAsia="zh-CN" w:bidi="ar-SA"/>
              </w:rPr>
              <w:t>Oenanthe javanica</w:t>
            </w:r>
          </w:p>
        </w:tc>
      </w:tr>
      <w:tr w14:paraId="65D64D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00" w:type="pct"/>
            <w:vMerge w:val="restart"/>
            <w:tcBorders>
              <w:tl2br w:val="nil"/>
              <w:tr2bl w:val="nil"/>
            </w:tcBorders>
            <w:noWrap w:val="0"/>
            <w:vAlign w:val="center"/>
          </w:tcPr>
          <w:p w14:paraId="79F2C30D">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沉水植物</w:t>
            </w:r>
          </w:p>
        </w:tc>
        <w:tc>
          <w:tcPr>
            <w:tcW w:w="999" w:type="pct"/>
            <w:vMerge w:val="restart"/>
            <w:tcBorders>
              <w:tl2br w:val="nil"/>
              <w:tr2bl w:val="nil"/>
            </w:tcBorders>
            <w:noWrap w:val="0"/>
            <w:vAlign w:val="center"/>
          </w:tcPr>
          <w:p w14:paraId="7050A2BF">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水鳖科</w:t>
            </w:r>
          </w:p>
        </w:tc>
        <w:tc>
          <w:tcPr>
            <w:tcW w:w="997" w:type="pct"/>
            <w:tcBorders>
              <w:tl2br w:val="nil"/>
              <w:tr2bl w:val="nil"/>
            </w:tcBorders>
            <w:noWrap w:val="0"/>
            <w:vAlign w:val="center"/>
          </w:tcPr>
          <w:p w14:paraId="664B8F7B">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黑藻</w:t>
            </w:r>
          </w:p>
        </w:tc>
        <w:tc>
          <w:tcPr>
            <w:tcW w:w="2002" w:type="pct"/>
            <w:tcBorders>
              <w:tl2br w:val="nil"/>
              <w:tr2bl w:val="nil"/>
            </w:tcBorders>
            <w:noWrap w:val="0"/>
            <w:vAlign w:val="center"/>
          </w:tcPr>
          <w:p w14:paraId="3055405E">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i/>
                <w:caps w:val="0"/>
                <w:smallCaps w:val="0"/>
                <w:color w:val="auto"/>
                <w:spacing w:val="0"/>
                <w:w w:val="100"/>
                <w:kern w:val="0"/>
                <w:position w:val="0"/>
                <w:sz w:val="21"/>
                <w:szCs w:val="24"/>
                <w:highlight w:val="none"/>
                <w:u w:val="none" w:color="auto"/>
                <w:lang w:val="en-US" w:eastAsia="zh-CN" w:bidi="ar-SA"/>
              </w:rPr>
              <w:t>Hydrilla verticillata</w:t>
            </w:r>
          </w:p>
        </w:tc>
      </w:tr>
      <w:tr w14:paraId="184A7D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00" w:type="pct"/>
            <w:vMerge w:val="continue"/>
            <w:tcBorders>
              <w:tl2br w:val="nil"/>
              <w:tr2bl w:val="nil"/>
            </w:tcBorders>
            <w:noWrap w:val="0"/>
            <w:vAlign w:val="center"/>
          </w:tcPr>
          <w:p w14:paraId="5CAB8542">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position w:val="0"/>
                <w:sz w:val="24"/>
                <w:szCs w:val="21"/>
                <w:highlight w:val="none"/>
                <w:u w:val="none" w:color="auto"/>
              </w:rPr>
            </w:pPr>
          </w:p>
        </w:tc>
        <w:tc>
          <w:tcPr>
            <w:tcW w:w="999" w:type="pct"/>
            <w:vMerge w:val="continue"/>
            <w:tcBorders>
              <w:tl2br w:val="nil"/>
              <w:tr2bl w:val="nil"/>
            </w:tcBorders>
            <w:noWrap w:val="0"/>
            <w:vAlign w:val="center"/>
          </w:tcPr>
          <w:p w14:paraId="73AB761F">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position w:val="0"/>
                <w:sz w:val="24"/>
                <w:szCs w:val="21"/>
                <w:highlight w:val="none"/>
                <w:u w:val="none" w:color="auto"/>
              </w:rPr>
            </w:pPr>
          </w:p>
        </w:tc>
        <w:tc>
          <w:tcPr>
            <w:tcW w:w="997" w:type="pct"/>
            <w:tcBorders>
              <w:tl2br w:val="nil"/>
              <w:tr2bl w:val="nil"/>
            </w:tcBorders>
            <w:noWrap w:val="0"/>
            <w:vAlign w:val="center"/>
          </w:tcPr>
          <w:p w14:paraId="4E74F2CF">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苦草</w:t>
            </w:r>
          </w:p>
        </w:tc>
        <w:tc>
          <w:tcPr>
            <w:tcW w:w="2002" w:type="pct"/>
            <w:tcBorders>
              <w:tl2br w:val="nil"/>
              <w:tr2bl w:val="nil"/>
            </w:tcBorders>
            <w:noWrap w:val="0"/>
            <w:vAlign w:val="center"/>
          </w:tcPr>
          <w:p w14:paraId="32EA7C27">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i/>
                <w:caps w:val="0"/>
                <w:smallCaps w:val="0"/>
                <w:color w:val="auto"/>
                <w:spacing w:val="0"/>
                <w:w w:val="100"/>
                <w:kern w:val="0"/>
                <w:position w:val="0"/>
                <w:sz w:val="21"/>
                <w:szCs w:val="24"/>
                <w:highlight w:val="none"/>
                <w:u w:val="none" w:color="auto"/>
                <w:lang w:val="en-US" w:eastAsia="zh-CN" w:bidi="ar-SA"/>
              </w:rPr>
              <w:t>Vallisneria natans</w:t>
            </w:r>
          </w:p>
        </w:tc>
      </w:tr>
      <w:tr w14:paraId="03BA72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00" w:type="pct"/>
            <w:vMerge w:val="continue"/>
            <w:tcBorders>
              <w:tl2br w:val="nil"/>
              <w:tr2bl w:val="nil"/>
            </w:tcBorders>
            <w:noWrap w:val="0"/>
            <w:vAlign w:val="center"/>
          </w:tcPr>
          <w:p w14:paraId="150F045A">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position w:val="0"/>
                <w:sz w:val="24"/>
                <w:szCs w:val="21"/>
                <w:highlight w:val="none"/>
                <w:u w:val="none" w:color="auto"/>
              </w:rPr>
            </w:pPr>
          </w:p>
        </w:tc>
        <w:tc>
          <w:tcPr>
            <w:tcW w:w="999" w:type="pct"/>
            <w:vMerge w:val="restart"/>
            <w:tcBorders>
              <w:tl2br w:val="nil"/>
              <w:tr2bl w:val="nil"/>
            </w:tcBorders>
            <w:noWrap w:val="0"/>
            <w:vAlign w:val="center"/>
          </w:tcPr>
          <w:p w14:paraId="163E8CBC">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眼子菜科</w:t>
            </w:r>
          </w:p>
        </w:tc>
        <w:tc>
          <w:tcPr>
            <w:tcW w:w="997" w:type="pct"/>
            <w:tcBorders>
              <w:tl2br w:val="nil"/>
              <w:tr2bl w:val="nil"/>
            </w:tcBorders>
            <w:noWrap w:val="0"/>
            <w:vAlign w:val="center"/>
          </w:tcPr>
          <w:p w14:paraId="4349CC4C">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菹草</w:t>
            </w:r>
          </w:p>
        </w:tc>
        <w:tc>
          <w:tcPr>
            <w:tcW w:w="2002" w:type="pct"/>
            <w:tcBorders>
              <w:tl2br w:val="nil"/>
              <w:tr2bl w:val="nil"/>
            </w:tcBorders>
            <w:noWrap w:val="0"/>
            <w:vAlign w:val="center"/>
          </w:tcPr>
          <w:p w14:paraId="379D14C5">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i/>
                <w:caps w:val="0"/>
                <w:smallCaps w:val="0"/>
                <w:color w:val="auto"/>
                <w:spacing w:val="0"/>
                <w:w w:val="100"/>
                <w:kern w:val="0"/>
                <w:position w:val="0"/>
                <w:sz w:val="21"/>
                <w:szCs w:val="24"/>
                <w:highlight w:val="none"/>
                <w:u w:val="none" w:color="auto"/>
                <w:lang w:val="en-US" w:eastAsia="zh-CN" w:bidi="ar-SA"/>
              </w:rPr>
              <w:t>Potamogeton crispus</w:t>
            </w:r>
          </w:p>
        </w:tc>
      </w:tr>
      <w:tr w14:paraId="5BE8F7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00" w:type="pct"/>
            <w:vMerge w:val="continue"/>
            <w:tcBorders>
              <w:tl2br w:val="nil"/>
              <w:tr2bl w:val="nil"/>
            </w:tcBorders>
            <w:noWrap w:val="0"/>
            <w:vAlign w:val="center"/>
          </w:tcPr>
          <w:p w14:paraId="784160AD">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position w:val="0"/>
                <w:sz w:val="24"/>
                <w:szCs w:val="21"/>
                <w:highlight w:val="none"/>
                <w:u w:val="none" w:color="auto"/>
              </w:rPr>
            </w:pPr>
          </w:p>
        </w:tc>
        <w:tc>
          <w:tcPr>
            <w:tcW w:w="999" w:type="pct"/>
            <w:vMerge w:val="continue"/>
            <w:tcBorders>
              <w:tl2br w:val="nil"/>
              <w:tr2bl w:val="nil"/>
            </w:tcBorders>
            <w:noWrap w:val="0"/>
            <w:vAlign w:val="center"/>
          </w:tcPr>
          <w:p w14:paraId="3507A53C">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position w:val="0"/>
                <w:sz w:val="24"/>
                <w:szCs w:val="21"/>
                <w:highlight w:val="none"/>
                <w:u w:val="none" w:color="auto"/>
              </w:rPr>
            </w:pPr>
          </w:p>
        </w:tc>
        <w:tc>
          <w:tcPr>
            <w:tcW w:w="997" w:type="pct"/>
            <w:tcBorders>
              <w:tl2br w:val="nil"/>
              <w:tr2bl w:val="nil"/>
            </w:tcBorders>
            <w:noWrap w:val="0"/>
            <w:vAlign w:val="center"/>
          </w:tcPr>
          <w:p w14:paraId="6A454D15">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t>竹叶眼子菜</w:t>
            </w:r>
          </w:p>
        </w:tc>
        <w:tc>
          <w:tcPr>
            <w:tcW w:w="2002" w:type="pct"/>
            <w:tcBorders>
              <w:tl2br w:val="nil"/>
              <w:tr2bl w:val="nil"/>
            </w:tcBorders>
            <w:noWrap w:val="0"/>
            <w:vAlign w:val="center"/>
          </w:tcPr>
          <w:p w14:paraId="330183EB">
            <w:pPr>
              <w:keepNext w:val="0"/>
              <w:keepLines w:val="0"/>
              <w:pageBreakBefore w:val="0"/>
              <w:widowControl w:val="0"/>
              <w:suppressLineNumbers w:val="0"/>
              <w:kinsoku w:val="0"/>
              <w:wordWrap w:val="0"/>
              <w:overflowPunct/>
              <w:topLinePunct/>
              <w:autoSpaceDE/>
              <w:autoSpaceDN/>
              <w:bidi w:val="0"/>
              <w:adjustRightInd w:val="0"/>
              <w:snapToGrid w:val="0"/>
              <w:spacing w:before="0" w:beforeAutospacing="0" w:after="0" w:afterAutospacing="0" w:line="340" w:lineRule="exact"/>
              <w:ind w:left="11" w:leftChars="0" w:right="0" w:hanging="11" w:firstLineChars="0"/>
              <w:jc w:val="center"/>
              <w:textAlignment w:val="auto"/>
              <w:rPr>
                <w:rFonts w:hint="default" w:ascii="Times New Roman" w:hAnsi="Times New Roman" w:eastAsia="宋体" w:cs="Times New Roman"/>
                <w:caps w:val="0"/>
                <w:smallCaps w:val="0"/>
                <w:color w:val="auto"/>
                <w:spacing w:val="0"/>
                <w:w w:val="100"/>
                <w:kern w:val="0"/>
                <w:position w:val="0"/>
                <w:sz w:val="21"/>
                <w:szCs w:val="21"/>
                <w:highlight w:val="none"/>
                <w:u w:val="none" w:color="auto"/>
                <w:lang w:val="en-US" w:eastAsia="zh-CN" w:bidi="ar-SA"/>
              </w:rPr>
            </w:pPr>
            <w:r>
              <w:rPr>
                <w:rFonts w:hint="default" w:ascii="Times New Roman" w:hAnsi="Times New Roman" w:eastAsia="宋体" w:cs="Times New Roman"/>
                <w:i/>
                <w:caps w:val="0"/>
                <w:smallCaps w:val="0"/>
                <w:color w:val="auto"/>
                <w:spacing w:val="0"/>
                <w:w w:val="100"/>
                <w:kern w:val="0"/>
                <w:position w:val="0"/>
                <w:sz w:val="21"/>
                <w:szCs w:val="24"/>
                <w:highlight w:val="none"/>
                <w:u w:val="none" w:color="auto"/>
                <w:lang w:val="en-US" w:eastAsia="zh-CN" w:bidi="ar-SA"/>
              </w:rPr>
              <w:t>Potamogeton malaianus</w:t>
            </w:r>
          </w:p>
        </w:tc>
      </w:tr>
    </w:tbl>
    <w:p w14:paraId="6226966E">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鱼类</w:t>
      </w:r>
    </w:p>
    <w:p w14:paraId="00A51B6F">
      <w:pPr>
        <w:spacing w:line="360" w:lineRule="auto"/>
        <w:ind w:firstLine="480" w:firstLineChars="200"/>
        <w:rPr>
          <w:rFonts w:hint="default" w:ascii="Times New Roman" w:hAnsi="Times New Roman" w:eastAsia="宋体" w:cs="Times New Roman"/>
          <w:b w:val="0"/>
          <w:bCs/>
          <w:caps w:val="0"/>
          <w:smallCaps w:val="0"/>
          <w:sz w:val="24"/>
          <w:szCs w:val="24"/>
          <w:lang w:eastAsia="zh-CN"/>
        </w:rPr>
      </w:pPr>
      <w:r>
        <w:rPr>
          <w:rFonts w:hint="default" w:ascii="Times New Roman" w:hAnsi="Times New Roman" w:eastAsia="宋体" w:cs="Times New Roman"/>
          <w:b w:val="0"/>
          <w:bCs/>
          <w:caps w:val="0"/>
          <w:smallCaps w:val="0"/>
          <w:sz w:val="24"/>
          <w:szCs w:val="24"/>
          <w:lang w:val="zh-CN" w:eastAsia="zh-CN"/>
        </w:rPr>
        <w:t>主要通过调查访问和评价区附近的相关文献，并结合实地调查中观察到的评价区的生境状况，对评价区内的</w:t>
      </w:r>
      <w:r>
        <w:rPr>
          <w:rFonts w:hint="default" w:ascii="Times New Roman" w:hAnsi="Times New Roman" w:eastAsia="宋体" w:cs="Times New Roman"/>
          <w:b w:val="0"/>
          <w:bCs/>
          <w:caps w:val="0"/>
          <w:smallCaps w:val="0"/>
          <w:sz w:val="24"/>
          <w:szCs w:val="24"/>
          <w:lang w:val="en-US" w:eastAsia="zh-CN"/>
        </w:rPr>
        <w:t>鱼</w:t>
      </w:r>
      <w:r>
        <w:rPr>
          <w:rFonts w:hint="default" w:ascii="Times New Roman" w:hAnsi="Times New Roman" w:eastAsia="宋体" w:cs="Times New Roman"/>
          <w:b w:val="0"/>
          <w:bCs/>
          <w:caps w:val="0"/>
          <w:smallCaps w:val="0"/>
          <w:sz w:val="24"/>
          <w:szCs w:val="24"/>
          <w:lang w:val="zh-CN" w:eastAsia="zh-CN"/>
        </w:rPr>
        <w:t>类种类、数量及分布现状进行了全面调查，得出如下结论：</w:t>
      </w:r>
    </w:p>
    <w:p w14:paraId="44DF5063">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物种组成</w:t>
      </w:r>
    </w:p>
    <w:p w14:paraId="023C79B2">
      <w:pPr>
        <w:spacing w:line="360" w:lineRule="auto"/>
        <w:ind w:firstLine="480" w:firstLineChars="200"/>
        <w:jc w:val="left"/>
        <w:rPr>
          <w:rFonts w:hint="default" w:ascii="Times New Roman" w:hAnsi="Times New Roman" w:eastAsia="宋体" w:cs="Times New Roman"/>
          <w:caps w:val="0"/>
          <w:smallCaps w:val="0"/>
          <w:sz w:val="24"/>
          <w:szCs w:val="24"/>
        </w:rPr>
      </w:pPr>
      <w:r>
        <w:rPr>
          <w:rFonts w:hint="default" w:ascii="Times New Roman" w:hAnsi="Times New Roman" w:eastAsia="宋体" w:cs="Times New Roman"/>
          <w:caps w:val="0"/>
          <w:smallCaps w:val="0"/>
          <w:sz w:val="24"/>
          <w:szCs w:val="24"/>
        </w:rPr>
        <w:t>根据本次调查结果及查阅历史文献资料，评价范围鱼类主要有17种，分属6目12科，大多为人工放养的经济鱼类。调查河段鱼类组成较为普遍，种类主要有青鱼、草鱼、鲢鱼</w:t>
      </w:r>
      <w:r>
        <w:rPr>
          <w:rFonts w:hint="default" w:ascii="Times New Roman" w:hAnsi="Times New Roman" w:eastAsia="宋体" w:cs="Times New Roman"/>
          <w:caps w:val="0"/>
          <w:smallCaps w:val="0"/>
          <w:sz w:val="24"/>
          <w:szCs w:val="24"/>
          <w:lang w:eastAsia="zh-CN"/>
        </w:rPr>
        <w:t>、</w:t>
      </w:r>
      <w:r>
        <w:rPr>
          <w:rFonts w:hint="default" w:ascii="Times New Roman" w:hAnsi="Times New Roman" w:eastAsia="宋体" w:cs="Times New Roman"/>
          <w:caps w:val="0"/>
          <w:smallCaps w:val="0"/>
          <w:sz w:val="24"/>
          <w:szCs w:val="24"/>
        </w:rPr>
        <w:t>鳙鱼，还有少量的鲫鱼、鳊鱼、</w:t>
      </w:r>
      <w:r>
        <w:rPr>
          <w:rFonts w:hint="default" w:ascii="Times New Roman" w:hAnsi="Times New Roman" w:eastAsia="宋体" w:cs="Times New Roman"/>
          <w:caps w:val="0"/>
          <w:smallCaps w:val="0"/>
          <w:sz w:val="24"/>
          <w:szCs w:val="24"/>
          <w:lang w:val="en-US" w:eastAsia="zh-CN"/>
        </w:rPr>
        <w:t>鲤鱼、乌鳢、</w:t>
      </w:r>
      <w:r>
        <w:rPr>
          <w:rFonts w:hint="default" w:ascii="Times New Roman" w:hAnsi="Times New Roman" w:eastAsia="宋体" w:cs="Times New Roman"/>
          <w:color w:val="000000"/>
          <w:kern w:val="0"/>
          <w:sz w:val="24"/>
          <w:szCs w:val="24"/>
          <w:u w:val="none"/>
          <w:lang w:val="en-US" w:eastAsia="zh-CN" w:bidi="ar"/>
        </w:rPr>
        <w:t>鲇类、泥鳅</w:t>
      </w:r>
      <w:r>
        <w:rPr>
          <w:rFonts w:hint="default" w:ascii="Times New Roman" w:hAnsi="Times New Roman" w:eastAsia="宋体" w:cs="Times New Roman"/>
          <w:caps w:val="0"/>
          <w:smallCaps w:val="0"/>
          <w:sz w:val="24"/>
          <w:szCs w:val="24"/>
          <w:lang w:val="en-US" w:eastAsia="zh-CN"/>
        </w:rPr>
        <w:t>等</w:t>
      </w:r>
      <w:r>
        <w:rPr>
          <w:rFonts w:hint="default" w:ascii="Times New Roman" w:hAnsi="Times New Roman" w:eastAsia="宋体" w:cs="Times New Roman"/>
          <w:caps w:val="0"/>
          <w:smallCaps w:val="0"/>
          <w:sz w:val="24"/>
          <w:szCs w:val="24"/>
        </w:rPr>
        <w:t>。</w:t>
      </w:r>
    </w:p>
    <w:p w14:paraId="1BA11823">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生态特点</w:t>
      </w:r>
    </w:p>
    <w:p w14:paraId="19311924">
      <w:pPr>
        <w:spacing w:line="360" w:lineRule="auto"/>
        <w:ind w:firstLine="480" w:firstLineChars="200"/>
        <w:jc w:val="left"/>
        <w:rPr>
          <w:rFonts w:hint="default" w:ascii="Times New Roman" w:hAnsi="Times New Roman" w:eastAsia="宋体" w:cs="Times New Roman"/>
          <w:caps w:val="0"/>
          <w:smallCaps w:val="0"/>
          <w:sz w:val="24"/>
          <w:szCs w:val="24"/>
        </w:rPr>
      </w:pPr>
      <w:r>
        <w:rPr>
          <w:rFonts w:hint="default" w:ascii="Times New Roman" w:hAnsi="Times New Roman" w:eastAsia="宋体" w:cs="Times New Roman"/>
          <w:caps w:val="0"/>
          <w:smallCaps w:val="0"/>
          <w:sz w:val="24"/>
          <w:szCs w:val="24"/>
          <w:lang w:val="en-US" w:eastAsia="zh-CN"/>
        </w:rPr>
        <w:t>1）按食性分为：</w:t>
      </w:r>
    </w:p>
    <w:p w14:paraId="58E3C149">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1"/>
          <w:u w:val="none"/>
        </w:rPr>
      </w:pPr>
      <w:r>
        <w:rPr>
          <w:rFonts w:hint="default" w:ascii="Times New Roman" w:hAnsi="Times New Roman" w:eastAsia="宋体" w:cs="Times New Roman"/>
          <w:color w:val="000000"/>
          <w:kern w:val="0"/>
          <w:sz w:val="24"/>
          <w:szCs w:val="24"/>
          <w:u w:val="none"/>
          <w:lang w:val="en-US" w:eastAsia="zh-CN" w:bidi="ar"/>
        </w:rPr>
        <w:t>①肉食性鱼类，如青鱼、鲇、南方鲇等。</w:t>
      </w:r>
    </w:p>
    <w:p w14:paraId="3B11B517">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1"/>
          <w:u w:val="none"/>
        </w:rPr>
      </w:pPr>
      <w:r>
        <w:rPr>
          <w:rFonts w:hint="default" w:ascii="Times New Roman" w:hAnsi="Times New Roman" w:eastAsia="宋体" w:cs="Times New Roman"/>
          <w:color w:val="000000"/>
          <w:kern w:val="0"/>
          <w:sz w:val="24"/>
          <w:szCs w:val="24"/>
          <w:u w:val="none"/>
          <w:lang w:val="en-US" w:eastAsia="zh-CN" w:bidi="ar"/>
        </w:rPr>
        <w:t>②杂食性鱼类，如鲤、鲫等。</w:t>
      </w:r>
    </w:p>
    <w:p w14:paraId="002525A4">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1"/>
          <w:u w:val="none"/>
        </w:rPr>
      </w:pPr>
      <w:r>
        <w:rPr>
          <w:rFonts w:hint="default" w:ascii="Times New Roman" w:hAnsi="Times New Roman" w:eastAsia="宋体" w:cs="Times New Roman"/>
          <w:color w:val="000000"/>
          <w:kern w:val="0"/>
          <w:sz w:val="24"/>
          <w:szCs w:val="24"/>
          <w:u w:val="none"/>
          <w:lang w:val="en-US" w:eastAsia="zh-CN" w:bidi="ar"/>
        </w:rPr>
        <w:t>③植食性鱼类，如草鱼、鲢等。</w:t>
      </w:r>
    </w:p>
    <w:p w14:paraId="62AB32E6">
      <w:pPr>
        <w:spacing w:line="360" w:lineRule="auto"/>
        <w:ind w:firstLine="480" w:firstLineChars="200"/>
        <w:jc w:val="left"/>
        <w:rPr>
          <w:rFonts w:hint="default" w:ascii="Times New Roman" w:hAnsi="Times New Roman" w:eastAsia="宋体" w:cs="Times New Roman"/>
          <w:caps w:val="0"/>
          <w:smallCaps w:val="0"/>
          <w:sz w:val="24"/>
          <w:szCs w:val="24"/>
          <w:lang w:val="en-US" w:eastAsia="zh-CN"/>
        </w:rPr>
      </w:pPr>
      <w:r>
        <w:rPr>
          <w:rFonts w:hint="default" w:ascii="Times New Roman" w:hAnsi="Times New Roman" w:eastAsia="宋体" w:cs="Times New Roman"/>
          <w:caps w:val="0"/>
          <w:smallCaps w:val="0"/>
          <w:sz w:val="24"/>
          <w:szCs w:val="24"/>
          <w:lang w:val="en-US" w:eastAsia="zh-CN"/>
        </w:rPr>
        <w:t>2）按产卵类型分：</w:t>
      </w:r>
    </w:p>
    <w:p w14:paraId="6BE08E34">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1"/>
          <w:u w:val="none"/>
        </w:rPr>
      </w:pPr>
      <w:r>
        <w:rPr>
          <w:rFonts w:hint="default" w:ascii="Times New Roman" w:hAnsi="Times New Roman" w:eastAsia="宋体" w:cs="Times New Roman"/>
          <w:color w:val="000000"/>
          <w:kern w:val="0"/>
          <w:sz w:val="24"/>
          <w:szCs w:val="24"/>
          <w:u w:val="none"/>
          <w:lang w:val="en-US" w:eastAsia="zh-CN" w:bidi="ar"/>
        </w:rPr>
        <w:t>①产漂流性卵鱼类：如青鱼、草鱼、鲢、鳙、鳊等，产漂流性卵鱼类的繁殖，需要有明显的洪水过程，在江河中上游产卵，受精卵顺水漂流孵化，到湖泊中育肥。</w:t>
      </w:r>
    </w:p>
    <w:p w14:paraId="373EE3BD">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1"/>
          <w:u w:val="none"/>
        </w:rPr>
      </w:pPr>
      <w:r>
        <w:rPr>
          <w:rFonts w:hint="default" w:ascii="Times New Roman" w:hAnsi="Times New Roman" w:eastAsia="宋体" w:cs="Times New Roman"/>
          <w:color w:val="000000"/>
          <w:kern w:val="0"/>
          <w:sz w:val="24"/>
          <w:szCs w:val="24"/>
          <w:u w:val="none"/>
          <w:lang w:val="en-US" w:eastAsia="zh-CN" w:bidi="ar"/>
        </w:rPr>
        <w:t>②产浮性卵鱼类：卵膜无粘性，比重小于水，多具油球，漂浮于水面或水中孵化，一般产于静水中，如乌鳢等。</w:t>
      </w:r>
    </w:p>
    <w:p w14:paraId="6F7834C8">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1"/>
          <w:u w:val="none"/>
        </w:rPr>
      </w:pPr>
      <w:r>
        <w:rPr>
          <w:rFonts w:hint="default" w:ascii="Times New Roman" w:hAnsi="Times New Roman" w:eastAsia="宋体" w:cs="Times New Roman"/>
          <w:color w:val="000000"/>
          <w:kern w:val="0"/>
          <w:sz w:val="24"/>
          <w:szCs w:val="24"/>
          <w:u w:val="none"/>
          <w:lang w:val="en-US" w:eastAsia="zh-CN" w:bidi="ar"/>
        </w:rPr>
        <w:t>③产黏性卵鱼类：如鲤亚科、鲇形目鱼类，卵一经产出即分散在水草茎、叶上发育。</w:t>
      </w:r>
    </w:p>
    <w:p w14:paraId="09B3258B">
      <w:pPr>
        <w:spacing w:line="440" w:lineRule="exact"/>
        <w:ind w:firstLine="480" w:firstLineChars="200"/>
        <w:jc w:val="both"/>
        <w:rPr>
          <w:rFonts w:hint="default" w:ascii="Times New Roman" w:hAnsi="Times New Roman" w:eastAsia="宋体" w:cs="Times New Roman"/>
          <w:caps w:val="0"/>
          <w:smallCaps w:val="0"/>
          <w:sz w:val="24"/>
          <w:szCs w:val="21"/>
        </w:rPr>
      </w:pPr>
      <w:r>
        <w:rPr>
          <w:rFonts w:hint="default" w:ascii="Times New Roman" w:hAnsi="Times New Roman" w:eastAsia="宋体" w:cs="Times New Roman"/>
          <w:color w:val="000000"/>
          <w:kern w:val="0"/>
          <w:sz w:val="24"/>
          <w:szCs w:val="24"/>
          <w:u w:val="none"/>
          <w:lang w:val="en-US" w:eastAsia="zh-CN" w:bidi="ar"/>
        </w:rPr>
        <w:t>③产沉粘性卵鱼类：如鳅科鱼类，将卵产在水底的岩石、石砾或沙砾上发育。</w:t>
      </w:r>
    </w:p>
    <w:p w14:paraId="15BF934D">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生境调查</w:t>
      </w:r>
    </w:p>
    <w:p w14:paraId="79958002">
      <w:pPr>
        <w:keepNext w:val="0"/>
        <w:keepLines w:val="0"/>
        <w:widowControl/>
        <w:suppressLineNumbers w:val="0"/>
        <w:spacing w:line="360" w:lineRule="auto"/>
        <w:ind w:firstLine="480" w:firstLineChars="200"/>
        <w:jc w:val="left"/>
        <w:rPr>
          <w:rFonts w:hint="default" w:ascii="Times New Roman" w:hAnsi="Times New Roman" w:eastAsia="宋体" w:cs="Times New Roman"/>
          <w:sz w:val="24"/>
          <w:szCs w:val="21"/>
          <w:u w:val="none"/>
        </w:rPr>
      </w:pPr>
      <w:r>
        <w:rPr>
          <w:rFonts w:hint="default" w:ascii="Times New Roman" w:hAnsi="Times New Roman" w:eastAsia="宋体" w:cs="Times New Roman"/>
          <w:color w:val="000000"/>
          <w:kern w:val="0"/>
          <w:sz w:val="24"/>
          <w:szCs w:val="24"/>
          <w:u w:val="none"/>
          <w:lang w:val="en-US" w:eastAsia="zh-CN" w:bidi="ar"/>
        </w:rPr>
        <w:t>调查区</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无产漂浮性卵鱼类</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无大型不漂浮性卵鱼类的产卵场</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eastAsia="zh-CN"/>
        </w:rPr>
        <w:t>。</w:t>
      </w:r>
      <w:r>
        <w:rPr>
          <w:rFonts w:hint="default" w:ascii="Times New Roman" w:hAnsi="Times New Roman" w:eastAsia="宋体" w:cs="Times New Roman"/>
          <w:color w:val="000000"/>
          <w:kern w:val="0"/>
          <w:sz w:val="24"/>
          <w:szCs w:val="24"/>
          <w:u w:val="none"/>
          <w:lang w:val="en-US" w:eastAsia="zh-CN" w:bidi="ar"/>
        </w:rPr>
        <w:t>部分鱼类产粘草基质卵，繁殖期在3～4月份，主要有鲤、鲫等。这些鱼类繁殖需要砾石、沙石底质和水草环境，鱼类产卵后，受精卵或入砾石缝中，或粘附沙砾上，或埋藏于沙砾中，或粘附于水生高等植物体上，在河水良好的溶氧环境中顺利孵化。评价区河流岸边以砂石为主，水生维管束植物并不丰富。该类型产卵场在评价区水生维管束植物丰富的区域广泛零散分布，没有成规模分布的区域。</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库区水较深的地方</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均能为鱼类提供越冬场所</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但评价</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区</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没有大型集中鱼类越冬场。</w:t>
      </w:r>
    </w:p>
    <w:p w14:paraId="39469059">
      <w:pPr>
        <w:spacing w:line="360" w:lineRule="auto"/>
        <w:ind w:firstLine="480" w:firstLineChars="200"/>
        <w:rPr>
          <w:rFonts w:hint="default" w:ascii="Times New Roman" w:hAnsi="Times New Roman" w:eastAsia="宋体" w:cs="Times New Roman"/>
          <w:sz w:val="24"/>
          <w:szCs w:val="21"/>
          <w:lang w:val="en-US" w:eastAsia="zh-CN"/>
        </w:rPr>
      </w:pPr>
      <w:r>
        <w:rPr>
          <w:rFonts w:hint="default" w:ascii="Times New Roman" w:hAnsi="Times New Roman" w:eastAsia="宋体" w:cs="Times New Roman"/>
          <w:sz w:val="24"/>
          <w:szCs w:val="21"/>
          <w:lang w:val="en-US" w:eastAsia="zh-CN"/>
        </w:rPr>
        <w:t>鳢属、鲇科鱼类等以鱼类为食鱼类的索饵场，随其生活习性及摄食鱼群的分布而分布。鲤、鲫等杂食性鱼类索饵场的环境基本特征是水生植物丰富，缓流或静水，水深0~0.5cm，其间有砾石、礁石，这些区域易于躲避敌害，同时，这些地方小型饵料丰富，敌害生物少，有利于幼鱼的存活。</w:t>
      </w:r>
    </w:p>
    <w:p w14:paraId="35557CAC">
      <w:pPr>
        <w:pStyle w:val="4"/>
        <w:bidi w:val="0"/>
        <w:rPr>
          <w:rFonts w:hint="default" w:ascii="Times New Roman" w:hAnsi="Times New Roman" w:cs="Times New Roman"/>
          <w:lang w:val="en-US" w:eastAsia="zh-CN"/>
        </w:rPr>
      </w:pPr>
      <w:bookmarkStart w:id="255" w:name="_Toc24355"/>
      <w:bookmarkStart w:id="256" w:name="_Toc22612"/>
      <w:r>
        <w:rPr>
          <w:rFonts w:hint="default" w:ascii="Times New Roman" w:hAnsi="Times New Roman" w:cs="Times New Roman"/>
          <w:lang w:val="en-US" w:eastAsia="zh-CN"/>
        </w:rPr>
        <w:t>生物多样性</w:t>
      </w:r>
      <w:bookmarkEnd w:id="250"/>
      <w:bookmarkEnd w:id="255"/>
      <w:bookmarkEnd w:id="256"/>
    </w:p>
    <w:p w14:paraId="2AA76D02">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评价方法</w:t>
      </w:r>
    </w:p>
    <w:p w14:paraId="693EA2A1">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eastAsia="zh-CN"/>
        </w:rPr>
        <w:t>根据《湖南省生物多样性调查和评价研究报告》（长沙环境保护职业技术学院，</w:t>
      </w:r>
      <w:r>
        <w:rPr>
          <w:rFonts w:hint="default" w:ascii="Times New Roman" w:hAnsi="Times New Roman" w:eastAsia="宋体" w:cs="Times New Roman"/>
          <w:caps w:val="0"/>
          <w:smallCaps w:val="0"/>
          <w:sz w:val="24"/>
          <w:szCs w:val="21"/>
          <w:lang w:val="en-US" w:eastAsia="zh-CN"/>
        </w:rPr>
        <w:t>2010年1月</w:t>
      </w:r>
      <w:r>
        <w:rPr>
          <w:rFonts w:hint="default" w:ascii="Times New Roman" w:hAnsi="Times New Roman" w:eastAsia="宋体" w:cs="Times New Roman"/>
          <w:caps w:val="0"/>
          <w:smallCaps w:val="0"/>
          <w:sz w:val="24"/>
          <w:szCs w:val="21"/>
          <w:lang w:eastAsia="zh-CN"/>
        </w:rPr>
        <w:t>），将湖南省划分为</w:t>
      </w:r>
      <w:r>
        <w:rPr>
          <w:rFonts w:hint="default" w:ascii="Times New Roman" w:hAnsi="Times New Roman" w:eastAsia="宋体" w:cs="Times New Roman"/>
          <w:caps w:val="0"/>
          <w:smallCaps w:val="0"/>
          <w:sz w:val="24"/>
          <w:szCs w:val="21"/>
          <w:lang w:val="en-US" w:eastAsia="zh-CN"/>
        </w:rPr>
        <w:t>125个评价单元，确定7个评价指标，即野生高等动物丰富度、野生维管束植物丰富度、生态系统类型多样性、植被垂直层谱完整性、物种特有性和外来物种入侵度、物种受威胁程度，计算得到生物多样性指数</w:t>
      </w:r>
      <w:r>
        <w:rPr>
          <w:rFonts w:hint="default" w:ascii="Times New Roman" w:hAnsi="Times New Roman" w:eastAsia="宋体" w:cs="Times New Roman"/>
          <w:caps w:val="0"/>
          <w:smallCaps w:val="0"/>
          <w:sz w:val="24"/>
          <w:szCs w:val="21"/>
          <w:lang w:eastAsia="zh-CN"/>
        </w:rPr>
        <w:t>(BI)</w:t>
      </w:r>
      <w:r>
        <w:rPr>
          <w:rFonts w:hint="default" w:ascii="Times New Roman" w:hAnsi="Times New Roman" w:eastAsia="宋体" w:cs="Times New Roman"/>
          <w:caps w:val="0"/>
          <w:smallCaps w:val="0"/>
          <w:sz w:val="24"/>
          <w:szCs w:val="21"/>
          <w:lang w:val="en-US" w:eastAsia="zh-CN"/>
        </w:rPr>
        <w:t>。</w:t>
      </w:r>
    </w:p>
    <w:p w14:paraId="16A57A7C">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生物多样性指数</w:t>
      </w:r>
      <w:r>
        <w:rPr>
          <w:rFonts w:hint="default" w:ascii="Times New Roman" w:hAnsi="Times New Roman" w:eastAsia="宋体" w:cs="Times New Roman"/>
          <w:caps w:val="0"/>
          <w:smallCaps w:val="0"/>
          <w:sz w:val="24"/>
          <w:szCs w:val="21"/>
          <w:lang w:eastAsia="zh-CN"/>
        </w:rPr>
        <w:t>(BI)</w:t>
      </w:r>
      <w:r>
        <w:rPr>
          <w:rFonts w:hint="default" w:ascii="Times New Roman" w:hAnsi="Times New Roman" w:eastAsia="宋体" w:cs="Times New Roman"/>
          <w:caps w:val="0"/>
          <w:smallCaps w:val="0"/>
          <w:sz w:val="24"/>
          <w:szCs w:val="21"/>
          <w:lang w:val="en-US" w:eastAsia="zh-CN"/>
        </w:rPr>
        <w:t>是野生维管束植物丰富度、野生高等动物丰富度、生态系统类型多样性、植被垂直层谱的完整性、物种特有性、外来物种入侵度、物种受威胁程度7个评价指标的加权求和。其中，外来物种入侵度、物种受威胁程度为成本型指标，即指标的属性值越小越好，故对其作适当转换。</w:t>
      </w:r>
    </w:p>
    <w:p w14:paraId="6070AE98">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BI=归一化后的野生高等动物丰富度×0.2+归一化后的野生维管東植物丰富度×0.2+归一化后的生态系统类型多样性×0.20+归化后的植被垂直层谱的完整性×0.05+归化后的物种特有性×0.15+(100-归一化后的外来物种入侵度)×0.10+(100-归一化后的物种受威胁程度)×0.10</w:t>
      </w:r>
    </w:p>
    <w:p w14:paraId="48962D8E">
      <w:pPr>
        <w:spacing w:line="360" w:lineRule="auto"/>
        <w:ind w:firstLine="480" w:firstLineChars="200"/>
        <w:rPr>
          <w:rFonts w:hint="default" w:ascii="Times New Roman" w:hAnsi="Times New Roman" w:eastAsia="宋体" w:cs="Times New Roman"/>
          <w:caps w:val="0"/>
          <w:smallCaps w:val="0"/>
          <w:sz w:val="24"/>
          <w:szCs w:val="21"/>
          <w:lang w:eastAsia="zh-CN"/>
        </w:rPr>
      </w:pPr>
      <w:r>
        <w:rPr>
          <w:rFonts w:hint="default" w:ascii="Times New Roman" w:hAnsi="Times New Roman" w:eastAsia="宋体" w:cs="Times New Roman"/>
          <w:caps w:val="0"/>
          <w:smallCaps w:val="0"/>
          <w:sz w:val="24"/>
          <w:szCs w:val="21"/>
          <w:lang w:eastAsia="zh-CN"/>
        </w:rPr>
        <w:t>根据生物多样性指数(BI)，将生物多样性状况分为四级，即：高、中、一般和低，见下表。</w:t>
      </w:r>
    </w:p>
    <w:p w14:paraId="13D82FD6">
      <w:pPr>
        <w:pStyle w:val="6"/>
        <w:keepNext w:val="0"/>
        <w:keepLines w:val="0"/>
        <w:pageBreakBefore w:val="0"/>
        <w:widowControl w:val="0"/>
        <w:kinsoku w:val="0"/>
        <w:wordWrap w:val="0"/>
        <w:overflowPunct/>
        <w:topLinePunct/>
        <w:autoSpaceDE/>
        <w:autoSpaceDN/>
        <w:bidi w:val="0"/>
        <w:adjustRightInd/>
        <w:snapToGrid/>
        <w:spacing w:before="0" w:beforeLines="50" w:line="360" w:lineRule="auto"/>
        <w:ind w:left="0" w:leftChars="0" w:firstLine="0" w:firstLineChars="0"/>
        <w:jc w:val="center"/>
        <w:textAlignment w:val="auto"/>
        <w:rPr>
          <w:rFonts w:hint="default" w:ascii="Times New Roman" w:hAnsi="Times New Roman" w:eastAsia="宋体" w:cs="Times New Roman"/>
          <w:b/>
          <w:caps w:val="0"/>
          <w:smallCaps w:val="0"/>
          <w:color w:val="auto"/>
          <w:spacing w:val="0"/>
          <w:w w:val="100"/>
          <w:position w:val="0"/>
          <w:sz w:val="21"/>
          <w:szCs w:val="21"/>
          <w:u w:val="none" w:color="auto"/>
          <w:lang w:val="en-US" w:eastAsia="zh-CN"/>
        </w:rPr>
      </w:pP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表3.3-12 生物多样性状况分级表</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11"/>
        <w:gridCol w:w="1619"/>
        <w:gridCol w:w="5490"/>
      </w:tblGrid>
      <w:tr w14:paraId="2B9489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2" w:type="dxa"/>
            <w:tcBorders>
              <w:tl2br w:val="nil"/>
              <w:tr2bl w:val="nil"/>
            </w:tcBorders>
            <w:vAlign w:val="center"/>
          </w:tcPr>
          <w:p w14:paraId="075B14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aps w:val="0"/>
                <w:smallCaps w:val="0"/>
                <w:sz w:val="21"/>
                <w:szCs w:val="21"/>
                <w:u w:val="none"/>
                <w:vertAlign w:val="baseline"/>
                <w:lang w:val="en-US" w:eastAsia="zh-CN"/>
              </w:rPr>
            </w:pPr>
            <w:r>
              <w:rPr>
                <w:rFonts w:hint="default" w:ascii="Times New Roman" w:hAnsi="Times New Roman" w:eastAsia="宋体" w:cs="Times New Roman"/>
                <w:b/>
                <w:bCs w:val="0"/>
                <w:caps w:val="0"/>
                <w:smallCaps w:val="0"/>
                <w:sz w:val="21"/>
                <w:szCs w:val="21"/>
                <w:u w:val="none"/>
                <w:vertAlign w:val="baseline"/>
                <w:lang w:val="en-US" w:eastAsia="zh-CN"/>
              </w:rPr>
              <w:t>多样性等级</w:t>
            </w:r>
          </w:p>
        </w:tc>
        <w:tc>
          <w:tcPr>
            <w:tcW w:w="1620" w:type="dxa"/>
            <w:tcBorders>
              <w:tl2br w:val="nil"/>
              <w:tr2bl w:val="nil"/>
            </w:tcBorders>
            <w:vAlign w:val="center"/>
          </w:tcPr>
          <w:p w14:paraId="25C334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aps w:val="0"/>
                <w:smallCaps w:val="0"/>
                <w:sz w:val="21"/>
                <w:szCs w:val="21"/>
                <w:u w:val="none"/>
                <w:vertAlign w:val="baseline"/>
                <w:lang w:val="en-US" w:eastAsia="zh-CN"/>
              </w:rPr>
            </w:pPr>
            <w:r>
              <w:rPr>
                <w:rFonts w:hint="default" w:ascii="Times New Roman" w:hAnsi="Times New Roman" w:eastAsia="宋体" w:cs="Times New Roman"/>
                <w:b/>
                <w:bCs w:val="0"/>
                <w:caps w:val="0"/>
                <w:smallCaps w:val="0"/>
                <w:sz w:val="21"/>
                <w:szCs w:val="21"/>
                <w:u w:val="none"/>
                <w:vertAlign w:val="baseline"/>
                <w:lang w:val="en-US" w:eastAsia="zh-CN"/>
              </w:rPr>
              <w:t>多样性指数</w:t>
            </w:r>
          </w:p>
        </w:tc>
        <w:tc>
          <w:tcPr>
            <w:tcW w:w="5492" w:type="dxa"/>
            <w:tcBorders>
              <w:tl2br w:val="nil"/>
              <w:tr2bl w:val="nil"/>
            </w:tcBorders>
            <w:vAlign w:val="center"/>
          </w:tcPr>
          <w:p w14:paraId="6CD1F9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aps w:val="0"/>
                <w:smallCaps w:val="0"/>
                <w:sz w:val="21"/>
                <w:szCs w:val="21"/>
                <w:u w:val="none"/>
                <w:vertAlign w:val="baseline"/>
                <w:lang w:val="en-US" w:eastAsia="zh-CN"/>
              </w:rPr>
            </w:pPr>
            <w:r>
              <w:rPr>
                <w:rFonts w:hint="default" w:ascii="Times New Roman" w:hAnsi="Times New Roman" w:eastAsia="宋体" w:cs="Times New Roman"/>
                <w:b/>
                <w:bCs w:val="0"/>
                <w:caps w:val="0"/>
                <w:smallCaps w:val="0"/>
                <w:sz w:val="21"/>
                <w:szCs w:val="21"/>
                <w:u w:val="none"/>
                <w:vertAlign w:val="baseline"/>
                <w:lang w:val="en-US" w:eastAsia="zh-CN"/>
              </w:rPr>
              <w:t>多样性状况</w:t>
            </w:r>
          </w:p>
        </w:tc>
      </w:tr>
      <w:tr w14:paraId="11EFEE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2" w:type="dxa"/>
            <w:tcBorders>
              <w:tl2br w:val="nil"/>
              <w:tr2bl w:val="nil"/>
            </w:tcBorders>
            <w:vAlign w:val="center"/>
          </w:tcPr>
          <w:p w14:paraId="3A3E70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高</w:t>
            </w:r>
          </w:p>
        </w:tc>
        <w:tc>
          <w:tcPr>
            <w:tcW w:w="1620" w:type="dxa"/>
            <w:tcBorders>
              <w:tl2br w:val="nil"/>
              <w:tr2bl w:val="nil"/>
            </w:tcBorders>
            <w:vAlign w:val="center"/>
          </w:tcPr>
          <w:p w14:paraId="540556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BI≥65</w:t>
            </w:r>
          </w:p>
        </w:tc>
        <w:tc>
          <w:tcPr>
            <w:tcW w:w="5492" w:type="dxa"/>
            <w:tcBorders>
              <w:tl2br w:val="nil"/>
              <w:tr2bl w:val="nil"/>
            </w:tcBorders>
            <w:vAlign w:val="center"/>
          </w:tcPr>
          <w:p w14:paraId="004A7A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物种高度丰富，特有属、种繁多，生态系统丰富多样</w:t>
            </w:r>
          </w:p>
        </w:tc>
      </w:tr>
      <w:tr w14:paraId="4D6983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2" w:type="dxa"/>
            <w:tcBorders>
              <w:tl2br w:val="nil"/>
              <w:tr2bl w:val="nil"/>
            </w:tcBorders>
            <w:vAlign w:val="center"/>
          </w:tcPr>
          <w:p w14:paraId="5604C4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中</w:t>
            </w:r>
          </w:p>
        </w:tc>
        <w:tc>
          <w:tcPr>
            <w:tcW w:w="1620" w:type="dxa"/>
            <w:tcBorders>
              <w:tl2br w:val="nil"/>
              <w:tr2bl w:val="nil"/>
            </w:tcBorders>
            <w:vAlign w:val="center"/>
          </w:tcPr>
          <w:p w14:paraId="59D15B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40≤BI＜65</w:t>
            </w:r>
          </w:p>
        </w:tc>
        <w:tc>
          <w:tcPr>
            <w:tcW w:w="5492" w:type="dxa"/>
            <w:tcBorders>
              <w:tl2br w:val="nil"/>
              <w:tr2bl w:val="nil"/>
            </w:tcBorders>
            <w:vAlign w:val="center"/>
          </w:tcPr>
          <w:p w14:paraId="3963D5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物种较丰富，特有属、种较多，生态系统类型较多，局部地区生物多样性高度丰富</w:t>
            </w:r>
          </w:p>
        </w:tc>
      </w:tr>
      <w:tr w14:paraId="6EBA7D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2" w:type="dxa"/>
            <w:tcBorders>
              <w:tl2br w:val="nil"/>
              <w:tr2bl w:val="nil"/>
            </w:tcBorders>
            <w:vAlign w:val="center"/>
          </w:tcPr>
          <w:p w14:paraId="5912F2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一般</w:t>
            </w:r>
          </w:p>
        </w:tc>
        <w:tc>
          <w:tcPr>
            <w:tcW w:w="1620" w:type="dxa"/>
            <w:tcBorders>
              <w:tl2br w:val="nil"/>
              <w:tr2bl w:val="nil"/>
            </w:tcBorders>
            <w:vAlign w:val="center"/>
          </w:tcPr>
          <w:p w14:paraId="5DE82F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30≤BI＜40</w:t>
            </w:r>
          </w:p>
        </w:tc>
        <w:tc>
          <w:tcPr>
            <w:tcW w:w="5492" w:type="dxa"/>
            <w:tcBorders>
              <w:tl2br w:val="nil"/>
              <w:tr2bl w:val="nil"/>
            </w:tcBorders>
            <w:vAlign w:val="center"/>
          </w:tcPr>
          <w:p w14:paraId="6ACA84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物种较少，特有属、种不多，局部地区生物多样性较丰富，但生物多样性总体水平一般</w:t>
            </w:r>
          </w:p>
        </w:tc>
      </w:tr>
      <w:tr w14:paraId="007895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2" w:type="dxa"/>
            <w:tcBorders>
              <w:tl2br w:val="nil"/>
              <w:tr2bl w:val="nil"/>
            </w:tcBorders>
            <w:vAlign w:val="center"/>
          </w:tcPr>
          <w:p w14:paraId="20C8CE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低</w:t>
            </w:r>
          </w:p>
        </w:tc>
        <w:tc>
          <w:tcPr>
            <w:tcW w:w="1620" w:type="dxa"/>
            <w:tcBorders>
              <w:tl2br w:val="nil"/>
              <w:tr2bl w:val="nil"/>
            </w:tcBorders>
            <w:vAlign w:val="center"/>
          </w:tcPr>
          <w:p w14:paraId="04349E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BI＜30</w:t>
            </w:r>
          </w:p>
        </w:tc>
        <w:tc>
          <w:tcPr>
            <w:tcW w:w="5492" w:type="dxa"/>
            <w:tcBorders>
              <w:tl2br w:val="nil"/>
              <w:tr2bl w:val="nil"/>
            </w:tcBorders>
            <w:vAlign w:val="center"/>
          </w:tcPr>
          <w:p w14:paraId="4A176E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物种贫乏，生态系统类型单一、脆弱，生物多样性极低</w:t>
            </w:r>
          </w:p>
        </w:tc>
      </w:tr>
    </w:tbl>
    <w:p w14:paraId="2F63C0FE">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评价结果</w:t>
      </w:r>
    </w:p>
    <w:p w14:paraId="5AF3BF35">
      <w:pPr>
        <w:spacing w:line="360" w:lineRule="auto"/>
        <w:ind w:firstLine="480" w:firstLineChars="200"/>
        <w:rPr>
          <w:rFonts w:hint="default" w:ascii="Times New Roman" w:hAnsi="Times New Roman" w:eastAsia="宋体" w:cs="Times New Roman"/>
          <w:caps w:val="0"/>
          <w:smallCaps w:val="0"/>
          <w:sz w:val="24"/>
          <w:szCs w:val="21"/>
          <w:lang w:eastAsia="zh-CN"/>
        </w:rPr>
      </w:pPr>
      <w:r>
        <w:rPr>
          <w:rFonts w:hint="default" w:ascii="Times New Roman" w:hAnsi="Times New Roman" w:eastAsia="宋体" w:cs="Times New Roman"/>
          <w:caps w:val="0"/>
          <w:smallCaps w:val="0"/>
          <w:sz w:val="24"/>
          <w:szCs w:val="21"/>
          <w:lang w:eastAsia="zh-CN"/>
        </w:rPr>
        <w:t>依据上述</w:t>
      </w:r>
      <w:r>
        <w:rPr>
          <w:rFonts w:hint="default" w:ascii="Times New Roman" w:hAnsi="Times New Roman" w:eastAsia="宋体" w:cs="Times New Roman"/>
          <w:caps w:val="0"/>
          <w:smallCaps w:val="0"/>
          <w:sz w:val="24"/>
          <w:szCs w:val="21"/>
          <w:lang w:val="en-US" w:eastAsia="zh-CN"/>
        </w:rPr>
        <w:t>调查结果和评价方法，计算</w:t>
      </w:r>
      <w:r>
        <w:rPr>
          <w:rFonts w:hint="default" w:ascii="Times New Roman" w:hAnsi="Times New Roman" w:eastAsia="宋体" w:cs="Times New Roman"/>
          <w:caps w:val="0"/>
          <w:smallCaps w:val="0"/>
          <w:sz w:val="24"/>
          <w:szCs w:val="21"/>
          <w:lang w:eastAsia="zh-CN"/>
        </w:rPr>
        <w:t>得到生物多样性指标如下：</w:t>
      </w:r>
    </w:p>
    <w:p w14:paraId="14AC614E">
      <w:pPr>
        <w:pStyle w:val="6"/>
        <w:keepNext w:val="0"/>
        <w:keepLines w:val="0"/>
        <w:pageBreakBefore w:val="0"/>
        <w:widowControl w:val="0"/>
        <w:kinsoku w:val="0"/>
        <w:wordWrap w:val="0"/>
        <w:overflowPunct/>
        <w:topLinePunct/>
        <w:autoSpaceDE/>
        <w:autoSpaceDN/>
        <w:bidi w:val="0"/>
        <w:adjustRightInd/>
        <w:snapToGrid/>
        <w:spacing w:before="0" w:beforeLines="50" w:line="360" w:lineRule="auto"/>
        <w:ind w:left="0" w:leftChars="0" w:firstLine="0" w:firstLineChars="0"/>
        <w:jc w:val="center"/>
        <w:textAlignment w:val="auto"/>
        <w:rPr>
          <w:rFonts w:hint="default" w:ascii="Times New Roman" w:hAnsi="Times New Roman" w:eastAsia="宋体" w:cs="Times New Roman"/>
          <w:b/>
          <w:caps w:val="0"/>
          <w:smallCaps w:val="0"/>
          <w:color w:val="auto"/>
          <w:spacing w:val="0"/>
          <w:w w:val="100"/>
          <w:position w:val="0"/>
          <w:sz w:val="21"/>
          <w:szCs w:val="21"/>
          <w:u w:val="none" w:color="auto"/>
          <w:lang w:val="en-US" w:eastAsia="zh-CN"/>
        </w:rPr>
      </w:pP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表3.3-13 评价区主要生物多样性指数计算结果统计表</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03"/>
        <w:gridCol w:w="1703"/>
        <w:gridCol w:w="1703"/>
        <w:gridCol w:w="1705"/>
        <w:gridCol w:w="1706"/>
      </w:tblGrid>
      <w:tr w14:paraId="3A117D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4" w:type="dxa"/>
            <w:tcBorders>
              <w:tl2br w:val="nil"/>
              <w:tr2bl w:val="nil"/>
            </w:tcBorders>
            <w:vAlign w:val="center"/>
          </w:tcPr>
          <w:p w14:paraId="597B04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aps w:val="0"/>
                <w:smallCaps w:val="0"/>
                <w:sz w:val="21"/>
                <w:szCs w:val="21"/>
                <w:u w:val="none"/>
                <w:vertAlign w:val="baseline"/>
                <w:lang w:val="en-US" w:eastAsia="zh-CN"/>
              </w:rPr>
            </w:pPr>
            <w:r>
              <w:rPr>
                <w:rFonts w:hint="default" w:ascii="Times New Roman" w:hAnsi="Times New Roman" w:eastAsia="宋体" w:cs="Times New Roman"/>
                <w:b/>
                <w:bCs w:val="0"/>
                <w:caps w:val="0"/>
                <w:smallCaps w:val="0"/>
                <w:sz w:val="21"/>
                <w:szCs w:val="21"/>
                <w:u w:val="none"/>
                <w:vertAlign w:val="baseline"/>
                <w:lang w:val="en-US" w:eastAsia="zh-CN"/>
              </w:rPr>
              <w:t>地区</w:t>
            </w:r>
          </w:p>
        </w:tc>
        <w:tc>
          <w:tcPr>
            <w:tcW w:w="1704" w:type="dxa"/>
            <w:tcBorders>
              <w:tl2br w:val="nil"/>
              <w:tr2bl w:val="nil"/>
            </w:tcBorders>
            <w:vAlign w:val="center"/>
          </w:tcPr>
          <w:p w14:paraId="46A960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aps w:val="0"/>
                <w:smallCaps w:val="0"/>
                <w:sz w:val="21"/>
                <w:szCs w:val="21"/>
                <w:u w:val="none"/>
                <w:vertAlign w:val="baseline"/>
                <w:lang w:val="en-US" w:eastAsia="zh-CN"/>
              </w:rPr>
            </w:pPr>
            <w:r>
              <w:rPr>
                <w:rFonts w:hint="default" w:ascii="Times New Roman" w:hAnsi="Times New Roman" w:eastAsia="宋体" w:cs="Times New Roman"/>
                <w:b/>
                <w:bCs w:val="0"/>
                <w:caps w:val="0"/>
                <w:smallCaps w:val="0"/>
                <w:sz w:val="21"/>
                <w:szCs w:val="21"/>
                <w:u w:val="none"/>
                <w:vertAlign w:val="baseline"/>
                <w:lang w:val="en-US" w:eastAsia="zh-CN"/>
              </w:rPr>
              <w:t>植物丰富度/种</w:t>
            </w:r>
          </w:p>
        </w:tc>
        <w:tc>
          <w:tcPr>
            <w:tcW w:w="1704" w:type="dxa"/>
            <w:tcBorders>
              <w:tl2br w:val="nil"/>
              <w:tr2bl w:val="nil"/>
            </w:tcBorders>
            <w:vAlign w:val="center"/>
          </w:tcPr>
          <w:p w14:paraId="13551C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aps w:val="0"/>
                <w:smallCaps w:val="0"/>
                <w:sz w:val="21"/>
                <w:szCs w:val="21"/>
                <w:u w:val="none"/>
                <w:vertAlign w:val="baseline"/>
                <w:lang w:val="en-US" w:eastAsia="zh-CN"/>
              </w:rPr>
            </w:pPr>
            <w:r>
              <w:rPr>
                <w:rFonts w:hint="default" w:ascii="Times New Roman" w:hAnsi="Times New Roman" w:eastAsia="宋体" w:cs="Times New Roman"/>
                <w:b/>
                <w:bCs w:val="0"/>
                <w:caps w:val="0"/>
                <w:smallCaps w:val="0"/>
                <w:sz w:val="21"/>
                <w:szCs w:val="21"/>
                <w:u w:val="none"/>
                <w:vertAlign w:val="baseline"/>
                <w:lang w:val="en-US" w:eastAsia="zh-CN"/>
              </w:rPr>
              <w:t>动物丰富度/种</w:t>
            </w:r>
          </w:p>
        </w:tc>
        <w:tc>
          <w:tcPr>
            <w:tcW w:w="1706" w:type="dxa"/>
            <w:tcBorders>
              <w:tl2br w:val="nil"/>
              <w:tr2bl w:val="nil"/>
            </w:tcBorders>
            <w:vAlign w:val="center"/>
          </w:tcPr>
          <w:p w14:paraId="36A2FE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aps w:val="0"/>
                <w:smallCaps w:val="0"/>
                <w:sz w:val="21"/>
                <w:szCs w:val="21"/>
                <w:u w:val="none"/>
                <w:vertAlign w:val="baseline"/>
                <w:lang w:val="en-US" w:eastAsia="zh-CN"/>
              </w:rPr>
            </w:pPr>
            <w:r>
              <w:rPr>
                <w:rFonts w:hint="default" w:ascii="Times New Roman" w:hAnsi="Times New Roman" w:eastAsia="宋体" w:cs="Times New Roman"/>
                <w:b/>
                <w:bCs w:val="0"/>
                <w:caps w:val="0"/>
                <w:smallCaps w:val="0"/>
                <w:sz w:val="21"/>
                <w:szCs w:val="21"/>
                <w:u w:val="none"/>
                <w:vertAlign w:val="baseline"/>
                <w:lang w:val="en-US" w:eastAsia="zh-CN"/>
              </w:rPr>
              <w:t>生物多样性指数(BI)</w:t>
            </w:r>
          </w:p>
        </w:tc>
        <w:tc>
          <w:tcPr>
            <w:tcW w:w="1706" w:type="dxa"/>
            <w:tcBorders>
              <w:tl2br w:val="nil"/>
              <w:tr2bl w:val="nil"/>
            </w:tcBorders>
            <w:vAlign w:val="center"/>
          </w:tcPr>
          <w:p w14:paraId="6E7CF5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aps w:val="0"/>
                <w:smallCaps w:val="0"/>
                <w:sz w:val="21"/>
                <w:szCs w:val="21"/>
                <w:u w:val="none"/>
                <w:vertAlign w:val="baseline"/>
                <w:lang w:val="en-US" w:eastAsia="zh-CN"/>
              </w:rPr>
            </w:pPr>
            <w:r>
              <w:rPr>
                <w:rFonts w:hint="default" w:ascii="Times New Roman" w:hAnsi="Times New Roman" w:eastAsia="宋体" w:cs="Times New Roman"/>
                <w:b/>
                <w:bCs w:val="0"/>
                <w:caps w:val="0"/>
                <w:smallCaps w:val="0"/>
                <w:sz w:val="21"/>
                <w:szCs w:val="21"/>
                <w:u w:val="none"/>
                <w:vertAlign w:val="baseline"/>
                <w:lang w:val="en-US" w:eastAsia="zh-CN"/>
              </w:rPr>
              <w:t>生物多样性等级评价结果</w:t>
            </w:r>
          </w:p>
        </w:tc>
      </w:tr>
      <w:tr w14:paraId="1DFCC7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4" w:type="dxa"/>
            <w:tcBorders>
              <w:tl2br w:val="nil"/>
              <w:tr2bl w:val="nil"/>
            </w:tcBorders>
            <w:vAlign w:val="center"/>
          </w:tcPr>
          <w:p w14:paraId="13133F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华容县</w:t>
            </w:r>
          </w:p>
        </w:tc>
        <w:tc>
          <w:tcPr>
            <w:tcW w:w="1704" w:type="dxa"/>
            <w:tcBorders>
              <w:tl2br w:val="nil"/>
              <w:tr2bl w:val="nil"/>
            </w:tcBorders>
            <w:vAlign w:val="center"/>
          </w:tcPr>
          <w:p w14:paraId="1D5F96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676</w:t>
            </w:r>
          </w:p>
        </w:tc>
        <w:tc>
          <w:tcPr>
            <w:tcW w:w="1704" w:type="dxa"/>
            <w:tcBorders>
              <w:tl2br w:val="nil"/>
              <w:tr2bl w:val="nil"/>
            </w:tcBorders>
            <w:vAlign w:val="center"/>
          </w:tcPr>
          <w:p w14:paraId="0A6000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293</w:t>
            </w:r>
          </w:p>
        </w:tc>
        <w:tc>
          <w:tcPr>
            <w:tcW w:w="1706" w:type="dxa"/>
            <w:tcBorders>
              <w:tl2br w:val="nil"/>
              <w:tr2bl w:val="nil"/>
            </w:tcBorders>
            <w:vAlign w:val="center"/>
          </w:tcPr>
          <w:p w14:paraId="5AD3A6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37.17</w:t>
            </w:r>
          </w:p>
        </w:tc>
        <w:tc>
          <w:tcPr>
            <w:tcW w:w="1706" w:type="dxa"/>
            <w:tcBorders>
              <w:tl2br w:val="nil"/>
              <w:tr2bl w:val="nil"/>
            </w:tcBorders>
            <w:vAlign w:val="center"/>
          </w:tcPr>
          <w:p w14:paraId="5A622E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一般</w:t>
            </w:r>
          </w:p>
        </w:tc>
      </w:tr>
      <w:tr w14:paraId="340FF3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4" w:type="dxa"/>
            <w:tcBorders>
              <w:tl2br w:val="nil"/>
              <w:tr2bl w:val="nil"/>
            </w:tcBorders>
            <w:vAlign w:val="center"/>
          </w:tcPr>
          <w:p w14:paraId="62AD3B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highlight w:val="none"/>
                <w:u w:val="none"/>
                <w:vertAlign w:val="baseline"/>
                <w:lang w:val="en-US" w:eastAsia="zh-CN"/>
              </w:rPr>
            </w:pPr>
            <w:r>
              <w:rPr>
                <w:rFonts w:hint="default" w:ascii="Times New Roman" w:hAnsi="Times New Roman" w:eastAsia="宋体" w:cs="Times New Roman"/>
                <w:b w:val="0"/>
                <w:bCs/>
                <w:caps w:val="0"/>
                <w:smallCaps w:val="0"/>
                <w:sz w:val="21"/>
                <w:szCs w:val="21"/>
                <w:highlight w:val="none"/>
                <w:u w:val="none"/>
                <w:vertAlign w:val="baseline"/>
                <w:lang w:val="en-US" w:eastAsia="zh-CN"/>
              </w:rPr>
              <w:t>评价区</w:t>
            </w:r>
          </w:p>
        </w:tc>
        <w:tc>
          <w:tcPr>
            <w:tcW w:w="1704" w:type="dxa"/>
            <w:tcBorders>
              <w:tl2br w:val="nil"/>
              <w:tr2bl w:val="nil"/>
            </w:tcBorders>
            <w:vAlign w:val="center"/>
          </w:tcPr>
          <w:p w14:paraId="0BF2D9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highlight w:val="none"/>
                <w:u w:val="none"/>
                <w:vertAlign w:val="baseline"/>
                <w:lang w:val="en-US" w:eastAsia="zh-CN"/>
              </w:rPr>
            </w:pPr>
            <w:r>
              <w:rPr>
                <w:rFonts w:hint="default" w:ascii="Times New Roman" w:hAnsi="Times New Roman" w:eastAsia="宋体" w:cs="Times New Roman"/>
                <w:b w:val="0"/>
                <w:bCs/>
                <w:caps w:val="0"/>
                <w:smallCaps w:val="0"/>
                <w:sz w:val="21"/>
                <w:szCs w:val="21"/>
                <w:highlight w:val="none"/>
                <w:u w:val="none"/>
                <w:vertAlign w:val="baseline"/>
                <w:lang w:val="en-US" w:eastAsia="zh-CN"/>
              </w:rPr>
              <w:t>268</w:t>
            </w:r>
          </w:p>
        </w:tc>
        <w:tc>
          <w:tcPr>
            <w:tcW w:w="1704" w:type="dxa"/>
            <w:tcBorders>
              <w:tl2br w:val="nil"/>
              <w:tr2bl w:val="nil"/>
            </w:tcBorders>
            <w:vAlign w:val="center"/>
          </w:tcPr>
          <w:p w14:paraId="49B3A1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highlight w:val="none"/>
                <w:u w:val="none"/>
                <w:vertAlign w:val="baseline"/>
                <w:lang w:val="en-US" w:eastAsia="zh-CN"/>
              </w:rPr>
            </w:pPr>
            <w:r>
              <w:rPr>
                <w:rFonts w:hint="default" w:ascii="Times New Roman" w:hAnsi="Times New Roman" w:eastAsia="宋体" w:cs="Times New Roman"/>
                <w:b w:val="0"/>
                <w:bCs/>
                <w:caps w:val="0"/>
                <w:smallCaps w:val="0"/>
                <w:sz w:val="21"/>
                <w:szCs w:val="21"/>
                <w:highlight w:val="none"/>
                <w:u w:val="none"/>
                <w:vertAlign w:val="baseline"/>
                <w:lang w:val="en-US" w:eastAsia="zh-CN"/>
              </w:rPr>
              <w:t>94</w:t>
            </w:r>
          </w:p>
        </w:tc>
        <w:tc>
          <w:tcPr>
            <w:tcW w:w="1706" w:type="dxa"/>
            <w:tcBorders>
              <w:tl2br w:val="nil"/>
              <w:tr2bl w:val="nil"/>
            </w:tcBorders>
            <w:vAlign w:val="center"/>
          </w:tcPr>
          <w:p w14:paraId="3E8E0A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w:t>
            </w:r>
          </w:p>
        </w:tc>
        <w:tc>
          <w:tcPr>
            <w:tcW w:w="1706" w:type="dxa"/>
            <w:tcBorders>
              <w:tl2br w:val="nil"/>
              <w:tr2bl w:val="nil"/>
            </w:tcBorders>
            <w:vAlign w:val="center"/>
          </w:tcPr>
          <w:p w14:paraId="18B3A2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w:t>
            </w:r>
          </w:p>
        </w:tc>
      </w:tr>
      <w:tr w14:paraId="4195DC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4" w:type="dxa"/>
            <w:tcBorders>
              <w:tl2br w:val="nil"/>
              <w:tr2bl w:val="nil"/>
            </w:tcBorders>
            <w:vAlign w:val="center"/>
          </w:tcPr>
          <w:p w14:paraId="34814B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highlight w:val="none"/>
                <w:u w:val="none"/>
                <w:vertAlign w:val="baseline"/>
                <w:lang w:val="en-US" w:eastAsia="zh-CN"/>
              </w:rPr>
            </w:pPr>
            <w:r>
              <w:rPr>
                <w:rFonts w:hint="default" w:ascii="Times New Roman" w:hAnsi="Times New Roman" w:eastAsia="宋体" w:cs="Times New Roman"/>
                <w:b w:val="0"/>
                <w:bCs/>
                <w:caps w:val="0"/>
                <w:smallCaps w:val="0"/>
                <w:sz w:val="21"/>
                <w:szCs w:val="21"/>
                <w:highlight w:val="none"/>
                <w:u w:val="none"/>
                <w:vertAlign w:val="baseline"/>
                <w:lang w:val="en-US" w:eastAsia="zh-CN"/>
              </w:rPr>
              <w:t>占比（%）</w:t>
            </w:r>
          </w:p>
        </w:tc>
        <w:tc>
          <w:tcPr>
            <w:tcW w:w="1704" w:type="dxa"/>
            <w:tcBorders>
              <w:tl2br w:val="nil"/>
              <w:tr2bl w:val="nil"/>
            </w:tcBorders>
            <w:vAlign w:val="center"/>
          </w:tcPr>
          <w:p w14:paraId="2BCDD4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highlight w:val="none"/>
                <w:u w:val="none"/>
                <w:vertAlign w:val="baseline"/>
                <w:lang w:val="en-US" w:eastAsia="zh-CN"/>
              </w:rPr>
            </w:pPr>
            <w:r>
              <w:rPr>
                <w:rFonts w:hint="default" w:ascii="Times New Roman" w:hAnsi="Times New Roman" w:eastAsia="宋体" w:cs="Times New Roman"/>
                <w:b w:val="0"/>
                <w:bCs/>
                <w:caps w:val="0"/>
                <w:smallCaps w:val="0"/>
                <w:sz w:val="21"/>
                <w:szCs w:val="21"/>
                <w:highlight w:val="none"/>
                <w:u w:val="none"/>
                <w:vertAlign w:val="baseline"/>
                <w:lang w:val="en-US" w:eastAsia="zh-CN"/>
              </w:rPr>
              <w:t>39.64</w:t>
            </w:r>
          </w:p>
        </w:tc>
        <w:tc>
          <w:tcPr>
            <w:tcW w:w="1704" w:type="dxa"/>
            <w:tcBorders>
              <w:tl2br w:val="nil"/>
              <w:tr2bl w:val="nil"/>
            </w:tcBorders>
            <w:vAlign w:val="center"/>
          </w:tcPr>
          <w:p w14:paraId="750BF6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highlight w:val="none"/>
                <w:u w:val="none"/>
                <w:vertAlign w:val="baseline"/>
                <w:lang w:val="en-US" w:eastAsia="zh-CN"/>
              </w:rPr>
            </w:pPr>
            <w:r>
              <w:rPr>
                <w:rFonts w:hint="default" w:ascii="Times New Roman" w:hAnsi="Times New Roman" w:eastAsia="宋体" w:cs="Times New Roman"/>
                <w:b w:val="0"/>
                <w:bCs/>
                <w:caps w:val="0"/>
                <w:smallCaps w:val="0"/>
                <w:sz w:val="21"/>
                <w:szCs w:val="21"/>
                <w:highlight w:val="none"/>
                <w:u w:val="none"/>
                <w:vertAlign w:val="baseline"/>
                <w:lang w:val="en-US" w:eastAsia="zh-CN"/>
              </w:rPr>
              <w:t>31.97</w:t>
            </w:r>
          </w:p>
        </w:tc>
        <w:tc>
          <w:tcPr>
            <w:tcW w:w="1706" w:type="dxa"/>
            <w:tcBorders>
              <w:tl2br w:val="nil"/>
              <w:tr2bl w:val="nil"/>
            </w:tcBorders>
            <w:vAlign w:val="center"/>
          </w:tcPr>
          <w:p w14:paraId="4486CE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w:t>
            </w:r>
          </w:p>
        </w:tc>
        <w:tc>
          <w:tcPr>
            <w:tcW w:w="1706" w:type="dxa"/>
            <w:tcBorders>
              <w:tl2br w:val="nil"/>
              <w:tr2bl w:val="nil"/>
            </w:tcBorders>
            <w:vAlign w:val="center"/>
          </w:tcPr>
          <w:p w14:paraId="55732B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z w:val="21"/>
                <w:szCs w:val="21"/>
                <w:u w:val="none"/>
                <w:vertAlign w:val="baseline"/>
                <w:lang w:val="en-US" w:eastAsia="zh-CN"/>
              </w:rPr>
            </w:pPr>
            <w:r>
              <w:rPr>
                <w:rFonts w:hint="default" w:ascii="Times New Roman" w:hAnsi="Times New Roman" w:eastAsia="宋体" w:cs="Times New Roman"/>
                <w:b w:val="0"/>
                <w:bCs/>
                <w:caps w:val="0"/>
                <w:smallCaps w:val="0"/>
                <w:sz w:val="21"/>
                <w:szCs w:val="21"/>
                <w:u w:val="none"/>
                <w:vertAlign w:val="baseline"/>
                <w:lang w:val="en-US" w:eastAsia="zh-CN"/>
              </w:rPr>
              <w:t>/</w:t>
            </w:r>
          </w:p>
        </w:tc>
      </w:tr>
    </w:tbl>
    <w:p w14:paraId="4C8E4DB6">
      <w:pPr>
        <w:spacing w:line="360" w:lineRule="auto"/>
        <w:ind w:firstLine="480" w:firstLineChars="200"/>
        <w:rPr>
          <w:rFonts w:hint="default" w:ascii="Times New Roman" w:hAnsi="Times New Roman" w:eastAsia="宋体" w:cs="Times New Roman"/>
          <w:b w:val="0"/>
          <w:bCs/>
          <w:caps w:val="0"/>
          <w:smallCaps w:val="0"/>
          <w:sz w:val="24"/>
          <w:szCs w:val="24"/>
          <w:u w:val="none"/>
          <w:lang w:val="en-US" w:eastAsia="zh-CN"/>
        </w:rPr>
      </w:pPr>
      <w:r>
        <w:rPr>
          <w:rFonts w:hint="default" w:ascii="Times New Roman" w:hAnsi="Times New Roman" w:eastAsia="宋体" w:cs="Times New Roman"/>
          <w:b w:val="0"/>
          <w:bCs/>
          <w:caps w:val="0"/>
          <w:smallCaps w:val="0"/>
          <w:sz w:val="24"/>
          <w:szCs w:val="24"/>
          <w:u w:val="none"/>
          <w:lang w:val="en-US" w:eastAsia="zh-CN"/>
        </w:rPr>
        <w:t>综上调查和比较，华容县生物多样性等级不高，项目评价区记录的植物和动物丰富度均不足地区总数的40%，说明评价区生物多样性等级不高。</w:t>
      </w:r>
    </w:p>
    <w:bookmarkEnd w:id="251"/>
    <w:bookmarkEnd w:id="252"/>
    <w:bookmarkEnd w:id="253"/>
    <w:bookmarkEnd w:id="254"/>
    <w:p w14:paraId="43E41F28">
      <w:pPr>
        <w:pStyle w:val="4"/>
        <w:bidi w:val="0"/>
        <w:rPr>
          <w:rFonts w:hint="default" w:ascii="Times New Roman" w:hAnsi="Times New Roman" w:cs="Times New Roman"/>
          <w:lang w:val="en-US" w:eastAsia="zh-CN"/>
        </w:rPr>
      </w:pPr>
      <w:bookmarkStart w:id="257" w:name="_Toc19315"/>
      <w:bookmarkStart w:id="258" w:name="_Toc17474"/>
      <w:r>
        <w:rPr>
          <w:rFonts w:hint="default" w:ascii="Times New Roman" w:hAnsi="Times New Roman" w:cs="Times New Roman"/>
          <w:lang w:val="en-US" w:eastAsia="zh-CN"/>
        </w:rPr>
        <w:t>生态敏感区</w:t>
      </w:r>
      <w:bookmarkEnd w:id="257"/>
      <w:bookmarkEnd w:id="258"/>
    </w:p>
    <w:p w14:paraId="0FF5DE6C">
      <w:pPr>
        <w:keepNext w:val="0"/>
        <w:keepLines w:val="0"/>
        <w:widowControl w:val="0"/>
        <w:numPr>
          <w:ilvl w:val="-1"/>
          <w:numId w:val="0"/>
        </w:numPr>
        <w:spacing w:line="360" w:lineRule="auto"/>
        <w:ind w:firstLine="480" w:firstLineChars="200"/>
        <w:contextualSpacing w:val="0"/>
        <w:jc w:val="both"/>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val="0"/>
          <w:bCs w:val="0"/>
          <w:color w:val="auto"/>
          <w:sz w:val="24"/>
          <w:szCs w:val="24"/>
          <w:lang w:eastAsia="zh-CN"/>
        </w:rPr>
        <w:t>通过对本工程所在行政区内各类型生态敏感区的逐一排查，本</w:t>
      </w:r>
      <w:r>
        <w:rPr>
          <w:rFonts w:hint="default" w:ascii="Times New Roman" w:hAnsi="Times New Roman" w:eastAsia="宋体" w:cs="Times New Roman"/>
          <w:b w:val="0"/>
          <w:bCs w:val="0"/>
          <w:sz w:val="24"/>
          <w:szCs w:val="24"/>
          <w:lang w:eastAsia="zh-CN"/>
        </w:rPr>
        <w:t>项目涉及</w:t>
      </w:r>
      <w:r>
        <w:rPr>
          <w:rFonts w:hint="default" w:ascii="Times New Roman" w:hAnsi="Times New Roman" w:eastAsia="宋体" w:cs="Times New Roman"/>
          <w:b w:val="0"/>
          <w:bCs w:val="0"/>
          <w:color w:val="auto"/>
          <w:sz w:val="24"/>
          <w:szCs w:val="24"/>
          <w:lang w:eastAsia="zh-CN"/>
        </w:rPr>
        <w:t>的敏感区主要是</w:t>
      </w:r>
      <w:r>
        <w:rPr>
          <w:rFonts w:hint="default" w:ascii="Times New Roman" w:hAnsi="Times New Roman" w:eastAsia="宋体" w:cs="Times New Roman"/>
          <w:b w:val="0"/>
          <w:bCs w:val="0"/>
          <w:sz w:val="24"/>
          <w:szCs w:val="24"/>
          <w:lang w:eastAsia="zh-CN"/>
        </w:rPr>
        <w:t>湖南华容桃花山省级森林公园</w:t>
      </w:r>
      <w:r>
        <w:rPr>
          <w:rFonts w:hint="default" w:ascii="Times New Roman" w:hAnsi="Times New Roman" w:eastAsia="宋体" w:cs="Times New Roman"/>
          <w:b w:val="0"/>
          <w:bCs w:val="0"/>
          <w:color w:val="auto"/>
          <w:sz w:val="24"/>
          <w:szCs w:val="24"/>
          <w:lang w:eastAsia="zh-CN"/>
        </w:rPr>
        <w:t>。</w:t>
      </w:r>
    </w:p>
    <w:p w14:paraId="1FFDF452">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湖南华容桃花山省级森林公园</w:t>
      </w:r>
    </w:p>
    <w:p w14:paraId="4B709AFA">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地理位置</w:t>
      </w:r>
    </w:p>
    <w:p w14:paraId="1665EC99">
      <w:pPr>
        <w:widowControl w:val="0"/>
        <w:spacing w:line="360" w:lineRule="auto"/>
        <w:ind w:firstLine="480"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桃花山森林公园位于湖南省华容县东北部，北临长江，南靠洞庭，与华容县塔市国有林场接壤，与三封寺镇相连，西北与湖北省石首市桃花山镇交界，西与华容县胜峰国有林场毗邻，东西宽8.3千米，南北长11.6千米，总面积3861</w:t>
      </w:r>
      <w:r>
        <w:rPr>
          <w:rFonts w:hint="default" w:ascii="Times New Roman" w:hAnsi="Times New Roman" w:eastAsia="宋体" w:cs="Times New Roman"/>
          <w:sz w:val="24"/>
          <w:szCs w:val="24"/>
          <w:shd w:val="clear" w:color="auto" w:fill="FFFFFF"/>
        </w:rPr>
        <w:t>公顷</w:t>
      </w:r>
      <w:r>
        <w:rPr>
          <w:rFonts w:hint="default" w:ascii="Times New Roman" w:hAnsi="Times New Roman" w:eastAsia="宋体" w:cs="Times New Roman"/>
          <w:sz w:val="24"/>
          <w:szCs w:val="24"/>
        </w:rPr>
        <w:t>。因其位于华容县城之东，也称东山。省道S306和S202绕山而过，公园南大门华一水库离县城15千米</w:t>
      </w:r>
      <w:r>
        <w:rPr>
          <w:rFonts w:hint="default" w:ascii="Times New Roman" w:hAnsi="Times New Roman" w:eastAsia="宋体" w:cs="Times New Roman"/>
          <w:sz w:val="24"/>
          <w:szCs w:val="24"/>
          <w:shd w:val="clear" w:color="auto" w:fill="FFFFFF"/>
        </w:rPr>
        <w:t>，</w:t>
      </w:r>
      <w:r>
        <w:rPr>
          <w:rFonts w:hint="default" w:ascii="Times New Roman" w:hAnsi="Times New Roman" w:eastAsia="宋体" w:cs="Times New Roman"/>
          <w:sz w:val="24"/>
          <w:szCs w:val="24"/>
        </w:rPr>
        <w:t>离湖北省石首市22千米，离岳阳市59千米，距离长江8.45千米。地理坐标为东经112º40′22″-112º45′24″，北纬29º33′36″- 29º39′56″。</w:t>
      </w:r>
    </w:p>
    <w:p w14:paraId="4B820034">
      <w:pPr>
        <w:widowControl w:val="0"/>
        <w:spacing w:line="360" w:lineRule="auto"/>
        <w:ind w:firstLine="480" w:firstLineChars="200"/>
        <w:jc w:val="both"/>
        <w:rPr>
          <w:rFonts w:hint="default" w:ascii="Times New Roman" w:hAnsi="Times New Roman" w:eastAsia="宋体" w:cs="Times New Roman"/>
          <w:sz w:val="24"/>
          <w:szCs w:val="24"/>
        </w:rPr>
      </w:pPr>
      <w:r>
        <w:rPr>
          <w:rFonts w:hint="default" w:ascii="Times New Roman" w:hAnsi="Times New Roman" w:eastAsia="Tahoma" w:cs="Times New Roman"/>
          <w:sz w:val="24"/>
          <w:szCs w:val="24"/>
          <w:shd w:val="clear" w:color="auto" w:fill="FFFFFF"/>
        </w:rPr>
        <w:t>桃花山雄踞长江中游江汉平原和洞庭湖平原之间，属花岗岩低山地貌</w:t>
      </w:r>
      <w:r>
        <w:rPr>
          <w:rFonts w:hint="default" w:ascii="Times New Roman" w:hAnsi="Times New Roman" w:eastAsia="宋体" w:cs="Times New Roman"/>
          <w:sz w:val="24"/>
          <w:szCs w:val="24"/>
          <w:shd w:val="clear" w:color="auto" w:fill="FFFFFF"/>
        </w:rPr>
        <w:t>，</w:t>
      </w:r>
      <w:r>
        <w:rPr>
          <w:rFonts w:hint="default" w:ascii="Times New Roman" w:hAnsi="Times New Roman" w:eastAsia="Tahoma" w:cs="Times New Roman"/>
          <w:sz w:val="24"/>
          <w:szCs w:val="24"/>
          <w:shd w:val="clear" w:color="auto" w:fill="FFFFFF"/>
        </w:rPr>
        <w:t>境内地形连绵曲折，错落有致。</w:t>
      </w:r>
      <w:r>
        <w:rPr>
          <w:rFonts w:hint="default" w:ascii="Times New Roman" w:hAnsi="Times New Roman" w:eastAsia="宋体" w:cs="Times New Roman"/>
          <w:sz w:val="24"/>
          <w:szCs w:val="24"/>
        </w:rPr>
        <w:t>主峰南北走向，脉络不清晰，形状不规则，主山脉中高边低，南陡北缓。最高峰雷打岩主峰海拔384米，是华容县最高峰。</w:t>
      </w:r>
      <w:r>
        <w:rPr>
          <w:rFonts w:hint="default" w:ascii="Times New Roman" w:hAnsi="Times New Roman" w:eastAsia="Tahoma" w:cs="Times New Roman"/>
          <w:sz w:val="24"/>
          <w:szCs w:val="24"/>
          <w:shd w:val="clear" w:color="auto" w:fill="FFFFFF"/>
        </w:rPr>
        <w:t>传说雷打岩盛产仙桃，供奉王母寿筵，后受猴害，触怒王母，遭雷公追击，猴桃山崩，痕迹犹在</w:t>
      </w:r>
      <w:r>
        <w:rPr>
          <w:rFonts w:hint="default" w:ascii="Times New Roman" w:hAnsi="Times New Roman" w:eastAsia="宋体" w:cs="Times New Roman"/>
          <w:sz w:val="24"/>
          <w:szCs w:val="24"/>
          <w:shd w:val="clear" w:color="auto" w:fill="FFFFFF"/>
        </w:rPr>
        <w:t>，</w:t>
      </w:r>
      <w:r>
        <w:rPr>
          <w:rFonts w:hint="default" w:ascii="Times New Roman" w:hAnsi="Times New Roman" w:eastAsia="Tahoma" w:cs="Times New Roman"/>
          <w:sz w:val="24"/>
          <w:szCs w:val="24"/>
          <w:shd w:val="clear" w:color="auto" w:fill="FFFFFF"/>
        </w:rPr>
        <w:t>雷打岩因此而得名。</w:t>
      </w:r>
      <w:r>
        <w:rPr>
          <w:rFonts w:hint="default" w:ascii="Times New Roman" w:hAnsi="Times New Roman" w:eastAsia="宋体" w:cs="Times New Roman"/>
          <w:sz w:val="24"/>
          <w:szCs w:val="24"/>
        </w:rPr>
        <w:t>山脚平均海拔50米，相对高差334米。境内地形坡度局部陡崖为70-90º，地形连绵曲折，重点景区险峻幽静。两端有两座中型水库，中有高山水库。</w:t>
      </w:r>
    </w:p>
    <w:p w14:paraId="0AF96A2F">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历史沿革</w:t>
      </w:r>
    </w:p>
    <w:p w14:paraId="73AD86BB">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桃花山的来历，历来众说纷坛。一说古时山中多桃树，春来桃花成霞。清人张克谋有“千树万树桃花开”、“山回路转遍桃花”的诗句描写此山，故名桃花山。一说因真武祖师将王母娘娘的仙桃核遍撒山头，越明年，桃树成荫，桃花斗艳，故称此山为桃花山。又据万历《华容县志》载，明代有人发现深山之中，有宋时避乱隐居的山民，“不闻有金、元，亦不知今为何代”，遂以为新桃花源，故名桃花山。</w:t>
      </w:r>
    </w:p>
    <w:p w14:paraId="6FB89DBD">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桃花山林场在1996年撤乡并镇时建立，在此之前由桃花山乡人民政府管理。撤乡后，原桃花山乡的白果、跑马、杨树、桃花、平垒、禾场岭等村并入东山镇，并新成立镇办的桃花山林场。</w:t>
      </w:r>
    </w:p>
    <w:p w14:paraId="75A16BD3">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2001年9月，由原桃花山乡另加三封寺镇林场、东山镇仙鹅寺村临东山水库的部分组(一、二、十组)组成了桃花山森林公园。华容县政府设置桃花山森林公园管理处，对桃花山区域实施保护性开发，并编制了景区开发总体规划。景区包括桃花山与附近众多旅游资源。桃花山可划分为白果树、东山湖(东山水库)、高岭(分水岭)、雷打岩和华一水库(水资源)保护区5个景区。</w:t>
      </w:r>
    </w:p>
    <w:p w14:paraId="2B8FA53E">
      <w:pPr>
        <w:widowControl w:val="0"/>
        <w:spacing w:line="360" w:lineRule="auto"/>
        <w:ind w:firstLine="480" w:firstLineChars="200"/>
        <w:jc w:val="both"/>
        <w:rPr>
          <w:rFonts w:hint="default" w:ascii="Times New Roman" w:hAnsi="Times New Roman" w:eastAsia="宋体" w:cs="Times New Roman"/>
          <w:caps w:val="0"/>
          <w:smallCaps w:val="0"/>
          <w:snapToGrid/>
          <w:color w:val="auto"/>
          <w:spacing w:val="0"/>
          <w:kern w:val="0"/>
          <w:sz w:val="24"/>
          <w:szCs w:val="32"/>
          <w:highlight w:val="none"/>
          <w:u w:val="none"/>
          <w:lang w:val="en-US" w:eastAsia="zh-CN" w:bidi="ar-SA"/>
        </w:rPr>
      </w:pPr>
      <w:r>
        <w:rPr>
          <w:rFonts w:hint="default" w:ascii="Times New Roman" w:hAnsi="Times New Roman" w:eastAsia="宋体" w:cs="Times New Roman"/>
          <w:sz w:val="24"/>
          <w:szCs w:val="24"/>
          <w:shd w:val="clear" w:color="auto" w:fill="FFFFFF"/>
        </w:rPr>
        <w:t>2003年2月13日由湖南省人民政府批准成立桃花山省级森林公园。桃花山森林公园在桃花山林场基础上组建，占桃花山主脉山脊西南大部分地区。行政隶属华容县人民政府，业务归属市林业局，现已成立副科级事业单位（湖南华容桃花山省级森林公园管理处）负责管理该公园。</w:t>
      </w:r>
    </w:p>
    <w:p w14:paraId="459D288A">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公园性质和范围</w:t>
      </w:r>
    </w:p>
    <w:p w14:paraId="5F19F4F4">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公园性质：根据森林公园的自然地理条件、区位特征、社会经济状况和森林风景资源特征，确定森林公园的性质为以保护为主，兼具观光游览、避暑度假、健身康养、科学研究及科普教育等多种功能的综合性省级森林公园。</w:t>
      </w:r>
    </w:p>
    <w:p w14:paraId="0927F53B">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公园范围：东西宽8.3千米，南北长11.6千米，总面积3861</w:t>
      </w:r>
      <w:r>
        <w:rPr>
          <w:rFonts w:hint="default" w:ascii="Times New Roman" w:hAnsi="Times New Roman" w:eastAsia="宋体" w:cs="Times New Roman"/>
          <w:sz w:val="20"/>
          <w:szCs w:val="21"/>
          <w:shd w:val="clear" w:color="auto" w:fill="FFFFFF"/>
        </w:rPr>
        <w:t>公顷</w:t>
      </w:r>
      <w:r>
        <w:rPr>
          <w:rFonts w:hint="default" w:ascii="Times New Roman" w:hAnsi="Times New Roman" w:eastAsia="宋体" w:cs="Times New Roman"/>
          <w:sz w:val="24"/>
          <w:szCs w:val="24"/>
        </w:rPr>
        <w:t>。地理坐标为东经112º40′22″- 112º45′24″，北纬29º33′36″- 29º39′56″。</w:t>
      </w:r>
    </w:p>
    <w:p w14:paraId="0AFB7BBC">
      <w:pPr>
        <w:widowControl w:val="0"/>
        <w:spacing w:line="360" w:lineRule="auto"/>
        <w:ind w:firstLine="480" w:firstLineChars="200"/>
        <w:jc w:val="both"/>
        <w:rPr>
          <w:rFonts w:hint="default" w:ascii="Times New Roman" w:hAnsi="Times New Roman" w:eastAsia="宋体" w:cs="Times New Roman"/>
          <w:caps w:val="0"/>
          <w:smallCaps w:val="0"/>
          <w:snapToGrid/>
          <w:color w:val="auto"/>
          <w:spacing w:val="0"/>
          <w:kern w:val="0"/>
          <w:sz w:val="24"/>
          <w:szCs w:val="32"/>
          <w:highlight w:val="none"/>
          <w:u w:val="none"/>
          <w:lang w:val="en-US" w:eastAsia="zh-CN" w:bidi="ar-SA"/>
        </w:rPr>
      </w:pPr>
      <w:r>
        <w:rPr>
          <w:rFonts w:hint="default" w:ascii="Times New Roman" w:hAnsi="Times New Roman" w:eastAsia="宋体" w:cs="Times New Roman"/>
          <w:sz w:val="24"/>
          <w:szCs w:val="24"/>
        </w:rPr>
        <w:t>四界范围为：胡家铺东经112°43'5.87"、北纬29°39'57.30"（沿山脊线向西南至）东经112°44'53.34"、北纬29°39'39.52"（沿山脊线经白果树湾向西南至东山水库）东经112°45'19.44"、北纬29°38'35.35"（沿山脊线向东南至）东经112°44'34.88"、北纬29°36'47.59"（沿水库及山脊线向西南至地湾）东经112°43'31.52"、北纬29°35'10.26"（沿山脊线向西至杨家屋场）东经112°42'33.37"、北纬29°34'56.10"（沿山脊线向西南至笔架山）东经112°41'10.94"、北纬29°33'36.80"（沿山脊线向西北至柿树村）东经112°40'38.03"、北纬29°33'43.98"（沿村道及山脊线向西北至周张屋场）东经112°40'27.53"、北纬29°34'4.95"（沿山脊线向北至）东经112°40'39.09"、北纬29°35'1.17"（沿山脊线向北至屏墙院子）东经112°40'55.31"、北纬29°35'44.28"（沿山脊线向东北至府君庙湾）东经112°41'12.46"、北纬29°36'39.51"（沿山脊线向东北至）东经112°41'30.42"、北纬29°37'20.94"（沿山脊线向东北至）东经112°42'30.29"、北纬29°39'1.09"（沿山脊线向东北至乜家冲）东经112°42'36.10"、北纬29°39'32.62"起点闭合。</w:t>
      </w:r>
    </w:p>
    <w:p w14:paraId="5AD75277">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功能分区</w:t>
      </w:r>
    </w:p>
    <w:p w14:paraId="70BDAE68">
      <w:pPr>
        <w:widowControl w:val="0"/>
        <w:spacing w:line="360" w:lineRule="auto"/>
        <w:ind w:firstLine="480" w:firstLineChars="200"/>
        <w:jc w:val="both"/>
        <w:rPr>
          <w:rFonts w:hint="default" w:ascii="Times New Roman" w:hAnsi="Times New Roman" w:eastAsia="宋体" w:cs="Times New Roman"/>
          <w:caps w:val="0"/>
          <w:smallCaps w:val="0"/>
          <w:snapToGrid/>
          <w:color w:val="auto"/>
          <w:spacing w:val="0"/>
          <w:kern w:val="0"/>
          <w:sz w:val="24"/>
          <w:szCs w:val="32"/>
          <w:highlight w:val="none"/>
          <w:u w:val="none"/>
          <w:lang w:val="en-US" w:eastAsia="zh-CN" w:bidi="ar-SA"/>
        </w:rPr>
      </w:pPr>
      <w:r>
        <w:rPr>
          <w:rFonts w:hint="default" w:ascii="Times New Roman" w:hAnsi="Times New Roman" w:eastAsia="宋体" w:cs="Times New Roman"/>
          <w:caps w:val="0"/>
          <w:smallCaps w:val="0"/>
          <w:snapToGrid/>
          <w:color w:val="auto"/>
          <w:spacing w:val="0"/>
          <w:kern w:val="0"/>
          <w:sz w:val="24"/>
          <w:szCs w:val="32"/>
          <w:highlight w:val="none"/>
          <w:u w:val="none"/>
          <w:lang w:val="en-US" w:eastAsia="zh-CN" w:bidi="ar-SA"/>
        </w:rPr>
        <w:t>（1）分区原则</w:t>
      </w:r>
    </w:p>
    <w:p w14:paraId="68E5732F">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1）功能分区必须以森林公园本底森林风景资源为依托，根据森林风景资源的分布状况和特色，突出主体风景资源，开发主导旅游产品；</w:t>
      </w:r>
    </w:p>
    <w:p w14:paraId="71646109">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2）各个不同的功能分区应根据不同的森林风景资源特点和客源市场需求开发本区内的富有特色的拳头旅游产品，且各功能区的旅游产品相互之间不产生大的矛盾与冲突，以实现互补；</w:t>
      </w:r>
    </w:p>
    <w:p w14:paraId="38BE8FA1">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3）应尽量强调地理区位上的一致性，即同一功能区内的各个游览点空间距离不能相距太远，要充分考虑功能分区的地理完整性，以便于管理的原则；</w:t>
      </w:r>
    </w:p>
    <w:p w14:paraId="30093FD9">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4）同一区内的规划对象的特性及其存在的环境应基本一致，同一区内的规划原则、措施及成效特点应基本一致；</w:t>
      </w:r>
    </w:p>
    <w:p w14:paraId="086A3C1D">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5）功能分区应尽量保持原有的自然、人文、线状等单元界限的完整性；</w:t>
      </w:r>
    </w:p>
    <w:p w14:paraId="1354E37E">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6）客观反映森林公园不同区域的资源特点、分布特征以及在保护、管理、游览、服务等方面的地域空间关系和需求；</w:t>
      </w:r>
    </w:p>
    <w:p w14:paraId="0FB9D923">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7）有利于森林游憩活动的组织和开展；</w:t>
      </w:r>
    </w:p>
    <w:p w14:paraId="7D2F8248">
      <w:pPr>
        <w:widowControl w:val="0"/>
        <w:spacing w:line="360" w:lineRule="auto"/>
        <w:ind w:firstLine="480" w:firstLineChars="200"/>
        <w:jc w:val="both"/>
        <w:rPr>
          <w:rFonts w:hint="default" w:ascii="Times New Roman" w:hAnsi="Times New Roman" w:eastAsia="宋体" w:cs="Times New Roman"/>
          <w:caps w:val="0"/>
          <w:smallCaps w:val="0"/>
          <w:snapToGrid/>
          <w:color w:val="auto"/>
          <w:spacing w:val="0"/>
          <w:kern w:val="0"/>
          <w:sz w:val="24"/>
          <w:szCs w:val="32"/>
          <w:highlight w:val="none"/>
          <w:u w:val="none"/>
          <w:lang w:val="en-US" w:eastAsia="zh-CN" w:bidi="ar-SA"/>
        </w:rPr>
      </w:pPr>
      <w:r>
        <w:rPr>
          <w:rFonts w:hint="default" w:ascii="Times New Roman" w:hAnsi="Times New Roman" w:eastAsia="宋体" w:cs="Times New Roman"/>
          <w:sz w:val="24"/>
          <w:szCs w:val="24"/>
        </w:rPr>
        <w:t>8）为森林公园的长远发展留有一定余地。</w:t>
      </w:r>
    </w:p>
    <w:p w14:paraId="44028BCF">
      <w:pPr>
        <w:widowControl w:val="0"/>
        <w:spacing w:line="360" w:lineRule="auto"/>
        <w:ind w:firstLine="480" w:firstLineChars="200"/>
        <w:jc w:val="both"/>
        <w:rPr>
          <w:rFonts w:hint="default" w:ascii="Times New Roman" w:hAnsi="Times New Roman" w:eastAsia="宋体" w:cs="Times New Roman"/>
          <w:caps w:val="0"/>
          <w:smallCaps w:val="0"/>
          <w:snapToGrid/>
          <w:color w:val="auto"/>
          <w:spacing w:val="0"/>
          <w:kern w:val="0"/>
          <w:sz w:val="24"/>
          <w:szCs w:val="32"/>
          <w:highlight w:val="none"/>
          <w:u w:val="none"/>
          <w:lang w:val="en-US" w:eastAsia="zh-CN" w:bidi="ar-SA"/>
        </w:rPr>
      </w:pPr>
      <w:r>
        <w:rPr>
          <w:rFonts w:hint="default" w:ascii="Times New Roman" w:hAnsi="Times New Roman" w:eastAsia="宋体" w:cs="Times New Roman"/>
          <w:caps w:val="0"/>
          <w:smallCaps w:val="0"/>
          <w:snapToGrid/>
          <w:color w:val="auto"/>
          <w:spacing w:val="0"/>
          <w:kern w:val="0"/>
          <w:sz w:val="24"/>
          <w:szCs w:val="32"/>
          <w:highlight w:val="none"/>
          <w:u w:val="none"/>
          <w:lang w:val="en-US" w:eastAsia="zh-CN" w:bidi="ar-SA"/>
        </w:rPr>
        <w:t>（2）分区方法</w:t>
      </w:r>
    </w:p>
    <w:p w14:paraId="672C4D15">
      <w:pPr>
        <w:widowControl w:val="0"/>
        <w:spacing w:line="360" w:lineRule="auto"/>
        <w:ind w:firstLine="480" w:firstLineChars="200"/>
        <w:jc w:val="both"/>
        <w:rPr>
          <w:rFonts w:hint="default" w:ascii="Times New Roman" w:hAnsi="Times New Roman" w:eastAsia="宋体" w:cs="Times New Roman"/>
          <w:caps w:val="0"/>
          <w:smallCaps w:val="0"/>
          <w:snapToGrid/>
          <w:color w:val="auto"/>
          <w:spacing w:val="0"/>
          <w:kern w:val="0"/>
          <w:sz w:val="24"/>
          <w:szCs w:val="32"/>
          <w:highlight w:val="none"/>
          <w:u w:val="none"/>
          <w:lang w:val="en-US" w:eastAsia="zh-CN" w:bidi="ar-SA"/>
        </w:rPr>
      </w:pPr>
      <w:r>
        <w:rPr>
          <w:rFonts w:hint="default" w:ascii="Times New Roman" w:hAnsi="Times New Roman" w:eastAsia="宋体" w:cs="Times New Roman"/>
          <w:kern w:val="0"/>
          <w:sz w:val="24"/>
          <w:szCs w:val="24"/>
        </w:rPr>
        <w:t>森林公园功能区划分主要结合上轮规划实施</w:t>
      </w:r>
      <w:r>
        <w:rPr>
          <w:rFonts w:hint="default" w:ascii="Times New Roman" w:hAnsi="Times New Roman" w:eastAsia="宋体" w:cs="Times New Roman"/>
          <w:kern w:val="0"/>
          <w:sz w:val="24"/>
          <w:szCs w:val="21"/>
        </w:rPr>
        <w:t>的格局，外围协调的要求等。功能分区中将森林公园中部靠西桃花山划为管理服务区，结合上版规划格局以及森林植被景观的实际情况，将森林公园南部、中部靠北划为一般游憩区，北部划为核心景观区。</w:t>
      </w:r>
    </w:p>
    <w:p w14:paraId="7179407A">
      <w:pPr>
        <w:widowControl w:val="0"/>
        <w:spacing w:line="360" w:lineRule="auto"/>
        <w:ind w:firstLine="480" w:firstLineChars="200"/>
        <w:jc w:val="both"/>
        <w:rPr>
          <w:rFonts w:hint="default" w:ascii="Times New Roman" w:hAnsi="Times New Roman" w:eastAsia="宋体" w:cs="Times New Roman"/>
          <w:caps w:val="0"/>
          <w:smallCaps w:val="0"/>
          <w:snapToGrid/>
          <w:color w:val="auto"/>
          <w:spacing w:val="0"/>
          <w:kern w:val="0"/>
          <w:sz w:val="24"/>
          <w:szCs w:val="32"/>
          <w:highlight w:val="none"/>
          <w:u w:val="none"/>
          <w:lang w:val="en-US" w:eastAsia="zh-CN" w:bidi="ar-SA"/>
        </w:rPr>
      </w:pPr>
      <w:r>
        <w:rPr>
          <w:rFonts w:hint="default" w:ascii="Times New Roman" w:hAnsi="Times New Roman" w:eastAsia="宋体" w:cs="Times New Roman"/>
          <w:caps w:val="0"/>
          <w:smallCaps w:val="0"/>
          <w:snapToGrid/>
          <w:color w:val="auto"/>
          <w:spacing w:val="0"/>
          <w:kern w:val="0"/>
          <w:sz w:val="24"/>
          <w:szCs w:val="32"/>
          <w:highlight w:val="none"/>
          <w:u w:val="none"/>
          <w:lang w:val="en-US" w:eastAsia="zh-CN" w:bidi="ar-SA"/>
        </w:rPr>
        <w:t>（3）功能分区</w:t>
      </w:r>
    </w:p>
    <w:p w14:paraId="44A149F5">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根据《国家级森林公园总体规划规范》(LY/T 2005-2012)的要求，依据公园内部保护对象的区位条件和景观价值，从生态保护角度出发，分别从地区生态敏感性、用地适宜度和区划的完整性综合考虑，将规划区划分为以下功能区：生态保育区、核心景观区、一般游憩区、管理服务区。</w:t>
      </w:r>
    </w:p>
    <w:p w14:paraId="7CF6FC48">
      <w:pPr>
        <w:widowControl w:val="0"/>
        <w:spacing w:line="360" w:lineRule="auto"/>
        <w:ind w:firstLine="480" w:firstLineChars="200"/>
        <w:jc w:val="both"/>
        <w:rPr>
          <w:rFonts w:hint="default" w:ascii="Times New Roman" w:hAnsi="Times New Roman" w:eastAsia="宋体" w:cs="Times New Roman"/>
          <w:caps w:val="0"/>
          <w:smallCaps w:val="0"/>
          <w:snapToGrid/>
          <w:color w:val="auto"/>
          <w:spacing w:val="0"/>
          <w:kern w:val="0"/>
          <w:sz w:val="24"/>
          <w:szCs w:val="32"/>
          <w:highlight w:val="none"/>
          <w:u w:val="none"/>
          <w:lang w:val="en-US" w:eastAsia="zh-CN" w:bidi="ar-SA"/>
        </w:rPr>
      </w:pPr>
      <w:r>
        <w:rPr>
          <w:rFonts w:hint="default" w:ascii="Times New Roman" w:hAnsi="Times New Roman" w:eastAsia="宋体" w:cs="Times New Roman"/>
          <w:sz w:val="24"/>
          <w:szCs w:val="24"/>
        </w:rPr>
        <w:t>通过充分考虑森林公园功能分区区划的基础上，综合分析园区的景观架构、各类景观和景点的空间分布及建设管理条件等因素，根据森林公园及公园内各景区的资源特点，确保景点的相对集中以及景观和地域的完整性。</w:t>
      </w:r>
    </w:p>
    <w:p w14:paraId="337AFABC">
      <w:pPr>
        <w:pStyle w:val="6"/>
        <w:keepNext w:val="0"/>
        <w:keepLines w:val="0"/>
        <w:pageBreakBefore w:val="0"/>
        <w:widowControl w:val="0"/>
        <w:kinsoku w:val="0"/>
        <w:wordWrap w:val="0"/>
        <w:overflowPunct/>
        <w:topLinePunct/>
        <w:autoSpaceDE/>
        <w:autoSpaceDN/>
        <w:bidi w:val="0"/>
        <w:adjustRightInd/>
        <w:snapToGrid/>
        <w:spacing w:before="0" w:beforeLines="50" w:line="360" w:lineRule="auto"/>
        <w:ind w:left="0" w:leftChars="0" w:firstLine="0" w:firstLineChars="0"/>
        <w:jc w:val="center"/>
        <w:textAlignment w:val="auto"/>
        <w:rPr>
          <w:rFonts w:hint="default" w:ascii="Times New Roman" w:hAnsi="Times New Roman" w:eastAsia="宋体" w:cs="Times New Roman"/>
          <w:b/>
          <w:caps w:val="0"/>
          <w:smallCaps w:val="0"/>
          <w:color w:val="auto"/>
          <w:spacing w:val="0"/>
          <w:w w:val="100"/>
          <w:position w:val="0"/>
          <w:sz w:val="21"/>
          <w:szCs w:val="21"/>
          <w:u w:val="none" w:color="auto"/>
          <w:lang w:val="en-US" w:eastAsia="zh-CN"/>
        </w:rPr>
      </w:pPr>
      <w:r>
        <w:rPr>
          <w:rFonts w:hint="default" w:ascii="Times New Roman" w:hAnsi="Times New Roman" w:eastAsia="宋体" w:cs="Times New Roman"/>
          <w:b/>
          <w:caps w:val="0"/>
          <w:smallCaps w:val="0"/>
          <w:color w:val="auto"/>
          <w:spacing w:val="0"/>
          <w:w w:val="100"/>
          <w:position w:val="0"/>
          <w:sz w:val="21"/>
          <w:szCs w:val="21"/>
          <w:u w:val="none" w:color="auto"/>
          <w:lang w:val="en-US" w:eastAsia="zh-CN"/>
        </w:rPr>
        <w:t>表3.3-14 桃花山省级森林公园功能区以及景区分区面积 （单位：公顷）</w:t>
      </w:r>
    </w:p>
    <w:tbl>
      <w:tblPr>
        <w:tblStyle w:val="3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08"/>
        <w:gridCol w:w="2536"/>
        <w:gridCol w:w="1534"/>
        <w:gridCol w:w="1508"/>
        <w:gridCol w:w="934"/>
      </w:tblGrid>
      <w:tr w14:paraId="540262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pct"/>
            <w:tcBorders>
              <w:tl2br w:val="nil"/>
              <w:tr2bl w:val="nil"/>
            </w:tcBorders>
            <w:shd w:val="clear" w:color="000000" w:fill="auto"/>
            <w:vAlign w:val="center"/>
          </w:tcPr>
          <w:p w14:paraId="6C880E1E">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rPr>
              <w:t>功能区</w:t>
            </w:r>
          </w:p>
        </w:tc>
        <w:tc>
          <w:tcPr>
            <w:tcW w:w="1488" w:type="pct"/>
            <w:tcBorders>
              <w:tl2br w:val="nil"/>
              <w:tr2bl w:val="nil"/>
            </w:tcBorders>
            <w:shd w:val="clear" w:color="000000" w:fill="auto"/>
            <w:vAlign w:val="center"/>
          </w:tcPr>
          <w:p w14:paraId="0F7D821E">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rPr>
              <w:t>景区</w:t>
            </w:r>
          </w:p>
        </w:tc>
        <w:tc>
          <w:tcPr>
            <w:tcW w:w="900" w:type="pct"/>
            <w:tcBorders>
              <w:tl2br w:val="nil"/>
              <w:tr2bl w:val="nil"/>
            </w:tcBorders>
            <w:shd w:val="clear" w:color="000000" w:fill="auto"/>
            <w:vAlign w:val="center"/>
          </w:tcPr>
          <w:p w14:paraId="2FB26082">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rPr>
              <w:t>景区面积</w:t>
            </w:r>
          </w:p>
        </w:tc>
        <w:tc>
          <w:tcPr>
            <w:tcW w:w="884" w:type="pct"/>
            <w:tcBorders>
              <w:tl2br w:val="nil"/>
              <w:tr2bl w:val="nil"/>
            </w:tcBorders>
            <w:shd w:val="clear" w:color="000000" w:fill="auto"/>
            <w:vAlign w:val="center"/>
          </w:tcPr>
          <w:p w14:paraId="3D94DB3A">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rPr>
              <w:t>功能区面积</w:t>
            </w:r>
          </w:p>
        </w:tc>
        <w:tc>
          <w:tcPr>
            <w:tcW w:w="548" w:type="pct"/>
            <w:tcBorders>
              <w:tl2br w:val="nil"/>
              <w:tr2bl w:val="nil"/>
            </w:tcBorders>
            <w:shd w:val="clear" w:color="000000" w:fill="auto"/>
            <w:vAlign w:val="center"/>
          </w:tcPr>
          <w:p w14:paraId="362623BA">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rPr>
              <w:t>占比</w:t>
            </w:r>
          </w:p>
        </w:tc>
      </w:tr>
      <w:tr w14:paraId="5BADA6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pct"/>
            <w:tcBorders>
              <w:tl2br w:val="nil"/>
              <w:tr2bl w:val="nil"/>
            </w:tcBorders>
            <w:shd w:val="clear" w:color="auto" w:fill="auto"/>
            <w:vAlign w:val="center"/>
          </w:tcPr>
          <w:p w14:paraId="2378F85A">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生态保育区</w:t>
            </w:r>
          </w:p>
        </w:tc>
        <w:tc>
          <w:tcPr>
            <w:tcW w:w="1488" w:type="pct"/>
            <w:tcBorders>
              <w:tl2br w:val="nil"/>
              <w:tr2bl w:val="nil"/>
            </w:tcBorders>
            <w:shd w:val="clear" w:color="auto" w:fill="auto"/>
            <w:vAlign w:val="center"/>
          </w:tcPr>
          <w:p w14:paraId="1E50F6CB">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w:t>
            </w:r>
          </w:p>
        </w:tc>
        <w:tc>
          <w:tcPr>
            <w:tcW w:w="900" w:type="pct"/>
            <w:tcBorders>
              <w:tl2br w:val="nil"/>
              <w:tr2bl w:val="nil"/>
            </w:tcBorders>
            <w:shd w:val="clear" w:color="auto" w:fill="auto"/>
            <w:vAlign w:val="center"/>
          </w:tcPr>
          <w:p w14:paraId="104773A0">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861.53</w:t>
            </w:r>
          </w:p>
        </w:tc>
        <w:tc>
          <w:tcPr>
            <w:tcW w:w="884" w:type="pct"/>
            <w:tcBorders>
              <w:tl2br w:val="nil"/>
              <w:tr2bl w:val="nil"/>
            </w:tcBorders>
            <w:shd w:val="clear" w:color="auto" w:fill="auto"/>
            <w:vAlign w:val="center"/>
          </w:tcPr>
          <w:p w14:paraId="1265F08B">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861.53</w:t>
            </w:r>
          </w:p>
        </w:tc>
        <w:tc>
          <w:tcPr>
            <w:tcW w:w="548" w:type="pct"/>
            <w:tcBorders>
              <w:tl2br w:val="nil"/>
              <w:tr2bl w:val="nil"/>
            </w:tcBorders>
            <w:shd w:val="clear" w:color="auto" w:fill="auto"/>
            <w:vAlign w:val="center"/>
          </w:tcPr>
          <w:p w14:paraId="080B5A47">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22.31%</w:t>
            </w:r>
          </w:p>
        </w:tc>
      </w:tr>
      <w:tr w14:paraId="1CDE20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pct"/>
            <w:tcBorders>
              <w:tl2br w:val="nil"/>
              <w:tr2bl w:val="nil"/>
            </w:tcBorders>
            <w:shd w:val="clear" w:color="auto" w:fill="auto"/>
            <w:vAlign w:val="center"/>
          </w:tcPr>
          <w:p w14:paraId="27BEDBF6">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核心景观区</w:t>
            </w:r>
          </w:p>
        </w:tc>
        <w:tc>
          <w:tcPr>
            <w:tcW w:w="1488" w:type="pct"/>
            <w:tcBorders>
              <w:tl2br w:val="nil"/>
              <w:tr2bl w:val="nil"/>
            </w:tcBorders>
            <w:shd w:val="clear" w:color="auto" w:fill="auto"/>
            <w:vAlign w:val="center"/>
          </w:tcPr>
          <w:p w14:paraId="7B06D615">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白果树景区</w:t>
            </w:r>
          </w:p>
        </w:tc>
        <w:tc>
          <w:tcPr>
            <w:tcW w:w="900" w:type="pct"/>
            <w:tcBorders>
              <w:tl2br w:val="nil"/>
              <w:tr2bl w:val="nil"/>
            </w:tcBorders>
            <w:shd w:val="clear" w:color="auto" w:fill="auto"/>
            <w:vAlign w:val="center"/>
          </w:tcPr>
          <w:p w14:paraId="0561FB76">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503.2</w:t>
            </w:r>
          </w:p>
        </w:tc>
        <w:tc>
          <w:tcPr>
            <w:tcW w:w="884" w:type="pct"/>
            <w:tcBorders>
              <w:tl2br w:val="nil"/>
              <w:tr2bl w:val="nil"/>
            </w:tcBorders>
            <w:shd w:val="clear" w:color="auto" w:fill="auto"/>
            <w:vAlign w:val="center"/>
          </w:tcPr>
          <w:p w14:paraId="28B5E48B">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503.2</w:t>
            </w:r>
          </w:p>
        </w:tc>
        <w:tc>
          <w:tcPr>
            <w:tcW w:w="548" w:type="pct"/>
            <w:tcBorders>
              <w:tl2br w:val="nil"/>
              <w:tr2bl w:val="nil"/>
            </w:tcBorders>
            <w:shd w:val="clear" w:color="auto" w:fill="auto"/>
            <w:vAlign w:val="center"/>
          </w:tcPr>
          <w:p w14:paraId="018108BA">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13.03%</w:t>
            </w:r>
          </w:p>
        </w:tc>
      </w:tr>
      <w:tr w14:paraId="4BF219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pct"/>
            <w:vMerge w:val="restart"/>
            <w:tcBorders>
              <w:tl2br w:val="nil"/>
              <w:tr2bl w:val="nil"/>
            </w:tcBorders>
            <w:shd w:val="clear" w:color="auto" w:fill="auto"/>
            <w:vAlign w:val="center"/>
          </w:tcPr>
          <w:p w14:paraId="6FAAD022">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一般游憩区</w:t>
            </w:r>
          </w:p>
        </w:tc>
        <w:tc>
          <w:tcPr>
            <w:tcW w:w="1488" w:type="pct"/>
            <w:tcBorders>
              <w:tl2br w:val="nil"/>
              <w:tr2bl w:val="nil"/>
            </w:tcBorders>
            <w:shd w:val="clear" w:color="auto" w:fill="auto"/>
            <w:vAlign w:val="center"/>
          </w:tcPr>
          <w:p w14:paraId="0BFCA850">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七女峰景区</w:t>
            </w:r>
          </w:p>
        </w:tc>
        <w:tc>
          <w:tcPr>
            <w:tcW w:w="900" w:type="pct"/>
            <w:tcBorders>
              <w:tl2br w:val="nil"/>
              <w:tr2bl w:val="nil"/>
            </w:tcBorders>
            <w:shd w:val="clear" w:color="auto" w:fill="auto"/>
            <w:vAlign w:val="center"/>
          </w:tcPr>
          <w:p w14:paraId="17124663">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650.7</w:t>
            </w:r>
          </w:p>
        </w:tc>
        <w:tc>
          <w:tcPr>
            <w:tcW w:w="884" w:type="pct"/>
            <w:vMerge w:val="restart"/>
            <w:tcBorders>
              <w:tl2br w:val="nil"/>
              <w:tr2bl w:val="nil"/>
            </w:tcBorders>
            <w:shd w:val="clear" w:color="auto" w:fill="auto"/>
            <w:vAlign w:val="center"/>
          </w:tcPr>
          <w:p w14:paraId="0E623576">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2381.77</w:t>
            </w:r>
          </w:p>
        </w:tc>
        <w:tc>
          <w:tcPr>
            <w:tcW w:w="548" w:type="pct"/>
            <w:vMerge w:val="restart"/>
            <w:tcBorders>
              <w:tl2br w:val="nil"/>
              <w:tr2bl w:val="nil"/>
            </w:tcBorders>
            <w:shd w:val="clear" w:color="auto" w:fill="auto"/>
            <w:vAlign w:val="center"/>
          </w:tcPr>
          <w:p w14:paraId="77E6D36D">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61.69%</w:t>
            </w:r>
          </w:p>
        </w:tc>
      </w:tr>
      <w:tr w14:paraId="780F40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pct"/>
            <w:vMerge w:val="continue"/>
            <w:tcBorders>
              <w:tl2br w:val="nil"/>
              <w:tr2bl w:val="nil"/>
            </w:tcBorders>
            <w:vAlign w:val="center"/>
          </w:tcPr>
          <w:p w14:paraId="6EEFE46B">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p>
        </w:tc>
        <w:tc>
          <w:tcPr>
            <w:tcW w:w="1488" w:type="pct"/>
            <w:tcBorders>
              <w:tl2br w:val="nil"/>
              <w:tr2bl w:val="nil"/>
            </w:tcBorders>
            <w:shd w:val="clear" w:color="auto" w:fill="auto"/>
            <w:vAlign w:val="center"/>
          </w:tcPr>
          <w:p w14:paraId="584D6F36">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东山湖景区</w:t>
            </w:r>
          </w:p>
        </w:tc>
        <w:tc>
          <w:tcPr>
            <w:tcW w:w="900" w:type="pct"/>
            <w:tcBorders>
              <w:tl2br w:val="nil"/>
              <w:tr2bl w:val="nil"/>
            </w:tcBorders>
            <w:shd w:val="clear" w:color="auto" w:fill="auto"/>
            <w:vAlign w:val="center"/>
          </w:tcPr>
          <w:p w14:paraId="1FBE884B">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1731.07</w:t>
            </w:r>
          </w:p>
        </w:tc>
        <w:tc>
          <w:tcPr>
            <w:tcW w:w="884" w:type="pct"/>
            <w:vMerge w:val="continue"/>
            <w:tcBorders>
              <w:tl2br w:val="nil"/>
              <w:tr2bl w:val="nil"/>
            </w:tcBorders>
            <w:vAlign w:val="center"/>
          </w:tcPr>
          <w:p w14:paraId="09381630">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p>
        </w:tc>
        <w:tc>
          <w:tcPr>
            <w:tcW w:w="548" w:type="pct"/>
            <w:vMerge w:val="continue"/>
            <w:tcBorders>
              <w:tl2br w:val="nil"/>
              <w:tr2bl w:val="nil"/>
            </w:tcBorders>
            <w:vAlign w:val="center"/>
          </w:tcPr>
          <w:p w14:paraId="677D4868">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p>
        </w:tc>
      </w:tr>
      <w:tr w14:paraId="01E0CF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pct"/>
            <w:vMerge w:val="restart"/>
            <w:tcBorders>
              <w:tl2br w:val="nil"/>
              <w:tr2bl w:val="nil"/>
            </w:tcBorders>
            <w:shd w:val="clear" w:color="auto" w:fill="auto"/>
            <w:vAlign w:val="center"/>
          </w:tcPr>
          <w:p w14:paraId="73F7C53B">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管理服务区</w:t>
            </w:r>
          </w:p>
        </w:tc>
        <w:tc>
          <w:tcPr>
            <w:tcW w:w="1488" w:type="pct"/>
            <w:tcBorders>
              <w:tl2br w:val="nil"/>
              <w:tr2bl w:val="nil"/>
            </w:tcBorders>
            <w:shd w:val="clear" w:color="auto" w:fill="auto"/>
            <w:vAlign w:val="center"/>
          </w:tcPr>
          <w:p w14:paraId="2144E4A4">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农林村管理服务区</w:t>
            </w:r>
          </w:p>
        </w:tc>
        <w:tc>
          <w:tcPr>
            <w:tcW w:w="900" w:type="pct"/>
            <w:tcBorders>
              <w:tl2br w:val="nil"/>
              <w:tr2bl w:val="nil"/>
            </w:tcBorders>
            <w:shd w:val="clear" w:color="auto" w:fill="auto"/>
            <w:vAlign w:val="center"/>
          </w:tcPr>
          <w:p w14:paraId="02421810">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28.6</w:t>
            </w:r>
          </w:p>
        </w:tc>
        <w:tc>
          <w:tcPr>
            <w:tcW w:w="884" w:type="pct"/>
            <w:vMerge w:val="restart"/>
            <w:tcBorders>
              <w:tl2br w:val="nil"/>
              <w:tr2bl w:val="nil"/>
            </w:tcBorders>
            <w:shd w:val="clear" w:color="auto" w:fill="auto"/>
            <w:vAlign w:val="center"/>
          </w:tcPr>
          <w:p w14:paraId="6777E774">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114.5</w:t>
            </w:r>
          </w:p>
        </w:tc>
        <w:tc>
          <w:tcPr>
            <w:tcW w:w="548" w:type="pct"/>
            <w:vMerge w:val="restart"/>
            <w:tcBorders>
              <w:tl2br w:val="nil"/>
              <w:tr2bl w:val="nil"/>
            </w:tcBorders>
            <w:shd w:val="clear" w:color="auto" w:fill="auto"/>
            <w:vAlign w:val="center"/>
          </w:tcPr>
          <w:p w14:paraId="6C07E58A">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2.97%</w:t>
            </w:r>
          </w:p>
        </w:tc>
      </w:tr>
      <w:tr w14:paraId="08374C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pct"/>
            <w:vMerge w:val="continue"/>
            <w:tcBorders>
              <w:tl2br w:val="nil"/>
              <w:tr2bl w:val="nil"/>
            </w:tcBorders>
            <w:vAlign w:val="center"/>
          </w:tcPr>
          <w:p w14:paraId="4B1ACB02">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p>
        </w:tc>
        <w:tc>
          <w:tcPr>
            <w:tcW w:w="1488" w:type="pct"/>
            <w:tcBorders>
              <w:tl2br w:val="nil"/>
              <w:tr2bl w:val="nil"/>
            </w:tcBorders>
            <w:shd w:val="clear" w:color="auto" w:fill="auto"/>
            <w:vAlign w:val="center"/>
          </w:tcPr>
          <w:p w14:paraId="5F17C1D2">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仙鹅寺管理服务区</w:t>
            </w:r>
          </w:p>
        </w:tc>
        <w:tc>
          <w:tcPr>
            <w:tcW w:w="900" w:type="pct"/>
            <w:tcBorders>
              <w:tl2br w:val="nil"/>
              <w:tr2bl w:val="nil"/>
            </w:tcBorders>
            <w:shd w:val="clear" w:color="auto" w:fill="auto"/>
            <w:vAlign w:val="center"/>
          </w:tcPr>
          <w:p w14:paraId="083AF302">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13.9</w:t>
            </w:r>
          </w:p>
        </w:tc>
        <w:tc>
          <w:tcPr>
            <w:tcW w:w="884" w:type="pct"/>
            <w:vMerge w:val="continue"/>
            <w:tcBorders>
              <w:tl2br w:val="nil"/>
              <w:tr2bl w:val="nil"/>
            </w:tcBorders>
            <w:vAlign w:val="center"/>
          </w:tcPr>
          <w:p w14:paraId="4896D898">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p>
        </w:tc>
        <w:tc>
          <w:tcPr>
            <w:tcW w:w="548" w:type="pct"/>
            <w:vMerge w:val="continue"/>
            <w:tcBorders>
              <w:tl2br w:val="nil"/>
              <w:tr2bl w:val="nil"/>
            </w:tcBorders>
            <w:vAlign w:val="center"/>
          </w:tcPr>
          <w:p w14:paraId="616B8CE4">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p>
        </w:tc>
      </w:tr>
      <w:tr w14:paraId="572894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pct"/>
            <w:vMerge w:val="continue"/>
            <w:tcBorders>
              <w:tl2br w:val="nil"/>
              <w:tr2bl w:val="nil"/>
            </w:tcBorders>
            <w:vAlign w:val="center"/>
          </w:tcPr>
          <w:p w14:paraId="1FB4AB6E">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p>
        </w:tc>
        <w:tc>
          <w:tcPr>
            <w:tcW w:w="1488" w:type="pct"/>
            <w:tcBorders>
              <w:tl2br w:val="nil"/>
              <w:tr2bl w:val="nil"/>
            </w:tcBorders>
            <w:shd w:val="clear" w:color="auto" w:fill="auto"/>
            <w:vAlign w:val="center"/>
          </w:tcPr>
          <w:p w14:paraId="713E862E">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桃花山管理服务区</w:t>
            </w:r>
          </w:p>
        </w:tc>
        <w:tc>
          <w:tcPr>
            <w:tcW w:w="900" w:type="pct"/>
            <w:tcBorders>
              <w:tl2br w:val="nil"/>
              <w:tr2bl w:val="nil"/>
            </w:tcBorders>
            <w:shd w:val="clear" w:color="auto" w:fill="auto"/>
            <w:vAlign w:val="center"/>
          </w:tcPr>
          <w:p w14:paraId="51EAB863">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72</w:t>
            </w:r>
          </w:p>
        </w:tc>
        <w:tc>
          <w:tcPr>
            <w:tcW w:w="884" w:type="pct"/>
            <w:vMerge w:val="continue"/>
            <w:tcBorders>
              <w:tl2br w:val="nil"/>
              <w:tr2bl w:val="nil"/>
            </w:tcBorders>
            <w:vAlign w:val="center"/>
          </w:tcPr>
          <w:p w14:paraId="06D987AC">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p>
        </w:tc>
        <w:tc>
          <w:tcPr>
            <w:tcW w:w="548" w:type="pct"/>
            <w:vMerge w:val="continue"/>
            <w:tcBorders>
              <w:tl2br w:val="nil"/>
              <w:tr2bl w:val="nil"/>
            </w:tcBorders>
            <w:vAlign w:val="center"/>
          </w:tcPr>
          <w:p w14:paraId="7106D8F3">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kern w:val="0"/>
                <w:sz w:val="21"/>
                <w:szCs w:val="21"/>
              </w:rPr>
            </w:pPr>
          </w:p>
        </w:tc>
      </w:tr>
      <w:tr w14:paraId="388A7D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8" w:type="pct"/>
            <w:tcBorders>
              <w:tl2br w:val="nil"/>
              <w:tr2bl w:val="nil"/>
            </w:tcBorders>
            <w:shd w:val="clear" w:color="auto" w:fill="auto"/>
            <w:vAlign w:val="center"/>
          </w:tcPr>
          <w:p w14:paraId="3E9750B3">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总计</w:t>
            </w:r>
          </w:p>
        </w:tc>
        <w:tc>
          <w:tcPr>
            <w:tcW w:w="3273" w:type="pct"/>
            <w:gridSpan w:val="3"/>
            <w:tcBorders>
              <w:tl2br w:val="nil"/>
              <w:tr2bl w:val="nil"/>
            </w:tcBorders>
            <w:shd w:val="clear" w:color="auto" w:fill="auto"/>
            <w:vAlign w:val="center"/>
          </w:tcPr>
          <w:p w14:paraId="25AF482E">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3861</w:t>
            </w:r>
          </w:p>
        </w:tc>
        <w:tc>
          <w:tcPr>
            <w:tcW w:w="548" w:type="pct"/>
            <w:tcBorders>
              <w:tl2br w:val="nil"/>
              <w:tr2bl w:val="nil"/>
            </w:tcBorders>
            <w:shd w:val="clear" w:color="auto" w:fill="auto"/>
            <w:vAlign w:val="center"/>
          </w:tcPr>
          <w:p w14:paraId="5396BAA2">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100%</w:t>
            </w:r>
          </w:p>
        </w:tc>
      </w:tr>
    </w:tbl>
    <w:p w14:paraId="083FC2A4">
      <w:pPr>
        <w:spacing w:line="360" w:lineRule="auto"/>
        <w:ind w:firstLine="482" w:firstLineChars="200"/>
        <w:rPr>
          <w:rFonts w:hint="default" w:ascii="Times New Roman" w:hAnsi="Times New Roman" w:eastAsia="宋体" w:cs="Times New Roman"/>
          <w:b/>
          <w:sz w:val="24"/>
          <w:szCs w:val="24"/>
        </w:rPr>
      </w:pPr>
    </w:p>
    <w:p w14:paraId="0F81D4BC">
      <w:pPr>
        <w:bidi w:val="0"/>
        <w:spacing w:line="360" w:lineRule="auto"/>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1）生态保育区</w:t>
      </w:r>
    </w:p>
    <w:p w14:paraId="4AEF19DE">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生态保育区是以生态保护修复为主，基本不进行开发建设、不对游客开放的区域。公园的生态保育区位于园区内中部区域，东西以森林公园红线为界，北边为东山水库及原桃花山镇政府以南，南边以华一水库及农林村位置为界，保育区面积为861.53公顷，占总体规划面积的22.31%。区内采取以下保护措施：</w:t>
      </w:r>
    </w:p>
    <w:p w14:paraId="7FD5DD54">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微软雅黑" w:cs="Times New Roman"/>
          <w:sz w:val="24"/>
          <w:szCs w:val="24"/>
        </w:rPr>
        <w:t>①</w:t>
      </w:r>
      <w:r>
        <w:rPr>
          <w:rFonts w:hint="default" w:ascii="Times New Roman" w:hAnsi="Times New Roman" w:eastAsia="宋体" w:cs="Times New Roman"/>
          <w:sz w:val="24"/>
          <w:szCs w:val="24"/>
        </w:rPr>
        <w:t>.以森林抚育和管护为主，严格控制人类活动的干扰，保护良好的自然生态系统、野生物种生境和野生动物栖息地，维护区域生态系统的自然演替。</w:t>
      </w:r>
    </w:p>
    <w:p w14:paraId="6C39B7CC">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微软雅黑" w:cs="Times New Roman"/>
          <w:sz w:val="24"/>
          <w:szCs w:val="24"/>
        </w:rPr>
        <w:t>②</w:t>
      </w:r>
      <w:r>
        <w:rPr>
          <w:rFonts w:hint="default" w:ascii="Times New Roman" w:hAnsi="Times New Roman" w:eastAsia="宋体" w:cs="Times New Roman"/>
          <w:sz w:val="24"/>
          <w:szCs w:val="24"/>
        </w:rPr>
        <w:t>核心部分封山育林，禁止人类活动。</w:t>
      </w:r>
    </w:p>
    <w:p w14:paraId="5924C8F6">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微软雅黑" w:cs="Times New Roman"/>
          <w:sz w:val="24"/>
          <w:szCs w:val="24"/>
        </w:rPr>
        <w:t>③</w:t>
      </w:r>
      <w:r>
        <w:rPr>
          <w:rFonts w:hint="default" w:ascii="Times New Roman" w:hAnsi="Times New Roman" w:eastAsia="宋体" w:cs="Times New Roman"/>
          <w:sz w:val="24"/>
          <w:szCs w:val="24"/>
        </w:rPr>
        <w:t>对道路及其他基础设施的建设进行严格控制，主要考虑森林防火和管护道路，不另辟专门的游览道路。设置的生态监测站、防火站等都必须是严格意义上的生态建筑类型。</w:t>
      </w:r>
    </w:p>
    <w:p w14:paraId="0944489F">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微软雅黑" w:cs="Times New Roman"/>
          <w:sz w:val="24"/>
          <w:szCs w:val="24"/>
        </w:rPr>
        <w:t>④</w:t>
      </w:r>
      <w:r>
        <w:rPr>
          <w:rFonts w:hint="default" w:ascii="Times New Roman" w:hAnsi="Times New Roman" w:eastAsia="宋体" w:cs="Times New Roman"/>
          <w:sz w:val="24"/>
          <w:szCs w:val="24"/>
        </w:rPr>
        <w:t>对科考活动路线和区域进行有限制性的规划和安排，禁止对生态产生破坏的人类活动。</w:t>
      </w:r>
    </w:p>
    <w:p w14:paraId="2C317F9C">
      <w:pPr>
        <w:bidi w:val="0"/>
        <w:spacing w:line="360" w:lineRule="auto"/>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2）核心景观区</w:t>
      </w:r>
    </w:p>
    <w:p w14:paraId="15BCC11E">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核心景观区是指拥有特别珍贵的森林风景资源，是严格保护区域，应以森林抚育和管护为主，合理开展森林景观游览、科普教育、户外运动等游览活动。公园核心区位于森林公园北部，北、东、西均以森林公园红线为界，南边包括王姓庄、涂家屋场以北范围。核心景观区面积503.2公顷，占公园总面积的13.03%。除必要的安全、环卫、景区管理站等设施外，严禁在此区域内规划建设住宿、餐饮、娱乐、购物等设施。</w:t>
      </w:r>
    </w:p>
    <w:p w14:paraId="194E6332">
      <w:pPr>
        <w:bidi w:val="0"/>
        <w:spacing w:line="360" w:lineRule="auto"/>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3）一般游憩区</w:t>
      </w:r>
    </w:p>
    <w:p w14:paraId="1BAE1456">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一般游憩区是指森林风景资源相对平常、且方便开展旅游活动的区域。森林公园一般游憩区分为两个地块，一是东山水库及周边区域，二是华一水库及周边区域。一般游憩区总面积</w:t>
      </w:r>
      <w:r>
        <w:rPr>
          <w:rFonts w:hint="default" w:ascii="Times New Roman" w:hAnsi="Times New Roman" w:eastAsia="宋体" w:cs="Times New Roman"/>
          <w:color w:val="000000"/>
          <w:kern w:val="0"/>
          <w:sz w:val="24"/>
          <w:szCs w:val="21"/>
        </w:rPr>
        <w:t>2381.77</w:t>
      </w:r>
      <w:r>
        <w:rPr>
          <w:rFonts w:hint="default" w:ascii="Times New Roman" w:hAnsi="Times New Roman" w:eastAsia="宋体" w:cs="Times New Roman"/>
          <w:sz w:val="24"/>
          <w:szCs w:val="24"/>
        </w:rPr>
        <w:t>公顷，占总面积的61.69%。规划少量旅游公路、停车场、宣教设施、娱乐设施、景区管护站及小规模的餐饮点、购物亭等。该区块还要把旅游与景观生态相结合，促进整体生态上的平衡，环境达到零污染。</w:t>
      </w:r>
    </w:p>
    <w:p w14:paraId="37B81411">
      <w:pPr>
        <w:bidi w:val="0"/>
        <w:spacing w:line="360" w:lineRule="auto"/>
        <w:ind w:firstLine="482" w:firstLineChars="20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4）管理服务区</w:t>
      </w:r>
    </w:p>
    <w:p w14:paraId="5BDF5AFB">
      <w:pPr>
        <w:widowControl w:val="0"/>
        <w:spacing w:line="360" w:lineRule="auto"/>
        <w:ind w:firstLine="480" w:firstLineChars="200"/>
        <w:jc w:val="both"/>
        <w:rPr>
          <w:rFonts w:hint="default" w:ascii="Times New Roman" w:hAnsi="Times New Roman" w:eastAsia="宋体" w:cs="Times New Roman"/>
          <w:caps w:val="0"/>
          <w:smallCaps w:val="0"/>
          <w:snapToGrid/>
          <w:color w:val="auto"/>
          <w:spacing w:val="0"/>
          <w:kern w:val="0"/>
          <w:sz w:val="24"/>
          <w:szCs w:val="32"/>
          <w:highlight w:val="none"/>
          <w:u w:val="none"/>
          <w:lang w:val="en-US" w:eastAsia="zh-CN" w:bidi="ar-SA"/>
        </w:rPr>
      </w:pPr>
      <w:r>
        <w:rPr>
          <w:rFonts w:hint="default" w:ascii="Times New Roman" w:hAnsi="Times New Roman" w:eastAsia="宋体" w:cs="Times New Roman"/>
          <w:sz w:val="24"/>
          <w:szCs w:val="24"/>
        </w:rPr>
        <w:t>管理服务区是指为满足森林公园管理和旅游接待服务需要而划定的区域，公园范围内划定三个管理服务区：一是桃花山管理服务区，范围包括原桃花山乡政府及周边区域，</w:t>
      </w:r>
      <w:r>
        <w:rPr>
          <w:rFonts w:hint="default" w:ascii="Times New Roman" w:hAnsi="Times New Roman" w:eastAsia="宋体" w:cs="Times New Roman"/>
          <w:color w:val="000000"/>
          <w:sz w:val="24"/>
          <w:szCs w:val="24"/>
        </w:rPr>
        <w:t>面积</w:t>
      </w:r>
      <w:r>
        <w:rPr>
          <w:rFonts w:hint="default" w:ascii="Times New Roman" w:hAnsi="Times New Roman" w:eastAsia="宋体" w:cs="Times New Roman"/>
          <w:color w:val="000000"/>
          <w:kern w:val="0"/>
          <w:sz w:val="24"/>
          <w:szCs w:val="21"/>
        </w:rPr>
        <w:t>72公顷</w:t>
      </w:r>
      <w:r>
        <w:rPr>
          <w:rFonts w:hint="default" w:ascii="Times New Roman" w:hAnsi="Times New Roman" w:eastAsia="宋体" w:cs="Times New Roman"/>
          <w:color w:val="000000"/>
          <w:sz w:val="24"/>
          <w:szCs w:val="24"/>
        </w:rPr>
        <w:t>；二是农林村管理服务区，包括华一水库东部现状居民点（农林村村部及其周边居民点），</w:t>
      </w:r>
      <w:r>
        <w:rPr>
          <w:rFonts w:hint="default" w:ascii="Times New Roman" w:hAnsi="Times New Roman" w:eastAsia="宋体" w:cs="Times New Roman"/>
          <w:sz w:val="24"/>
          <w:szCs w:val="24"/>
        </w:rPr>
        <w:t>面积</w:t>
      </w:r>
      <w:r>
        <w:rPr>
          <w:rFonts w:hint="default" w:ascii="Times New Roman" w:hAnsi="Times New Roman" w:eastAsia="宋体" w:cs="Times New Roman"/>
          <w:color w:val="000000"/>
          <w:kern w:val="0"/>
          <w:sz w:val="24"/>
          <w:szCs w:val="21"/>
        </w:rPr>
        <w:t>28.6公顷</w:t>
      </w:r>
      <w:r>
        <w:rPr>
          <w:rFonts w:hint="default" w:ascii="Times New Roman" w:hAnsi="Times New Roman" w:eastAsia="宋体" w:cs="Times New Roman"/>
          <w:sz w:val="24"/>
          <w:szCs w:val="24"/>
        </w:rPr>
        <w:t>；三是仙鹅寺管理服务区，范围包括东山水库北边的现状居民点和仙鹅寺周边区域，面积</w:t>
      </w:r>
      <w:r>
        <w:rPr>
          <w:rFonts w:hint="default" w:ascii="Times New Roman" w:hAnsi="Times New Roman" w:eastAsia="宋体" w:cs="Times New Roman"/>
          <w:color w:val="000000"/>
          <w:kern w:val="0"/>
          <w:sz w:val="24"/>
          <w:szCs w:val="21"/>
        </w:rPr>
        <w:t>13.9公顷</w:t>
      </w:r>
      <w:r>
        <w:rPr>
          <w:rFonts w:hint="default" w:ascii="Times New Roman" w:hAnsi="Times New Roman" w:eastAsia="宋体" w:cs="Times New Roman"/>
          <w:sz w:val="24"/>
          <w:szCs w:val="24"/>
        </w:rPr>
        <w:t>。管理服务区面积114.5公顷，占公园总面积的2.97%。区内规划游客中心、中型停车场、森林康养基地、生态餐厅等接待服务设施，以及必要的管理和职工生活用房。该区域所有排放都必须符合森林公园的规范要求。</w:t>
      </w:r>
    </w:p>
    <w:p w14:paraId="0612CE2C">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动植物现状</w:t>
      </w:r>
    </w:p>
    <w:p w14:paraId="3917E3D7">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sz w:val="24"/>
          <w:szCs w:val="24"/>
        </w:rPr>
        <w:t>由于森林公园垦殖历史久远，原生性植被常绿阔叶林已基本被破坏殆尽，大部分地区被次生性的马尾松林、毛竹林或落叶阔叶林所替代，常绿阔叶林只在少数山谷沟底的局部地点尚有存留。森林公园内共有种子植物700多种，计127科402属，其中木本植物323种，隶属84科193属。按属的分布区类型统计，世界性分布属为7属，热带性分布属77属，占总属数的39.89%；温带性分布属101属，占总属数的52.33%；中国特有分布属为8属，占总属数的4.15%。这一温带性分布属多于热带性分布属的情况说明桃花山植被处于中亚热带向北亚热带过渡的地带，可能更接近于亚热带植被的性质。</w:t>
      </w:r>
    </w:p>
    <w:p w14:paraId="611B6731">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sz w:val="24"/>
          <w:szCs w:val="24"/>
        </w:rPr>
        <w:t>森林公园内共有野生动物70科191种，包括兽类24种，鸟类106种，两栖爬行类41种，鱼类20种。其中国家II级保护有20种，省重点保护有56种。在106种鸟类中，留鸟有74种(占70%)。两栖爬行类虽然种类不少，但资源量低。鱼类资源量同样低，也应注意不能过度利用。</w:t>
      </w:r>
    </w:p>
    <w:p w14:paraId="798C5644">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与项目的位置关系</w:t>
      </w:r>
    </w:p>
    <w:p w14:paraId="679555A0">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根据叠图分析，本项目位于森林公园的东山湖景区内。项目与保护区的位置关系具体见附图。</w:t>
      </w:r>
    </w:p>
    <w:p w14:paraId="2E91EB92">
      <w:pPr>
        <w:pStyle w:val="5"/>
        <w:bidi w:val="0"/>
        <w:rPr>
          <w:rFonts w:hint="eastAsia"/>
          <w:lang w:val="en-US" w:eastAsia="zh-CN"/>
        </w:rPr>
      </w:pPr>
      <w:r>
        <w:rPr>
          <w:rFonts w:hint="eastAsia"/>
          <w:lang w:val="en-US" w:eastAsia="zh-CN"/>
        </w:rPr>
        <w:t xml:space="preserve"> 生态保护红线</w:t>
      </w:r>
    </w:p>
    <w:p w14:paraId="259CDB9E">
      <w:pPr>
        <w:spacing w:line="360" w:lineRule="auto"/>
        <w:ind w:firstLine="480" w:firstLineChars="200"/>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东山水库整体位于桃花山省级森林公园内，经国土部门查询，工程压覆生态保护红线9.473hm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lang w:val="en-US" w:eastAsia="zh-CN"/>
        </w:rPr>
        <w:t xml:space="preserve">。本项目与生态保护红线的位置关系具体见附图。 </w:t>
      </w:r>
    </w:p>
    <w:p w14:paraId="0DB0E268">
      <w:pPr>
        <w:pStyle w:val="19"/>
        <w:keepNext w:val="0"/>
        <w:keepLines w:val="0"/>
        <w:pageBreakBefore w:val="0"/>
        <w:widowControl w:val="0"/>
        <w:shd w:val="clear" w:color="auto" w:fill="FFFFFF"/>
        <w:kinsoku w:val="0"/>
        <w:wordWrap w:val="0"/>
        <w:overflowPunct/>
        <w:topLinePunct/>
        <w:autoSpaceDE/>
        <w:autoSpaceDN/>
        <w:bidi w:val="0"/>
        <w:adjustRightInd/>
        <w:snapToGrid/>
        <w:spacing w:before="0" w:after="0" w:line="360" w:lineRule="auto"/>
        <w:ind w:left="0" w:leftChars="0" w:right="0" w:rightChars="0" w:firstLine="440" w:firstLineChars="0"/>
        <w:jc w:val="both"/>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bidi="ar-SA"/>
        </w:rPr>
      </w:pPr>
    </w:p>
    <w:p w14:paraId="16E3EFAD">
      <w:pPr>
        <w:pStyle w:val="19"/>
        <w:keepNext w:val="0"/>
        <w:keepLines w:val="0"/>
        <w:pageBreakBefore w:val="0"/>
        <w:widowControl w:val="0"/>
        <w:shd w:val="clear" w:color="auto" w:fill="FFFFFF"/>
        <w:kinsoku w:val="0"/>
        <w:wordWrap w:val="0"/>
        <w:overflowPunct/>
        <w:topLinePunct/>
        <w:autoSpaceDE/>
        <w:autoSpaceDN/>
        <w:bidi w:val="0"/>
        <w:adjustRightInd/>
        <w:snapToGrid/>
        <w:spacing w:before="0" w:after="0" w:line="360" w:lineRule="auto"/>
        <w:ind w:left="0" w:leftChars="0" w:right="0" w:rightChars="0" w:firstLine="440" w:firstLineChars="0"/>
        <w:jc w:val="both"/>
        <w:textAlignment w:val="auto"/>
        <w:rPr>
          <w:rFonts w:hint="default" w:ascii="Times New Roman" w:hAnsi="Times New Roman" w:cs="Times New Roman"/>
          <w:color w:val="auto"/>
          <w:spacing w:val="0"/>
          <w:w w:val="100"/>
          <w:position w:val="0"/>
          <w:sz w:val="21"/>
          <w:u w:val="none" w:color="auto"/>
        </w:rPr>
        <w:sectPr>
          <w:headerReference r:id="rId16" w:type="default"/>
          <w:pgSz w:w="11910" w:h="16840"/>
          <w:pgMar w:top="1440" w:right="1803" w:bottom="1440" w:left="1803" w:header="892" w:footer="876" w:gutter="0"/>
          <w:pgBorders>
            <w:top w:val="none" w:sz="0" w:space="0"/>
            <w:left w:val="none" w:sz="0" w:space="0"/>
            <w:bottom w:val="none" w:sz="0" w:space="0"/>
            <w:right w:val="none" w:sz="0" w:space="0"/>
          </w:pgBorders>
          <w:pgNumType w:fmt="decimal"/>
          <w:cols w:space="720" w:num="1"/>
        </w:sectPr>
      </w:pPr>
      <w:bookmarkStart w:id="259" w:name="4.9.1分散式畜禽养殖污染"/>
      <w:bookmarkEnd w:id="259"/>
      <w:bookmarkStart w:id="260" w:name="4.9.1分散式畜禽养殖污染"/>
      <w:bookmarkEnd w:id="260"/>
    </w:p>
    <w:p w14:paraId="0A9675C5">
      <w:pPr>
        <w:pStyle w:val="2"/>
        <w:bidi w:val="0"/>
        <w:rPr>
          <w:rFonts w:hint="default" w:ascii="Times New Roman" w:hAnsi="Times New Roman" w:cs="Times New Roman"/>
        </w:rPr>
      </w:pPr>
      <w:bookmarkStart w:id="261" w:name="_Toc29796"/>
      <w:r>
        <w:rPr>
          <w:rFonts w:hint="default" w:ascii="Times New Roman" w:hAnsi="Times New Roman" w:cs="Times New Roman"/>
        </w:rPr>
        <w:t>环境影响预测与评价</w:t>
      </w:r>
      <w:bookmarkEnd w:id="261"/>
    </w:p>
    <w:p w14:paraId="5932D6FE">
      <w:pPr>
        <w:pStyle w:val="3"/>
        <w:bidi w:val="0"/>
        <w:rPr>
          <w:rFonts w:hint="default" w:ascii="Times New Roman" w:hAnsi="Times New Roman" w:eastAsia="宋体" w:cs="Times New Roman"/>
          <w:b/>
          <w:caps w:val="0"/>
          <w:smallCaps w:val="0"/>
          <w:color w:val="auto"/>
          <w:spacing w:val="0"/>
          <w:w w:val="100"/>
          <w:position w:val="0"/>
          <w:sz w:val="28"/>
          <w:szCs w:val="28"/>
          <w:u w:val="none" w:color="auto"/>
          <w:lang w:val="en-US" w:eastAsia="zh-CN"/>
        </w:rPr>
      </w:pPr>
      <w:bookmarkStart w:id="262" w:name="_Toc2259"/>
      <w:r>
        <w:rPr>
          <w:rFonts w:hint="default" w:ascii="Times New Roman" w:hAnsi="Times New Roman" w:eastAsia="宋体" w:cs="Times New Roman"/>
          <w:b/>
          <w:caps w:val="0"/>
          <w:smallCaps w:val="0"/>
          <w:color w:val="auto"/>
          <w:spacing w:val="0"/>
          <w:w w:val="100"/>
          <w:position w:val="0"/>
          <w:sz w:val="30"/>
          <w:szCs w:val="30"/>
          <w:u w:val="none" w:color="auto"/>
          <w:lang w:eastAsia="zh-CN"/>
        </w:rPr>
        <w:t>现有</w:t>
      </w:r>
      <w:r>
        <w:rPr>
          <w:rFonts w:hint="default" w:ascii="Times New Roman" w:hAnsi="Times New Roman" w:eastAsia="宋体" w:cs="Times New Roman"/>
          <w:b/>
          <w:caps w:val="0"/>
          <w:smallCaps w:val="0"/>
          <w:color w:val="auto"/>
          <w:spacing w:val="0"/>
          <w:w w:val="100"/>
          <w:position w:val="0"/>
          <w:sz w:val="28"/>
          <w:szCs w:val="28"/>
          <w:u w:val="none" w:color="auto"/>
          <w:lang w:val="en-US" w:eastAsia="zh-CN"/>
        </w:rPr>
        <w:t>工程环境影响回顾性评价</w:t>
      </w:r>
      <w:bookmarkEnd w:id="262"/>
    </w:p>
    <w:p w14:paraId="51684AE8">
      <w:pPr>
        <w:numPr>
          <w:ilvl w:val="0"/>
          <w:numId w:val="0"/>
        </w:numPr>
        <w:spacing w:line="360" w:lineRule="auto"/>
        <w:ind w:firstLine="480" w:firstLineChars="200"/>
        <w:rPr>
          <w:rFonts w:hint="default" w:ascii="Times New Roman" w:hAnsi="Times New Roman" w:eastAsia="宋体" w:cs="Times New Roman"/>
          <w:color w:val="auto"/>
          <w:spacing w:val="0"/>
          <w:w w:val="100"/>
          <w:position w:val="0"/>
          <w:sz w:val="24"/>
          <w:szCs w:val="24"/>
          <w:highlight w:val="none"/>
          <w:lang w:val="en-US" w:eastAsia="zh-CN"/>
        </w:rPr>
      </w:pPr>
      <w:bookmarkStart w:id="263" w:name="bookmark201"/>
      <w:bookmarkStart w:id="264" w:name="bookmark200"/>
      <w:r>
        <w:rPr>
          <w:rFonts w:hint="default" w:ascii="Times New Roman" w:hAnsi="Times New Roman" w:eastAsia="宋体" w:cs="Times New Roman"/>
          <w:color w:val="auto"/>
          <w:spacing w:val="0"/>
          <w:w w:val="100"/>
          <w:position w:val="0"/>
          <w:sz w:val="24"/>
          <w:szCs w:val="24"/>
          <w:highlight w:val="none"/>
          <w:lang w:val="en-US" w:eastAsia="zh-CN"/>
        </w:rPr>
        <w:t>东山水库大坝位于华容县东山镇仙鹅寺村，枢纽座落在大荆湖水系主支流一白马港(河)的中上游，水库距华容县城25km，距S202省道3.5km。坝址地理位置坐标：东经112°44'03”，北纬29°37'03”。东山灌区设计灌溉面积3.1万亩，年供水量96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。东山水库是一座以灌溉为主，兼有防洪、供水等综合效益的水利工程。</w:t>
      </w:r>
    </w:p>
    <w:p w14:paraId="4B6075E1">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东山水库坝址控制集雨面积13.3km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，另有枯水期外引集雨面积1.19km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2</w:t>
      </w:r>
      <w:r>
        <w:rPr>
          <w:rFonts w:hint="default" w:ascii="Times New Roman" w:hAnsi="Times New Roman" w:eastAsia="宋体" w:cs="Times New Roman"/>
          <w:color w:val="auto"/>
          <w:spacing w:val="0"/>
          <w:w w:val="100"/>
          <w:position w:val="0"/>
          <w:sz w:val="24"/>
          <w:szCs w:val="24"/>
          <w:highlight w:val="none"/>
          <w:lang w:val="en-US" w:eastAsia="zh-CN"/>
        </w:rPr>
        <w:t>。正常蓄水位67.50m，正常库容960.60万m。校核洪水标准为1000年一遇，校核洪水位68.70m，相应库容1054.50万m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，死水位48.30m，相应库容92.00万m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。东山水库属中型水库，工程等别为III等，大坝、引水和汇洪建筑物等主要建筑物为3级建筑物，次要永久性建筑物为4级。</w:t>
      </w:r>
    </w:p>
    <w:p w14:paraId="129E3589">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eastAsia="zh-CN"/>
        </w:rPr>
        <w:t>枢纽工程由大坝、溢洪道、输水涵洞等永久性建筑物组成。大坝枢纽工程于1971年12月动工兴建，1974年冬枢纽工程基本竣工并蓄水运行。运行</w:t>
      </w:r>
      <w:r>
        <w:rPr>
          <w:rFonts w:hint="default" w:ascii="Times New Roman" w:hAnsi="Times New Roman" w:eastAsia="宋体" w:cs="Times New Roman"/>
          <w:color w:val="auto"/>
          <w:spacing w:val="0"/>
          <w:w w:val="100"/>
          <w:position w:val="0"/>
          <w:sz w:val="24"/>
          <w:szCs w:val="24"/>
          <w:u w:val="none" w:color="auto"/>
          <w:lang w:val="en-US" w:eastAsia="zh-CN"/>
        </w:rPr>
        <w:t>5</w:t>
      </w:r>
      <w:r>
        <w:rPr>
          <w:rFonts w:hint="default" w:ascii="Times New Roman" w:hAnsi="Times New Roman" w:eastAsia="宋体" w:cs="Times New Roman"/>
          <w:color w:val="auto"/>
          <w:spacing w:val="0"/>
          <w:w w:val="100"/>
          <w:position w:val="0"/>
          <w:sz w:val="24"/>
          <w:szCs w:val="24"/>
          <w:u w:val="none" w:color="auto"/>
          <w:lang w:eastAsia="zh-CN"/>
        </w:rPr>
        <w:t>0余年来，在灌溉农田、减免下游洪灾损失、向城镇供水(年供水96万m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3</w:t>
      </w:r>
      <w:r>
        <w:rPr>
          <w:rFonts w:hint="default" w:ascii="Times New Roman" w:hAnsi="Times New Roman" w:eastAsia="宋体" w:cs="Times New Roman"/>
          <w:color w:val="auto"/>
          <w:spacing w:val="0"/>
          <w:w w:val="100"/>
          <w:position w:val="0"/>
          <w:sz w:val="24"/>
          <w:szCs w:val="24"/>
          <w:u w:val="none" w:color="auto"/>
          <w:lang w:eastAsia="zh-CN"/>
        </w:rPr>
        <w:t>)等方面发挥了显著效益。</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p>
    <w:p w14:paraId="4684B49F">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水库建成蓄水运行后，在1982年对大坝进行整修，1997年3月在下游坝脚加修了长400m、宽30m的压浸平台。2009年11月东山水库大坝第一次除险加固工程开工，于2010年10月完工。</w:t>
      </w:r>
    </w:p>
    <w:p w14:paraId="74FF49CD">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2019年，东山水库饮用水水源保护区由</w:t>
      </w:r>
      <w:r>
        <w:rPr>
          <w:rFonts w:hint="default" w:ascii="Times New Roman" w:hAnsi="Times New Roman" w:eastAsia="宋体" w:cs="Times New Roman"/>
          <w:b w:val="0"/>
          <w:bCs w:val="0"/>
          <w:color w:val="auto"/>
          <w:spacing w:val="0"/>
          <w:w w:val="100"/>
          <w:position w:val="0"/>
          <w:sz w:val="24"/>
          <w:szCs w:val="24"/>
          <w:u w:val="none" w:color="auto"/>
          <w:lang w:val="en-US" w:eastAsia="zh-CN"/>
        </w:rPr>
        <w:t>《湖南省生态环境厅关于划定全省第三批141处乡镇级千吨万人饮用水水源保护区的复函》（湘环函【2019】241号）批准设立。</w:t>
      </w:r>
    </w:p>
    <w:p w14:paraId="4F33EBA2">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由于水库建设时间较早，当时未要求进行环境影响评价，也缺少建设时相关生态环境资料记录。经与业主单位了解，水库建成至今未收到环保相关问题的投诉举报。本次评价按照水库工程一般变化趋势和环境影响对东山水库现有工程环境影响进行简要分析。</w:t>
      </w:r>
    </w:p>
    <w:p w14:paraId="717B995D">
      <w:pPr>
        <w:pStyle w:val="4"/>
        <w:bidi w:val="0"/>
        <w:rPr>
          <w:rFonts w:hint="default" w:ascii="Times New Roman" w:hAnsi="Times New Roman" w:cs="Times New Roman"/>
        </w:rPr>
      </w:pPr>
      <w:bookmarkStart w:id="265" w:name="_Toc6962"/>
      <w:r>
        <w:rPr>
          <w:rFonts w:hint="default" w:ascii="Times New Roman" w:hAnsi="Times New Roman" w:cs="Times New Roman"/>
          <w:lang w:val="en-US" w:eastAsia="zh-CN"/>
        </w:rPr>
        <w:t>水环境影响回顾性分析</w:t>
      </w:r>
      <w:bookmarkEnd w:id="265"/>
    </w:p>
    <w:bookmarkEnd w:id="263"/>
    <w:bookmarkEnd w:id="264"/>
    <w:p w14:paraId="31FE50DE">
      <w:pPr>
        <w:numPr>
          <w:ilvl w:val="0"/>
          <w:numId w:val="0"/>
        </w:numPr>
        <w:spacing w:line="360" w:lineRule="auto"/>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1、水质影响回顾分析</w:t>
      </w:r>
    </w:p>
    <w:p w14:paraId="4516D9D5">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（1）对库区水质影响分析</w:t>
      </w:r>
    </w:p>
    <w:p w14:paraId="68E5E3E0">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水库蓄水后，其库底遗留的有机质、可溶盐对水质将产生一定的影响；水库的调蓄使水流流速减缓，水动力条件发生变化，滞留时间的延长也将对水质有一定的影响。</w:t>
      </w:r>
    </w:p>
    <w:p w14:paraId="631C0F94">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根据2024年5月8日-5月10日对库区水环境质量现状监测结果，水库西侧库尾断面坝址上游约870m断面、水库西南侧库尾断面坝址上游约680m断面、水库库区中心断面坝址上游约500m断面水质均能满足《地表水环境质量标准》（GB3838-2002）中III类水质标准要求，水库坝前取水口断面坝址上游约50m断面水质能满足《地表水环境质量标准》（GB3838-2002）中II类水质标准要求。</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现有</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工程建设后对库区水质影响不大。</w:t>
      </w:r>
    </w:p>
    <w:p w14:paraId="6D49A6B2">
      <w:pPr>
        <w:bidi w:val="0"/>
        <w:spacing w:line="360" w:lineRule="auto"/>
        <w:ind w:firstLine="480" w:firstLineChars="200"/>
        <w:rPr>
          <w:rFonts w:hint="default" w:ascii="Times New Roman" w:hAnsi="Times New Roman" w:eastAsia="宋体" w:cs="Times New Roman"/>
          <w:b w:val="0"/>
          <w:bCs w:val="0"/>
          <w:caps w:val="0"/>
          <w:smallCaps w:val="0"/>
          <w:color w:val="auto"/>
          <w:spacing w:val="0"/>
          <w:w w:val="100"/>
          <w:kern w:val="0"/>
          <w:position w:val="0"/>
          <w:sz w:val="24"/>
          <w:szCs w:val="24"/>
          <w:u w:val="none" w:color="auto"/>
          <w:lang w:val="en-US" w:eastAsia="zh-CN" w:bidi="ar-SA"/>
        </w:rPr>
      </w:pPr>
      <w:r>
        <w:rPr>
          <w:rFonts w:hint="default" w:ascii="Times New Roman" w:hAnsi="Times New Roman" w:eastAsia="宋体" w:cs="Times New Roman"/>
          <w:b w:val="0"/>
          <w:bCs w:val="0"/>
          <w:caps w:val="0"/>
          <w:smallCaps w:val="0"/>
          <w:color w:val="auto"/>
          <w:spacing w:val="0"/>
          <w:w w:val="100"/>
          <w:kern w:val="0"/>
          <w:position w:val="0"/>
          <w:sz w:val="24"/>
          <w:szCs w:val="24"/>
          <w:u w:val="none" w:color="auto"/>
          <w:lang w:val="en-US" w:eastAsia="zh-CN" w:bidi="ar-SA"/>
        </w:rPr>
        <w:t>（2）库区富营养化分析</w:t>
      </w:r>
    </w:p>
    <w:p w14:paraId="0E7A32B6">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水体富营养化是一种营养物质在水库水体中积累过多，而造成水体从生产力低的贫营养状态逐步向生产力高的富营养化状态过渡的一种现象，富营养化将引起藻类的过量生长，过量的藻类生长间接地使水中的溶解氧含量降低，恶化水质，水体产生颜色异常、异臭和毒性，将不能满足水体水质要求，水体中各种生物正常的生态平衡就会被扰乱，使鱼类种群发生显著变化。通常认为，氮、磷等营养物质的输入和富集是水体发生富营养化的最主要原因，特别是磷是控制水体藻类生长的主要因素。氮在水中常以 NO</w:t>
      </w:r>
      <w:r>
        <w:rPr>
          <w:rFonts w:hint="default" w:ascii="Times New Roman" w:hAnsi="Times New Roman" w:eastAsia="宋体" w:cs="Times New Roman"/>
          <w:color w:val="auto"/>
          <w:sz w:val="24"/>
          <w:u w:val="none"/>
          <w:vertAlign w:val="superscript"/>
        </w:rPr>
        <w:t>3-</w:t>
      </w:r>
      <w:r>
        <w:rPr>
          <w:rFonts w:hint="default" w:ascii="Times New Roman" w:hAnsi="Times New Roman" w:eastAsia="宋体" w:cs="Times New Roman"/>
          <w:color w:val="auto"/>
          <w:sz w:val="24"/>
          <w:u w:val="none"/>
        </w:rPr>
        <w:t>、NO</w:t>
      </w:r>
      <w:r>
        <w:rPr>
          <w:rFonts w:hint="default" w:ascii="Times New Roman" w:hAnsi="Times New Roman" w:eastAsia="宋体" w:cs="Times New Roman"/>
          <w:color w:val="auto"/>
          <w:sz w:val="24"/>
          <w:u w:val="none"/>
          <w:vertAlign w:val="superscript"/>
        </w:rPr>
        <w:t>2-</w:t>
      </w:r>
      <w:r>
        <w:rPr>
          <w:rFonts w:hint="default" w:ascii="Times New Roman" w:hAnsi="Times New Roman" w:eastAsia="宋体" w:cs="Times New Roman"/>
          <w:color w:val="auto"/>
          <w:sz w:val="24"/>
          <w:u w:val="none"/>
        </w:rPr>
        <w:t>、NH</w:t>
      </w:r>
      <w:r>
        <w:rPr>
          <w:rFonts w:hint="default" w:ascii="Times New Roman" w:hAnsi="Times New Roman" w:eastAsia="宋体" w:cs="Times New Roman"/>
          <w:color w:val="auto"/>
          <w:sz w:val="24"/>
          <w:u w:val="none"/>
          <w:vertAlign w:val="subscript"/>
        </w:rPr>
        <w:t>4</w:t>
      </w:r>
      <w:r>
        <w:rPr>
          <w:rFonts w:hint="default" w:ascii="Times New Roman" w:hAnsi="Times New Roman" w:eastAsia="宋体" w:cs="Times New Roman"/>
          <w:color w:val="auto"/>
          <w:sz w:val="24"/>
          <w:u w:val="none"/>
        </w:rPr>
        <w:t xml:space="preserve"> 的形式存在，不易处理和控制；而磷是富营养化作用中易被控制的最敏感因素。</w:t>
      </w:r>
    </w:p>
    <w:p w14:paraId="3368277C">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水库蓄水后，库内水位将抬高，虽然会使库区内水流速度减缓，污染物降解速度减缓，但由于汇入水库的流水水质稳定、浓度低，且污染物在库区内的停留时间变长，蓄水前通过对水库淹没范围内的区域积极清库，通常库区水体COD浓度不会发生明显变化，但是由于N、P营养元素的累积，可能会导致坝前水库富营养化。</w:t>
      </w:r>
    </w:p>
    <w:p w14:paraId="5E75BF85">
      <w:pPr>
        <w:widowControl w:val="0"/>
        <w:spacing w:before="0" w:after="0" w:afterLines="0" w:line="360" w:lineRule="auto"/>
        <w:ind w:right="0"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2"/>
          <w:u w:val="none"/>
          <w:lang w:val="en-US" w:eastAsia="zh-CN" w:bidi="ar-SA"/>
        </w:rPr>
        <w:t>本次评价根据现有监测数据，对水库库区营养状态进行评价。</w:t>
      </w:r>
      <w:r>
        <w:rPr>
          <w:rFonts w:hint="default" w:ascii="Times New Roman" w:hAnsi="Times New Roman" w:eastAsia="宋体" w:cs="Times New Roman"/>
          <w:color w:val="auto"/>
          <w:kern w:val="2"/>
          <w:sz w:val="24"/>
          <w:szCs w:val="24"/>
          <w:u w:val="none"/>
          <w:lang w:val="en-US" w:eastAsia="zh-CN" w:bidi="ar-SA"/>
        </w:rPr>
        <w:t>综合营养状态指数计算公式为：</w:t>
      </w:r>
    </w:p>
    <w:p w14:paraId="54A9E1EF">
      <w:pPr>
        <w:widowControl w:val="0"/>
        <w:spacing w:before="0" w:after="0" w:afterLines="0" w:line="360" w:lineRule="auto"/>
        <w:ind w:right="0" w:firstLine="480" w:firstLineChars="200"/>
        <w:jc w:val="center"/>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position w:val="-30"/>
          <w:sz w:val="24"/>
          <w:szCs w:val="24"/>
          <w:u w:val="none"/>
          <w:lang w:val="en-US" w:eastAsia="zh-CN" w:bidi="ar-SA"/>
        </w:rPr>
        <w:object>
          <v:shape id="_x0000_i1031" o:spt="75" type="#_x0000_t75" style="height:35pt;width:120pt;" o:ole="t" filled="f" o:preferrelative="t" stroked="f" coordsize="21600,21600">
            <v:path/>
            <v:fill on="f" focussize="0,0"/>
            <v:stroke on="f"/>
            <v:imagedata r:id="rId63" o:title=""/>
            <o:lock v:ext="edit" aspectratio="t"/>
            <w10:wrap type="none"/>
            <w10:anchorlock/>
          </v:shape>
          <o:OLEObject Type="Embed" ProgID="Equation.KSEE3" ShapeID="_x0000_i1031" DrawAspect="Content" ObjectID="_1468075731" r:id="rId62">
            <o:LockedField>false</o:LockedField>
          </o:OLEObject>
        </w:object>
      </w:r>
    </w:p>
    <w:p w14:paraId="07906F32">
      <w:pPr>
        <w:widowControl w:val="0"/>
        <w:spacing w:before="0" w:after="0" w:afterLines="0" w:line="360" w:lineRule="auto"/>
        <w:ind w:right="0"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式中：</w:t>
      </w:r>
      <w:r>
        <w:rPr>
          <w:rFonts w:hint="default" w:ascii="Times New Roman" w:hAnsi="Times New Roman" w:eastAsia="宋体" w:cs="Times New Roman"/>
          <w:color w:val="auto"/>
          <w:kern w:val="2"/>
          <w:sz w:val="24"/>
          <w:szCs w:val="24"/>
          <w:u w:val="none"/>
          <w:lang w:val="en-US" w:eastAsia="zh-CN" w:bidi="ar-SA"/>
        </w:rPr>
        <w:drawing>
          <wp:inline distT="0" distB="0" distL="114300" distR="114300">
            <wp:extent cx="485775" cy="200025"/>
            <wp:effectExtent l="0" t="0" r="0" b="13335"/>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64"/>
                    <a:stretch>
                      <a:fillRect/>
                    </a:stretch>
                  </pic:blipFill>
                  <pic:spPr>
                    <a:xfrm>
                      <a:off x="0" y="0"/>
                      <a:ext cx="485775" cy="200025"/>
                    </a:xfrm>
                    <a:prstGeom prst="rect">
                      <a:avLst/>
                    </a:prstGeom>
                    <a:noFill/>
                    <a:ln>
                      <a:noFill/>
                    </a:ln>
                  </pic:spPr>
                </pic:pic>
              </a:graphicData>
            </a:graphic>
          </wp:inline>
        </w:drawing>
      </w:r>
      <w:r>
        <w:rPr>
          <w:rFonts w:hint="default" w:ascii="Times New Roman" w:hAnsi="Times New Roman" w:eastAsia="宋体" w:cs="Times New Roman"/>
          <w:color w:val="auto"/>
          <w:kern w:val="2"/>
          <w:sz w:val="24"/>
          <w:szCs w:val="24"/>
          <w:u w:val="none"/>
          <w:lang w:val="en-US" w:eastAsia="zh-CN" w:bidi="ar-SA"/>
        </w:rPr>
        <w:t>—综合营养状态指数；</w:t>
      </w:r>
    </w:p>
    <w:p w14:paraId="3B9649C6">
      <w:pPr>
        <w:widowControl w:val="0"/>
        <w:spacing w:before="0" w:after="0" w:afterLines="0" w:line="360" w:lineRule="auto"/>
        <w:ind w:right="0" w:firstLine="1200" w:firstLineChars="5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Wj—第j种参数的营养状态指数的相关权重；</w:t>
      </w:r>
    </w:p>
    <w:p w14:paraId="5DE81047">
      <w:pPr>
        <w:widowControl w:val="0"/>
        <w:spacing w:before="0" w:after="0" w:afterLines="0" w:line="360" w:lineRule="auto"/>
        <w:ind w:right="0" w:firstLine="1200" w:firstLineChars="5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TLI（j）—代表第j种参数的营养状态指数；</w:t>
      </w:r>
    </w:p>
    <w:p w14:paraId="38DB6FA6">
      <w:pPr>
        <w:widowControl w:val="0"/>
        <w:spacing w:before="0" w:after="0" w:afterLines="0" w:line="360" w:lineRule="auto"/>
        <w:ind w:right="0" w:firstLine="720" w:firstLineChars="3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以chla作为基准参数，则第j种参数的归一化的相关权重计算公式为：</w:t>
      </w:r>
    </w:p>
    <w:p w14:paraId="7463D644">
      <w:pPr>
        <w:spacing w:line="360" w:lineRule="auto"/>
        <w:ind w:firstLine="480" w:firstLineChars="200"/>
        <w:jc w:val="center"/>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position w:val="-64"/>
          <w:sz w:val="24"/>
          <w:u w:val="none"/>
        </w:rPr>
        <w:object>
          <v:shape id="_x0000_i1032" o:spt="75" type="#_x0000_t75" style="height:55pt;width:59pt;" o:ole="t" filled="f" o:preferrelative="t" stroked="f" coordsize="21600,21600">
            <v:path/>
            <v:fill on="f" focussize="0,0"/>
            <v:stroke on="f"/>
            <v:imagedata r:id="rId66" o:title=""/>
            <o:lock v:ext="edit" aspectratio="t"/>
            <w10:wrap type="none"/>
            <w10:anchorlock/>
          </v:shape>
          <o:OLEObject Type="Embed" ProgID="Equation.KSEE3" ShapeID="_x0000_i1032" DrawAspect="Content" ObjectID="_1468075732" r:id="rId65">
            <o:LockedField>false</o:LockedField>
          </o:OLEObject>
        </w:object>
      </w:r>
    </w:p>
    <w:p w14:paraId="147C3EC8">
      <w:pPr>
        <w:widowControl w:val="0"/>
        <w:spacing w:before="0" w:after="0" w:afterLines="0" w:line="360" w:lineRule="auto"/>
        <w:ind w:right="0"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式中：r</w:t>
      </w:r>
      <w:r>
        <w:rPr>
          <w:rFonts w:hint="default" w:ascii="Times New Roman" w:hAnsi="Times New Roman" w:eastAsia="宋体" w:cs="Times New Roman"/>
          <w:color w:val="auto"/>
          <w:kern w:val="2"/>
          <w:sz w:val="24"/>
          <w:szCs w:val="24"/>
          <w:u w:val="none"/>
          <w:vertAlign w:val="subscript"/>
          <w:lang w:val="en-US" w:eastAsia="zh-CN" w:bidi="ar-SA"/>
        </w:rPr>
        <w:t>ij</w:t>
      </w:r>
      <w:r>
        <w:rPr>
          <w:rFonts w:hint="default" w:ascii="Times New Roman" w:hAnsi="Times New Roman" w:eastAsia="宋体" w:cs="Times New Roman"/>
          <w:color w:val="auto"/>
          <w:kern w:val="2"/>
          <w:sz w:val="24"/>
          <w:szCs w:val="24"/>
          <w:u w:val="none"/>
          <w:lang w:val="en-US" w:eastAsia="zh-CN" w:bidi="ar-SA"/>
        </w:rPr>
        <w:t>—第j种参数与基准参数chla的相关系数；</w:t>
      </w:r>
    </w:p>
    <w:p w14:paraId="745F1BCC">
      <w:pPr>
        <w:widowControl w:val="0"/>
        <w:spacing w:before="0" w:after="0" w:afterLines="0" w:line="360" w:lineRule="auto"/>
        <w:ind w:right="0" w:firstLine="1200" w:firstLineChars="5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m—评价参数的个数。</w:t>
      </w:r>
    </w:p>
    <w:p w14:paraId="2A6E0C7C">
      <w:pPr>
        <w:widowControl w:val="0"/>
        <w:spacing w:before="0" w:after="0" w:afterLines="0" w:line="360" w:lineRule="auto"/>
        <w:ind w:right="0"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中国湖泊(水库)的chla与其它参数之间的相关关系r</w:t>
      </w:r>
      <w:r>
        <w:rPr>
          <w:rFonts w:hint="default" w:ascii="Times New Roman" w:hAnsi="Times New Roman" w:eastAsia="宋体" w:cs="Times New Roman"/>
          <w:color w:val="auto"/>
          <w:kern w:val="2"/>
          <w:sz w:val="24"/>
          <w:szCs w:val="24"/>
          <w:u w:val="none"/>
          <w:vertAlign w:val="subscript"/>
          <w:lang w:val="en-US" w:eastAsia="zh-CN" w:bidi="ar-SA"/>
        </w:rPr>
        <w:t>ij</w:t>
      </w:r>
      <w:r>
        <w:rPr>
          <w:rFonts w:hint="default" w:ascii="Times New Roman" w:hAnsi="Times New Roman" w:eastAsia="宋体" w:cs="Times New Roman"/>
          <w:color w:val="auto"/>
          <w:kern w:val="2"/>
          <w:sz w:val="24"/>
          <w:szCs w:val="24"/>
          <w:u w:val="none"/>
          <w:lang w:val="en-US" w:eastAsia="zh-CN" w:bidi="ar-SA"/>
        </w:rPr>
        <w:t>及r</w:t>
      </w:r>
      <w:r>
        <w:rPr>
          <w:rFonts w:hint="default" w:ascii="Times New Roman" w:hAnsi="Times New Roman" w:eastAsia="宋体" w:cs="Times New Roman"/>
          <w:color w:val="auto"/>
          <w:kern w:val="2"/>
          <w:sz w:val="24"/>
          <w:szCs w:val="24"/>
          <w:u w:val="none"/>
          <w:vertAlign w:val="subscript"/>
          <w:lang w:val="en-US" w:eastAsia="zh-CN" w:bidi="ar-SA"/>
        </w:rPr>
        <w:t>ij</w:t>
      </w:r>
      <w:r>
        <w:rPr>
          <w:rFonts w:hint="default" w:ascii="Times New Roman" w:hAnsi="Times New Roman" w:eastAsia="宋体" w:cs="Times New Roman"/>
          <w:color w:val="auto"/>
          <w:kern w:val="2"/>
          <w:sz w:val="24"/>
          <w:szCs w:val="24"/>
          <w:u w:val="none"/>
          <w:vertAlign w:val="superscript"/>
          <w:lang w:val="en-US" w:eastAsia="zh-CN" w:bidi="ar-SA"/>
        </w:rPr>
        <w:t>2</w:t>
      </w:r>
      <w:r>
        <w:rPr>
          <w:rFonts w:hint="default" w:ascii="Times New Roman" w:hAnsi="Times New Roman" w:eastAsia="宋体" w:cs="Times New Roman"/>
          <w:color w:val="auto"/>
          <w:kern w:val="2"/>
          <w:sz w:val="24"/>
          <w:szCs w:val="24"/>
          <w:u w:val="none"/>
          <w:lang w:val="en-US" w:eastAsia="zh-CN" w:bidi="ar-SA"/>
        </w:rPr>
        <w:t>见下表。</w:t>
      </w:r>
    </w:p>
    <w:p w14:paraId="58447959">
      <w:pPr>
        <w:widowControl w:val="0"/>
        <w:spacing w:before="0" w:after="0" w:afterLines="0" w:line="240" w:lineRule="auto"/>
        <w:ind w:right="0"/>
        <w:jc w:val="center"/>
        <w:rPr>
          <w:rFonts w:hint="default" w:ascii="Times New Roman" w:hAnsi="Times New Roman" w:eastAsia="宋体" w:cs="Times New Roman"/>
          <w:b/>
          <w:bCs/>
          <w:color w:val="auto"/>
          <w:kern w:val="2"/>
          <w:sz w:val="21"/>
          <w:szCs w:val="21"/>
          <w:u w:val="none"/>
          <w:lang w:val="en-US" w:eastAsia="zh-CN" w:bidi="ar-SA"/>
        </w:rPr>
      </w:pPr>
      <w:r>
        <w:rPr>
          <w:rFonts w:hint="default" w:ascii="Times New Roman" w:hAnsi="Times New Roman" w:eastAsia="宋体" w:cs="Times New Roman"/>
          <w:b/>
          <w:bCs/>
          <w:color w:val="auto"/>
          <w:kern w:val="2"/>
          <w:sz w:val="24"/>
          <w:szCs w:val="24"/>
          <w:u w:val="none"/>
          <w:lang w:val="en-US" w:eastAsia="zh-CN" w:bidi="ar-SA"/>
        </w:rPr>
        <w:t>表4.1-1  中国湖泊（水库）部分参数与chla的相关关系rij和rij2值</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19"/>
        <w:gridCol w:w="1419"/>
        <w:gridCol w:w="1419"/>
        <w:gridCol w:w="1419"/>
        <w:gridCol w:w="1420"/>
        <w:gridCol w:w="1420"/>
      </w:tblGrid>
      <w:tr w14:paraId="2CAD28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3" w:type="pct"/>
            <w:noWrap w:val="0"/>
            <w:vAlign w:val="center"/>
          </w:tcPr>
          <w:p w14:paraId="17114D7D">
            <w:pPr>
              <w:widowControl w:val="0"/>
              <w:spacing w:before="0" w:after="0" w:afterLines="0" w:line="240" w:lineRule="auto"/>
              <w:ind w:right="0"/>
              <w:jc w:val="center"/>
              <w:rPr>
                <w:rFonts w:hint="default" w:ascii="Times New Roman" w:hAnsi="Times New Roman" w:eastAsia="宋体" w:cs="Times New Roman"/>
                <w:b/>
                <w:bCs w:val="0"/>
                <w:color w:val="auto"/>
                <w:kern w:val="2"/>
                <w:sz w:val="21"/>
                <w:szCs w:val="21"/>
                <w:u w:val="none"/>
                <w:lang w:val="en-US" w:eastAsia="zh-CN" w:bidi="ar-SA"/>
              </w:rPr>
            </w:pPr>
            <w:r>
              <w:rPr>
                <w:rFonts w:hint="default" w:ascii="Times New Roman" w:hAnsi="Times New Roman" w:eastAsia="宋体" w:cs="Times New Roman"/>
                <w:b/>
                <w:bCs w:val="0"/>
                <w:color w:val="auto"/>
                <w:kern w:val="2"/>
                <w:sz w:val="21"/>
                <w:szCs w:val="21"/>
                <w:u w:val="none"/>
                <w:lang w:val="en-US" w:eastAsia="zh-CN" w:bidi="ar-SA"/>
              </w:rPr>
              <w:t>参数</w:t>
            </w:r>
          </w:p>
        </w:tc>
        <w:tc>
          <w:tcPr>
            <w:tcW w:w="833" w:type="pct"/>
            <w:noWrap w:val="0"/>
            <w:vAlign w:val="center"/>
          </w:tcPr>
          <w:p w14:paraId="39084D91">
            <w:pPr>
              <w:widowControl w:val="0"/>
              <w:spacing w:before="0" w:after="0" w:afterLines="0" w:line="240" w:lineRule="auto"/>
              <w:ind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chla</w:t>
            </w:r>
          </w:p>
        </w:tc>
        <w:tc>
          <w:tcPr>
            <w:tcW w:w="833" w:type="pct"/>
            <w:noWrap w:val="0"/>
            <w:vAlign w:val="center"/>
          </w:tcPr>
          <w:p w14:paraId="0ACEF270">
            <w:pPr>
              <w:widowControl w:val="0"/>
              <w:spacing w:before="0" w:after="0" w:afterLines="0" w:line="240" w:lineRule="auto"/>
              <w:ind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TP</w:t>
            </w:r>
          </w:p>
        </w:tc>
        <w:tc>
          <w:tcPr>
            <w:tcW w:w="833" w:type="pct"/>
            <w:noWrap w:val="0"/>
            <w:vAlign w:val="center"/>
          </w:tcPr>
          <w:p w14:paraId="65E6B0BC">
            <w:pPr>
              <w:widowControl w:val="0"/>
              <w:spacing w:before="0" w:after="0" w:afterLines="0" w:line="240" w:lineRule="auto"/>
              <w:ind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TN</w:t>
            </w:r>
          </w:p>
        </w:tc>
        <w:tc>
          <w:tcPr>
            <w:tcW w:w="833" w:type="pct"/>
            <w:noWrap w:val="0"/>
            <w:vAlign w:val="center"/>
          </w:tcPr>
          <w:p w14:paraId="2CD4A4DA">
            <w:pPr>
              <w:widowControl w:val="0"/>
              <w:spacing w:before="0" w:after="0" w:afterLines="0" w:line="240" w:lineRule="auto"/>
              <w:ind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SD</w:t>
            </w:r>
          </w:p>
        </w:tc>
        <w:tc>
          <w:tcPr>
            <w:tcW w:w="833" w:type="pct"/>
            <w:noWrap w:val="0"/>
            <w:vAlign w:val="center"/>
          </w:tcPr>
          <w:p w14:paraId="54494344">
            <w:pPr>
              <w:widowControl w:val="0"/>
              <w:spacing w:before="0" w:after="0" w:afterLines="0" w:line="240" w:lineRule="auto"/>
              <w:ind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COD</w:t>
            </w:r>
            <w:r>
              <w:rPr>
                <w:rFonts w:hint="default" w:ascii="Times New Roman" w:hAnsi="Times New Roman" w:eastAsia="宋体" w:cs="Times New Roman"/>
                <w:bCs/>
                <w:color w:val="auto"/>
                <w:kern w:val="2"/>
                <w:sz w:val="21"/>
                <w:szCs w:val="21"/>
                <w:u w:val="none"/>
                <w:vertAlign w:val="subscript"/>
                <w:lang w:val="en-US" w:eastAsia="zh-CN" w:bidi="ar-SA"/>
              </w:rPr>
              <w:t>Mn</w:t>
            </w:r>
          </w:p>
        </w:tc>
      </w:tr>
      <w:tr w14:paraId="447954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3" w:type="pct"/>
            <w:noWrap w:val="0"/>
            <w:vAlign w:val="center"/>
          </w:tcPr>
          <w:p w14:paraId="4A13A2F8">
            <w:pPr>
              <w:widowControl w:val="0"/>
              <w:spacing w:before="0" w:after="0" w:afterLines="0" w:line="240" w:lineRule="auto"/>
              <w:ind w:right="0"/>
              <w:jc w:val="center"/>
              <w:rPr>
                <w:rFonts w:hint="default" w:ascii="Times New Roman" w:hAnsi="Times New Roman" w:eastAsia="宋体" w:cs="Times New Roman"/>
                <w:b/>
                <w:bCs w:val="0"/>
                <w:color w:val="auto"/>
                <w:kern w:val="2"/>
                <w:sz w:val="21"/>
                <w:szCs w:val="21"/>
                <w:u w:val="none"/>
                <w:lang w:val="en-US" w:eastAsia="zh-CN" w:bidi="ar-SA"/>
              </w:rPr>
            </w:pPr>
            <w:r>
              <w:rPr>
                <w:rFonts w:hint="default" w:ascii="Times New Roman" w:hAnsi="Times New Roman" w:eastAsia="宋体" w:cs="Times New Roman"/>
                <w:b/>
                <w:bCs w:val="0"/>
                <w:color w:val="auto"/>
                <w:kern w:val="2"/>
                <w:sz w:val="21"/>
                <w:szCs w:val="21"/>
                <w:u w:val="none"/>
                <w:lang w:val="en-US" w:eastAsia="zh-CN" w:bidi="ar-SA"/>
              </w:rPr>
              <w:t>r</w:t>
            </w:r>
            <w:r>
              <w:rPr>
                <w:rFonts w:hint="default" w:ascii="Times New Roman" w:hAnsi="Times New Roman" w:eastAsia="宋体" w:cs="Times New Roman"/>
                <w:b/>
                <w:bCs w:val="0"/>
                <w:color w:val="auto"/>
                <w:kern w:val="2"/>
                <w:sz w:val="21"/>
                <w:szCs w:val="21"/>
                <w:u w:val="none"/>
                <w:vertAlign w:val="subscript"/>
                <w:lang w:val="en-US" w:eastAsia="zh-CN" w:bidi="ar-SA"/>
              </w:rPr>
              <w:t>ij</w:t>
            </w:r>
          </w:p>
        </w:tc>
        <w:tc>
          <w:tcPr>
            <w:tcW w:w="833" w:type="pct"/>
            <w:noWrap w:val="0"/>
            <w:vAlign w:val="center"/>
          </w:tcPr>
          <w:p w14:paraId="400FABDB">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1</w:t>
            </w:r>
          </w:p>
        </w:tc>
        <w:tc>
          <w:tcPr>
            <w:tcW w:w="833" w:type="pct"/>
            <w:noWrap w:val="0"/>
            <w:vAlign w:val="center"/>
          </w:tcPr>
          <w:p w14:paraId="71331C78">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0.84</w:t>
            </w:r>
          </w:p>
        </w:tc>
        <w:tc>
          <w:tcPr>
            <w:tcW w:w="833" w:type="pct"/>
            <w:noWrap w:val="0"/>
            <w:vAlign w:val="center"/>
          </w:tcPr>
          <w:p w14:paraId="48F6A529">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0.82</w:t>
            </w:r>
          </w:p>
        </w:tc>
        <w:tc>
          <w:tcPr>
            <w:tcW w:w="833" w:type="pct"/>
            <w:noWrap w:val="0"/>
            <w:vAlign w:val="center"/>
          </w:tcPr>
          <w:p w14:paraId="7D7E3CFB">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-0.83</w:t>
            </w:r>
          </w:p>
        </w:tc>
        <w:tc>
          <w:tcPr>
            <w:tcW w:w="833" w:type="pct"/>
            <w:noWrap w:val="0"/>
            <w:vAlign w:val="center"/>
          </w:tcPr>
          <w:p w14:paraId="436DCE5C">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0.83</w:t>
            </w:r>
          </w:p>
        </w:tc>
      </w:tr>
      <w:tr w14:paraId="788531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33" w:type="pct"/>
            <w:noWrap w:val="0"/>
            <w:vAlign w:val="center"/>
          </w:tcPr>
          <w:p w14:paraId="5BC0B60B">
            <w:pPr>
              <w:widowControl w:val="0"/>
              <w:spacing w:before="0" w:after="0" w:afterLines="0" w:line="240" w:lineRule="auto"/>
              <w:ind w:right="0"/>
              <w:jc w:val="center"/>
              <w:rPr>
                <w:rFonts w:hint="default" w:ascii="Times New Roman" w:hAnsi="Times New Roman" w:eastAsia="宋体" w:cs="Times New Roman"/>
                <w:b/>
                <w:bCs w:val="0"/>
                <w:color w:val="auto"/>
                <w:kern w:val="2"/>
                <w:sz w:val="21"/>
                <w:szCs w:val="21"/>
                <w:u w:val="none"/>
                <w:lang w:val="en-US" w:eastAsia="zh-CN" w:bidi="ar-SA"/>
              </w:rPr>
            </w:pPr>
            <w:r>
              <w:rPr>
                <w:rFonts w:hint="default" w:ascii="Times New Roman" w:hAnsi="Times New Roman" w:eastAsia="宋体" w:cs="Times New Roman"/>
                <w:b/>
                <w:bCs w:val="0"/>
                <w:color w:val="auto"/>
                <w:kern w:val="2"/>
                <w:sz w:val="21"/>
                <w:szCs w:val="21"/>
                <w:u w:val="none"/>
                <w:lang w:val="en-US" w:eastAsia="zh-CN" w:bidi="ar-SA"/>
              </w:rPr>
              <w:t>r</w:t>
            </w:r>
            <w:r>
              <w:rPr>
                <w:rFonts w:hint="default" w:ascii="Times New Roman" w:hAnsi="Times New Roman" w:eastAsia="宋体" w:cs="Times New Roman"/>
                <w:b/>
                <w:bCs w:val="0"/>
                <w:color w:val="auto"/>
                <w:kern w:val="2"/>
                <w:sz w:val="21"/>
                <w:szCs w:val="21"/>
                <w:u w:val="none"/>
                <w:vertAlign w:val="subscript"/>
                <w:lang w:val="en-US" w:eastAsia="zh-CN" w:bidi="ar-SA"/>
              </w:rPr>
              <w:t>ij</w:t>
            </w:r>
            <w:r>
              <w:rPr>
                <w:rFonts w:hint="default" w:ascii="Times New Roman" w:hAnsi="Times New Roman" w:eastAsia="宋体" w:cs="Times New Roman"/>
                <w:b/>
                <w:bCs w:val="0"/>
                <w:color w:val="auto"/>
                <w:kern w:val="2"/>
                <w:sz w:val="21"/>
                <w:szCs w:val="21"/>
                <w:u w:val="none"/>
                <w:vertAlign w:val="superscript"/>
                <w:lang w:val="en-US" w:eastAsia="zh-CN" w:bidi="ar-SA"/>
              </w:rPr>
              <w:t>2</w:t>
            </w:r>
          </w:p>
        </w:tc>
        <w:tc>
          <w:tcPr>
            <w:tcW w:w="833" w:type="pct"/>
            <w:noWrap w:val="0"/>
            <w:vAlign w:val="center"/>
          </w:tcPr>
          <w:p w14:paraId="50941B18">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1</w:t>
            </w:r>
          </w:p>
        </w:tc>
        <w:tc>
          <w:tcPr>
            <w:tcW w:w="833" w:type="pct"/>
            <w:noWrap w:val="0"/>
            <w:vAlign w:val="center"/>
          </w:tcPr>
          <w:p w14:paraId="5B321B65">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0.7056</w:t>
            </w:r>
          </w:p>
        </w:tc>
        <w:tc>
          <w:tcPr>
            <w:tcW w:w="833" w:type="pct"/>
            <w:noWrap w:val="0"/>
            <w:vAlign w:val="center"/>
          </w:tcPr>
          <w:p w14:paraId="789E439B">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0.6724</w:t>
            </w:r>
          </w:p>
        </w:tc>
        <w:tc>
          <w:tcPr>
            <w:tcW w:w="833" w:type="pct"/>
            <w:noWrap w:val="0"/>
            <w:vAlign w:val="center"/>
          </w:tcPr>
          <w:p w14:paraId="0FDAA797">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0.6889</w:t>
            </w:r>
          </w:p>
        </w:tc>
        <w:tc>
          <w:tcPr>
            <w:tcW w:w="833" w:type="pct"/>
            <w:noWrap w:val="0"/>
            <w:vAlign w:val="center"/>
          </w:tcPr>
          <w:p w14:paraId="2920A347">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0.6889</w:t>
            </w:r>
          </w:p>
        </w:tc>
      </w:tr>
    </w:tbl>
    <w:p w14:paraId="36CBDA2D">
      <w:pPr>
        <w:widowControl w:val="0"/>
        <w:spacing w:before="0" w:after="0" w:afterLines="0" w:line="360" w:lineRule="auto"/>
        <w:ind w:right="0" w:firstLine="420" w:firstLineChars="200"/>
        <w:jc w:val="both"/>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注：引自金相灿等著《中国湖泊环境》，表中rij来源于中国26个主要湖泊调查数据的计算结果。</w:t>
      </w:r>
    </w:p>
    <w:p w14:paraId="7AA34D3B">
      <w:pPr>
        <w:widowControl w:val="0"/>
        <w:spacing w:before="0" w:after="0" w:afterLines="0" w:line="360" w:lineRule="auto"/>
        <w:ind w:right="0"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营养状态指数计算公式为：</w:t>
      </w:r>
    </w:p>
    <w:p w14:paraId="07C1C679">
      <w:pPr>
        <w:widowControl w:val="0"/>
        <w:spacing w:before="0" w:after="0" w:afterLines="0" w:line="360" w:lineRule="auto"/>
        <w:ind w:right="0"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TLI（chl，叶绿素a，mg/m</w:t>
      </w:r>
      <w:r>
        <w:rPr>
          <w:rFonts w:hint="default" w:ascii="Times New Roman" w:hAnsi="Times New Roman" w:eastAsia="宋体" w:cs="Times New Roman"/>
          <w:color w:val="auto"/>
          <w:kern w:val="2"/>
          <w:sz w:val="24"/>
          <w:szCs w:val="24"/>
          <w:u w:val="none"/>
          <w:vertAlign w:val="superscript"/>
          <w:lang w:val="en-US" w:eastAsia="zh-CN" w:bidi="ar-SA"/>
        </w:rPr>
        <w:t>3</w:t>
      </w:r>
      <w:r>
        <w:rPr>
          <w:rFonts w:hint="default" w:ascii="Times New Roman" w:hAnsi="Times New Roman" w:eastAsia="宋体" w:cs="Times New Roman"/>
          <w:color w:val="auto"/>
          <w:kern w:val="2"/>
          <w:sz w:val="24"/>
          <w:szCs w:val="24"/>
          <w:u w:val="none"/>
          <w:lang w:val="en-US" w:eastAsia="zh-CN" w:bidi="ar-SA"/>
        </w:rPr>
        <w:t>）=10（2.5+1.086lnchl）</w:t>
      </w:r>
    </w:p>
    <w:p w14:paraId="64319C4A">
      <w:pPr>
        <w:widowControl w:val="0"/>
        <w:spacing w:before="0" w:after="0" w:afterLines="0" w:line="360" w:lineRule="auto"/>
        <w:ind w:right="0"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TLI（TP，总磷，mg/L）=10（9.436+1.624lnTP）</w:t>
      </w:r>
    </w:p>
    <w:p w14:paraId="28FFBF8E">
      <w:pPr>
        <w:widowControl w:val="0"/>
        <w:spacing w:before="0" w:after="0" w:afterLines="0" w:line="360" w:lineRule="auto"/>
        <w:ind w:right="0"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TLI（TN，总氮，mg/L）=10（5.453+1.694lnTN）</w:t>
      </w:r>
    </w:p>
    <w:p w14:paraId="608EFB82">
      <w:pPr>
        <w:widowControl w:val="0"/>
        <w:spacing w:before="0" w:after="0" w:afterLines="0" w:line="360" w:lineRule="auto"/>
        <w:ind w:right="0"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TLI（SD，透明度，m）=10（5.118-1.94lnSD）</w:t>
      </w:r>
    </w:p>
    <w:p w14:paraId="3F28A13F">
      <w:pPr>
        <w:widowControl w:val="0"/>
        <w:spacing w:before="0" w:after="0" w:afterLines="0" w:line="360" w:lineRule="auto"/>
        <w:ind w:right="0"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TLI（COD</w:t>
      </w:r>
      <w:r>
        <w:rPr>
          <w:rFonts w:hint="default" w:ascii="Times New Roman" w:hAnsi="Times New Roman" w:eastAsia="宋体" w:cs="Times New Roman"/>
          <w:color w:val="auto"/>
          <w:kern w:val="2"/>
          <w:sz w:val="24"/>
          <w:szCs w:val="24"/>
          <w:u w:val="none"/>
          <w:vertAlign w:val="subscript"/>
          <w:lang w:val="en-US" w:eastAsia="zh-CN" w:bidi="ar-SA"/>
        </w:rPr>
        <w:t>Mn</w:t>
      </w:r>
      <w:r>
        <w:rPr>
          <w:rFonts w:hint="default" w:ascii="Times New Roman" w:hAnsi="Times New Roman" w:eastAsia="宋体" w:cs="Times New Roman"/>
          <w:color w:val="auto"/>
          <w:kern w:val="2"/>
          <w:sz w:val="24"/>
          <w:szCs w:val="24"/>
          <w:u w:val="none"/>
          <w:lang w:val="en-US" w:eastAsia="zh-CN" w:bidi="ar-SA"/>
        </w:rPr>
        <w:t>，耗氧量，mg/L）=10（0.109+2.661lnCOD）</w:t>
      </w:r>
    </w:p>
    <w:p w14:paraId="441F3F08">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color w:val="auto"/>
          <w:sz w:val="24"/>
          <w:u w:val="none"/>
        </w:rPr>
        <w:t>根据《地表水资源质量评价基数规程》（SL395-2007），湖泊（水库）营养状态分级采用0～100的一系列连续数字对湖泊营养状态进行分级，见表</w:t>
      </w:r>
      <w:r>
        <w:rPr>
          <w:rFonts w:hint="default" w:ascii="Times New Roman" w:hAnsi="Times New Roman" w:eastAsia="宋体" w:cs="Times New Roman"/>
          <w:color w:val="auto"/>
          <w:sz w:val="24"/>
          <w:u w:val="none"/>
          <w:lang w:val="en-US" w:eastAsia="zh-CN"/>
        </w:rPr>
        <w:t>4.1-2</w:t>
      </w:r>
      <w:r>
        <w:rPr>
          <w:rFonts w:hint="default" w:ascii="Times New Roman" w:hAnsi="Times New Roman" w:eastAsia="宋体" w:cs="Times New Roman"/>
          <w:color w:val="auto"/>
          <w:sz w:val="24"/>
          <w:u w:val="none"/>
        </w:rPr>
        <w:t>。</w:t>
      </w:r>
    </w:p>
    <w:p w14:paraId="2DD6C12D">
      <w:pPr>
        <w:widowControl w:val="0"/>
        <w:spacing w:before="0" w:after="0" w:afterLines="0" w:line="240" w:lineRule="auto"/>
        <w:ind w:right="0"/>
        <w:jc w:val="center"/>
        <w:rPr>
          <w:rFonts w:hint="default" w:ascii="Times New Roman" w:hAnsi="Times New Roman" w:eastAsia="宋体" w:cs="Times New Roman"/>
          <w:b w:val="0"/>
          <w:bCs w:val="0"/>
          <w:color w:val="auto"/>
          <w:kern w:val="2"/>
          <w:sz w:val="24"/>
          <w:szCs w:val="24"/>
          <w:u w:val="none"/>
          <w:lang w:val="en-US" w:eastAsia="zh-CN" w:bidi="ar-SA"/>
        </w:rPr>
      </w:pPr>
      <w:r>
        <w:rPr>
          <w:rFonts w:hint="default" w:ascii="Times New Roman" w:hAnsi="Times New Roman" w:eastAsia="宋体" w:cs="Times New Roman"/>
          <w:b/>
          <w:bCs/>
          <w:color w:val="auto"/>
          <w:kern w:val="2"/>
          <w:sz w:val="24"/>
          <w:szCs w:val="24"/>
          <w:u w:val="none"/>
          <w:lang w:val="en-US" w:eastAsia="zh-CN" w:bidi="ar-SA"/>
        </w:rPr>
        <w:t>表4.1-2  湖泊（水库）营养状态分级</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01"/>
        <w:gridCol w:w="3727"/>
        <w:gridCol w:w="3885"/>
      </w:tblGrid>
      <w:tr w14:paraId="7A1437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29" w:type="pct"/>
            <w:noWrap w:val="0"/>
            <w:vAlign w:val="center"/>
          </w:tcPr>
          <w:p w14:paraId="65E110F3">
            <w:pPr>
              <w:jc w:val="center"/>
              <w:rPr>
                <w:rFonts w:hint="default" w:ascii="Times New Roman" w:hAnsi="Times New Roman" w:eastAsia="宋体" w:cs="Times New Roman"/>
                <w:b/>
                <w:bCs/>
                <w:color w:val="auto"/>
                <w:u w:val="none"/>
              </w:rPr>
            </w:pPr>
            <w:r>
              <w:rPr>
                <w:rFonts w:hint="default" w:ascii="Times New Roman" w:hAnsi="Times New Roman" w:eastAsia="宋体" w:cs="Times New Roman"/>
                <w:b/>
                <w:bCs/>
                <w:color w:val="auto"/>
                <w:szCs w:val="21"/>
                <w:u w:val="none"/>
              </w:rPr>
              <w:t>序号</w:t>
            </w:r>
          </w:p>
        </w:tc>
        <w:tc>
          <w:tcPr>
            <w:tcW w:w="2188" w:type="pct"/>
            <w:noWrap w:val="0"/>
            <w:vAlign w:val="center"/>
          </w:tcPr>
          <w:p w14:paraId="0AACA379">
            <w:pPr>
              <w:jc w:val="center"/>
              <w:rPr>
                <w:rFonts w:hint="default" w:ascii="Times New Roman" w:hAnsi="Times New Roman" w:eastAsia="宋体" w:cs="Times New Roman"/>
                <w:b/>
                <w:bCs/>
                <w:color w:val="auto"/>
                <w:u w:val="none"/>
              </w:rPr>
            </w:pPr>
            <w:r>
              <w:rPr>
                <w:rFonts w:hint="default" w:ascii="Times New Roman" w:hAnsi="Times New Roman" w:eastAsia="宋体" w:cs="Times New Roman"/>
                <w:b/>
                <w:bCs/>
                <w:color w:val="auto"/>
                <w:szCs w:val="21"/>
                <w:u w:val="none"/>
              </w:rPr>
              <w:t>综合营养状态指数TLI(Σ)</w:t>
            </w:r>
          </w:p>
        </w:tc>
        <w:tc>
          <w:tcPr>
            <w:tcW w:w="2281" w:type="pct"/>
            <w:noWrap w:val="0"/>
            <w:vAlign w:val="center"/>
          </w:tcPr>
          <w:p w14:paraId="378F36AD">
            <w:pPr>
              <w:jc w:val="center"/>
              <w:rPr>
                <w:rFonts w:hint="default" w:ascii="Times New Roman" w:hAnsi="Times New Roman" w:eastAsia="宋体" w:cs="Times New Roman"/>
                <w:b/>
                <w:bCs/>
                <w:color w:val="auto"/>
                <w:u w:val="none"/>
              </w:rPr>
            </w:pPr>
            <w:r>
              <w:rPr>
                <w:rFonts w:hint="default" w:ascii="Times New Roman" w:hAnsi="Times New Roman" w:eastAsia="宋体" w:cs="Times New Roman"/>
                <w:b/>
                <w:bCs/>
                <w:color w:val="auto"/>
                <w:szCs w:val="21"/>
                <w:u w:val="none"/>
              </w:rPr>
              <w:t>湖泊（水库）营养状态分级</w:t>
            </w:r>
          </w:p>
        </w:tc>
      </w:tr>
      <w:tr w14:paraId="5EFFDA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29" w:type="pct"/>
            <w:noWrap w:val="0"/>
            <w:vAlign w:val="center"/>
          </w:tcPr>
          <w:p w14:paraId="6E00E66D">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1</w:t>
            </w:r>
          </w:p>
        </w:tc>
        <w:tc>
          <w:tcPr>
            <w:tcW w:w="2188" w:type="pct"/>
            <w:noWrap w:val="0"/>
            <w:vAlign w:val="center"/>
          </w:tcPr>
          <w:p w14:paraId="1A06EC1C">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TLI(Σ)＜30</w:t>
            </w:r>
          </w:p>
        </w:tc>
        <w:tc>
          <w:tcPr>
            <w:tcW w:w="2281" w:type="pct"/>
            <w:noWrap w:val="0"/>
            <w:vAlign w:val="center"/>
          </w:tcPr>
          <w:p w14:paraId="13EA29CA">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贫营养</w:t>
            </w:r>
          </w:p>
        </w:tc>
      </w:tr>
      <w:tr w14:paraId="7DD4F1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29" w:type="pct"/>
            <w:noWrap w:val="0"/>
            <w:vAlign w:val="center"/>
          </w:tcPr>
          <w:p w14:paraId="010980F7">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2</w:t>
            </w:r>
          </w:p>
        </w:tc>
        <w:tc>
          <w:tcPr>
            <w:tcW w:w="2188" w:type="pct"/>
            <w:noWrap w:val="0"/>
            <w:vAlign w:val="center"/>
          </w:tcPr>
          <w:p w14:paraId="7DEFB687">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30≤TLI(Σ)≤50</w:t>
            </w:r>
          </w:p>
        </w:tc>
        <w:tc>
          <w:tcPr>
            <w:tcW w:w="2281" w:type="pct"/>
            <w:noWrap w:val="0"/>
            <w:vAlign w:val="center"/>
          </w:tcPr>
          <w:p w14:paraId="3CE5F8D7">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中营养</w:t>
            </w:r>
          </w:p>
        </w:tc>
      </w:tr>
      <w:tr w14:paraId="3E0C22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29" w:type="pct"/>
            <w:noWrap w:val="0"/>
            <w:vAlign w:val="center"/>
          </w:tcPr>
          <w:p w14:paraId="32ED48D4">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3</w:t>
            </w:r>
          </w:p>
        </w:tc>
        <w:tc>
          <w:tcPr>
            <w:tcW w:w="2188" w:type="pct"/>
            <w:noWrap w:val="0"/>
            <w:vAlign w:val="center"/>
          </w:tcPr>
          <w:p w14:paraId="21CFD420">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TLI(Σ)＞50</w:t>
            </w:r>
          </w:p>
        </w:tc>
        <w:tc>
          <w:tcPr>
            <w:tcW w:w="2281" w:type="pct"/>
            <w:noWrap w:val="0"/>
            <w:vAlign w:val="center"/>
          </w:tcPr>
          <w:p w14:paraId="51584B4F">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富营养</w:t>
            </w:r>
          </w:p>
        </w:tc>
      </w:tr>
      <w:tr w14:paraId="70E01F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29" w:type="pct"/>
            <w:noWrap w:val="0"/>
            <w:vAlign w:val="center"/>
          </w:tcPr>
          <w:p w14:paraId="0AB0AD1F">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4</w:t>
            </w:r>
          </w:p>
        </w:tc>
        <w:tc>
          <w:tcPr>
            <w:tcW w:w="2188" w:type="pct"/>
            <w:noWrap w:val="0"/>
            <w:vAlign w:val="center"/>
          </w:tcPr>
          <w:p w14:paraId="441CFD6C">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50＜TLI(Σ)≤60</w:t>
            </w:r>
          </w:p>
        </w:tc>
        <w:tc>
          <w:tcPr>
            <w:tcW w:w="2281" w:type="pct"/>
            <w:noWrap w:val="0"/>
            <w:vAlign w:val="center"/>
          </w:tcPr>
          <w:p w14:paraId="3C790E6E">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轻度富营养</w:t>
            </w:r>
          </w:p>
        </w:tc>
      </w:tr>
      <w:tr w14:paraId="5CC801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29" w:type="pct"/>
            <w:noWrap w:val="0"/>
            <w:vAlign w:val="center"/>
          </w:tcPr>
          <w:p w14:paraId="7CA703CA">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5</w:t>
            </w:r>
          </w:p>
        </w:tc>
        <w:tc>
          <w:tcPr>
            <w:tcW w:w="2188" w:type="pct"/>
            <w:noWrap w:val="0"/>
            <w:vAlign w:val="center"/>
          </w:tcPr>
          <w:p w14:paraId="1913D361">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60＜TLI(Σ)≤70</w:t>
            </w:r>
          </w:p>
        </w:tc>
        <w:tc>
          <w:tcPr>
            <w:tcW w:w="2281" w:type="pct"/>
            <w:noWrap w:val="0"/>
            <w:vAlign w:val="center"/>
          </w:tcPr>
          <w:p w14:paraId="44730C99">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中度富营养</w:t>
            </w:r>
          </w:p>
        </w:tc>
      </w:tr>
      <w:tr w14:paraId="69C832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29" w:type="pct"/>
            <w:noWrap w:val="0"/>
            <w:vAlign w:val="center"/>
          </w:tcPr>
          <w:p w14:paraId="78DC59D8">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6</w:t>
            </w:r>
          </w:p>
        </w:tc>
        <w:tc>
          <w:tcPr>
            <w:tcW w:w="2188" w:type="pct"/>
            <w:noWrap w:val="0"/>
            <w:vAlign w:val="center"/>
          </w:tcPr>
          <w:p w14:paraId="6BB78890">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TLI(Σ)＞70</w:t>
            </w:r>
          </w:p>
        </w:tc>
        <w:tc>
          <w:tcPr>
            <w:tcW w:w="2281" w:type="pct"/>
            <w:noWrap w:val="0"/>
            <w:vAlign w:val="center"/>
          </w:tcPr>
          <w:p w14:paraId="03CBCD0E">
            <w:pPr>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szCs w:val="21"/>
                <w:u w:val="none"/>
              </w:rPr>
              <w:t>重度富营养</w:t>
            </w:r>
          </w:p>
        </w:tc>
      </w:tr>
    </w:tbl>
    <w:p w14:paraId="53D002EA">
      <w:pPr>
        <w:widowControl w:val="0"/>
        <w:spacing w:before="0" w:after="0" w:afterLines="0" w:line="360" w:lineRule="auto"/>
        <w:ind w:right="0"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本评价利用现有监测数据，对叶绿素a、总氮、总磷、透明度、耗氧量等参数进行综合营养状态指数法评价，计算结果见表4.1-3。</w:t>
      </w:r>
    </w:p>
    <w:p w14:paraId="2DF2F7F1">
      <w:pPr>
        <w:widowControl w:val="0"/>
        <w:spacing w:before="0" w:after="0" w:afterLines="0" w:line="240" w:lineRule="auto"/>
        <w:ind w:right="0"/>
        <w:jc w:val="center"/>
        <w:rPr>
          <w:rFonts w:hint="default" w:ascii="Times New Roman" w:hAnsi="Times New Roman" w:eastAsia="宋体" w:cs="Times New Roman"/>
          <w:b/>
          <w:bCs/>
          <w:color w:val="auto"/>
          <w:kern w:val="2"/>
          <w:sz w:val="21"/>
          <w:szCs w:val="21"/>
          <w:u w:val="none"/>
          <w:lang w:val="en-US" w:eastAsia="zh-CN" w:bidi="ar-SA"/>
        </w:rPr>
      </w:pPr>
      <w:r>
        <w:rPr>
          <w:rFonts w:hint="default" w:ascii="Times New Roman" w:hAnsi="Times New Roman" w:eastAsia="宋体" w:cs="Times New Roman"/>
          <w:b/>
          <w:bCs/>
          <w:color w:val="auto"/>
          <w:kern w:val="2"/>
          <w:sz w:val="21"/>
          <w:szCs w:val="21"/>
          <w:u w:val="none"/>
          <w:lang w:val="en-US" w:eastAsia="zh-CN" w:bidi="ar-SA"/>
        </w:rPr>
        <w:t>表4.1-3   湖泊（水库）营养状态分级</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06"/>
        <w:gridCol w:w="1416"/>
        <w:gridCol w:w="1666"/>
        <w:gridCol w:w="2140"/>
        <w:gridCol w:w="2285"/>
      </w:tblGrid>
      <w:tr w14:paraId="6975D1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1" w:type="pct"/>
            <w:noWrap w:val="0"/>
            <w:vAlign w:val="center"/>
          </w:tcPr>
          <w:p w14:paraId="44FEBBEF">
            <w:pPr>
              <w:widowControl w:val="0"/>
              <w:spacing w:before="0" w:after="0" w:afterLines="0" w:line="240" w:lineRule="auto"/>
              <w:ind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序号</w:t>
            </w:r>
          </w:p>
        </w:tc>
        <w:tc>
          <w:tcPr>
            <w:tcW w:w="831" w:type="pct"/>
            <w:noWrap w:val="0"/>
            <w:vAlign w:val="center"/>
          </w:tcPr>
          <w:p w14:paraId="3A0BF2C8">
            <w:pPr>
              <w:widowControl w:val="0"/>
              <w:spacing w:before="0" w:after="0" w:afterLines="0" w:line="240" w:lineRule="auto"/>
              <w:ind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参数</w:t>
            </w:r>
          </w:p>
        </w:tc>
        <w:tc>
          <w:tcPr>
            <w:tcW w:w="978" w:type="pct"/>
            <w:noWrap w:val="0"/>
            <w:vAlign w:val="center"/>
          </w:tcPr>
          <w:p w14:paraId="1AF6EA97">
            <w:pPr>
              <w:widowControl w:val="0"/>
              <w:spacing w:before="0" w:after="0" w:afterLines="0" w:line="240" w:lineRule="auto"/>
              <w:ind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权重Wj</w:t>
            </w:r>
          </w:p>
        </w:tc>
        <w:tc>
          <w:tcPr>
            <w:tcW w:w="1256" w:type="pct"/>
            <w:noWrap w:val="0"/>
            <w:vAlign w:val="center"/>
          </w:tcPr>
          <w:p w14:paraId="19FBDED3">
            <w:pPr>
              <w:widowControl w:val="0"/>
              <w:spacing w:before="0" w:after="0" w:afterLines="0" w:line="240" w:lineRule="auto"/>
              <w:ind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营养指数TLI（j）</w:t>
            </w:r>
          </w:p>
        </w:tc>
        <w:tc>
          <w:tcPr>
            <w:tcW w:w="1341" w:type="pct"/>
            <w:noWrap w:val="0"/>
            <w:vAlign w:val="center"/>
          </w:tcPr>
          <w:p w14:paraId="6E70C76A">
            <w:pPr>
              <w:widowControl w:val="0"/>
              <w:spacing w:before="0" w:after="0" w:afterLines="0" w:line="240" w:lineRule="auto"/>
              <w:ind w:right="0"/>
              <w:jc w:val="center"/>
              <w:rPr>
                <w:rFonts w:hint="default" w:ascii="Times New Roman" w:hAnsi="Times New Roman" w:eastAsia="宋体" w:cs="Times New Roman"/>
                <w:bCs/>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综合营养指数TLI(Σ)</w:t>
            </w:r>
          </w:p>
        </w:tc>
      </w:tr>
      <w:tr w14:paraId="4B93C6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1" w:type="pct"/>
            <w:noWrap w:val="0"/>
            <w:vAlign w:val="center"/>
          </w:tcPr>
          <w:p w14:paraId="7F09B32B">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1</w:t>
            </w:r>
          </w:p>
        </w:tc>
        <w:tc>
          <w:tcPr>
            <w:tcW w:w="831" w:type="pct"/>
            <w:noWrap w:val="0"/>
            <w:vAlign w:val="center"/>
          </w:tcPr>
          <w:p w14:paraId="6CE98A92">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叶绿素</w:t>
            </w:r>
            <w:r>
              <w:rPr>
                <w:rFonts w:hint="default" w:ascii="Times New Roman" w:hAnsi="Times New Roman" w:eastAsia="宋体" w:cs="Times New Roman"/>
                <w:color w:val="auto"/>
                <w:kern w:val="2"/>
                <w:sz w:val="24"/>
                <w:szCs w:val="24"/>
                <w:u w:val="none"/>
                <w:lang w:val="en-US" w:eastAsia="zh-CN" w:bidi="ar-SA"/>
              </w:rPr>
              <w:t>a</w:t>
            </w:r>
          </w:p>
        </w:tc>
        <w:tc>
          <w:tcPr>
            <w:tcW w:w="1666" w:type="dxa"/>
            <w:noWrap w:val="0"/>
            <w:vAlign w:val="center"/>
          </w:tcPr>
          <w:p w14:paraId="00772318">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 xml:space="preserve">0.27 </w:t>
            </w:r>
          </w:p>
        </w:tc>
        <w:tc>
          <w:tcPr>
            <w:tcW w:w="2140" w:type="dxa"/>
            <w:noWrap w:val="0"/>
            <w:vAlign w:val="center"/>
          </w:tcPr>
          <w:p w14:paraId="6FF5CE83">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 xml:space="preserve">-62.74 </w:t>
            </w:r>
          </w:p>
        </w:tc>
        <w:tc>
          <w:tcPr>
            <w:tcW w:w="1341" w:type="pct"/>
            <w:vMerge w:val="restart"/>
            <w:noWrap w:val="0"/>
            <w:vAlign w:val="center"/>
          </w:tcPr>
          <w:p w14:paraId="024A0642">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25.8</w:t>
            </w:r>
          </w:p>
        </w:tc>
      </w:tr>
      <w:tr w14:paraId="10BD00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1" w:type="pct"/>
            <w:noWrap w:val="0"/>
            <w:vAlign w:val="center"/>
          </w:tcPr>
          <w:p w14:paraId="4B821A97">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2</w:t>
            </w:r>
          </w:p>
        </w:tc>
        <w:tc>
          <w:tcPr>
            <w:tcW w:w="831" w:type="pct"/>
            <w:noWrap w:val="0"/>
            <w:vAlign w:val="center"/>
          </w:tcPr>
          <w:p w14:paraId="3E4DC36E">
            <w:pPr>
              <w:widowControl w:val="0"/>
              <w:spacing w:before="0" w:after="0" w:afterLines="0" w:line="240" w:lineRule="auto"/>
              <w:ind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TP</w:t>
            </w:r>
          </w:p>
        </w:tc>
        <w:tc>
          <w:tcPr>
            <w:tcW w:w="1666" w:type="dxa"/>
            <w:noWrap w:val="0"/>
            <w:vAlign w:val="center"/>
          </w:tcPr>
          <w:p w14:paraId="1C0366B0">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 xml:space="preserve">0.30 </w:t>
            </w:r>
          </w:p>
        </w:tc>
        <w:tc>
          <w:tcPr>
            <w:tcW w:w="2140" w:type="dxa"/>
            <w:noWrap w:val="0"/>
            <w:vAlign w:val="center"/>
          </w:tcPr>
          <w:p w14:paraId="4449FA4E">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 xml:space="preserve">32.74 </w:t>
            </w:r>
          </w:p>
        </w:tc>
        <w:tc>
          <w:tcPr>
            <w:tcW w:w="1341" w:type="pct"/>
            <w:vMerge w:val="continue"/>
            <w:noWrap w:val="0"/>
            <w:vAlign w:val="center"/>
          </w:tcPr>
          <w:p w14:paraId="58444D1A">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p>
        </w:tc>
      </w:tr>
      <w:tr w14:paraId="2F3880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1" w:type="pct"/>
            <w:noWrap w:val="0"/>
            <w:vAlign w:val="center"/>
          </w:tcPr>
          <w:p w14:paraId="3C0FFBE4">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3</w:t>
            </w:r>
          </w:p>
        </w:tc>
        <w:tc>
          <w:tcPr>
            <w:tcW w:w="831" w:type="pct"/>
            <w:noWrap w:val="0"/>
            <w:vAlign w:val="center"/>
          </w:tcPr>
          <w:p w14:paraId="4AB6FEE5">
            <w:pPr>
              <w:widowControl w:val="0"/>
              <w:spacing w:before="0" w:after="0" w:afterLines="0" w:line="240" w:lineRule="auto"/>
              <w:ind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TN</w:t>
            </w:r>
          </w:p>
        </w:tc>
        <w:tc>
          <w:tcPr>
            <w:tcW w:w="1666" w:type="dxa"/>
            <w:noWrap w:val="0"/>
            <w:vAlign w:val="center"/>
          </w:tcPr>
          <w:p w14:paraId="18BACFC7">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 xml:space="preserve">0.40 </w:t>
            </w:r>
          </w:p>
        </w:tc>
        <w:tc>
          <w:tcPr>
            <w:tcW w:w="2140" w:type="dxa"/>
            <w:noWrap w:val="0"/>
            <w:vAlign w:val="center"/>
          </w:tcPr>
          <w:p w14:paraId="41EEF141">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 xml:space="preserve">47.04 </w:t>
            </w:r>
          </w:p>
        </w:tc>
        <w:tc>
          <w:tcPr>
            <w:tcW w:w="1341" w:type="pct"/>
            <w:vMerge w:val="continue"/>
            <w:noWrap w:val="0"/>
            <w:vAlign w:val="center"/>
          </w:tcPr>
          <w:p w14:paraId="73A5E358">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p>
        </w:tc>
      </w:tr>
      <w:tr w14:paraId="6A1CD1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1" w:type="pct"/>
            <w:noWrap w:val="0"/>
            <w:vAlign w:val="center"/>
          </w:tcPr>
          <w:p w14:paraId="75168821">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4</w:t>
            </w:r>
          </w:p>
        </w:tc>
        <w:tc>
          <w:tcPr>
            <w:tcW w:w="831" w:type="pct"/>
            <w:noWrap w:val="0"/>
            <w:vAlign w:val="center"/>
          </w:tcPr>
          <w:p w14:paraId="49A6B880">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SD</w:t>
            </w:r>
          </w:p>
        </w:tc>
        <w:tc>
          <w:tcPr>
            <w:tcW w:w="1666" w:type="dxa"/>
            <w:noWrap w:val="0"/>
            <w:vAlign w:val="center"/>
          </w:tcPr>
          <w:p w14:paraId="70386522">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 xml:space="preserve">-0.60 </w:t>
            </w:r>
          </w:p>
        </w:tc>
        <w:tc>
          <w:tcPr>
            <w:tcW w:w="2140" w:type="dxa"/>
            <w:noWrap w:val="0"/>
            <w:vAlign w:val="center"/>
          </w:tcPr>
          <w:p w14:paraId="046A75FE">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 xml:space="preserve">55.15 </w:t>
            </w:r>
          </w:p>
        </w:tc>
        <w:tc>
          <w:tcPr>
            <w:tcW w:w="1341" w:type="pct"/>
            <w:vMerge w:val="continue"/>
            <w:noWrap w:val="0"/>
            <w:vAlign w:val="center"/>
          </w:tcPr>
          <w:p w14:paraId="19DC0A56">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p>
        </w:tc>
      </w:tr>
      <w:tr w14:paraId="15C909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91" w:type="pct"/>
            <w:noWrap w:val="0"/>
            <w:vAlign w:val="center"/>
          </w:tcPr>
          <w:p w14:paraId="29B635CC">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5</w:t>
            </w:r>
          </w:p>
        </w:tc>
        <w:tc>
          <w:tcPr>
            <w:tcW w:w="831" w:type="pct"/>
            <w:noWrap w:val="0"/>
            <w:vAlign w:val="center"/>
          </w:tcPr>
          <w:p w14:paraId="589C54E9">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bCs/>
                <w:color w:val="auto"/>
                <w:kern w:val="2"/>
                <w:sz w:val="21"/>
                <w:szCs w:val="21"/>
                <w:u w:val="none"/>
                <w:lang w:val="en-US" w:eastAsia="zh-CN" w:bidi="ar-SA"/>
              </w:rPr>
              <w:t>COD</w:t>
            </w:r>
            <w:r>
              <w:rPr>
                <w:rFonts w:hint="default" w:ascii="Times New Roman" w:hAnsi="Times New Roman" w:eastAsia="宋体" w:cs="Times New Roman"/>
                <w:bCs/>
                <w:color w:val="auto"/>
                <w:kern w:val="2"/>
                <w:sz w:val="21"/>
                <w:szCs w:val="21"/>
                <w:u w:val="none"/>
                <w:vertAlign w:val="subscript"/>
                <w:lang w:val="en-US" w:eastAsia="zh-CN" w:bidi="ar-SA"/>
              </w:rPr>
              <w:t>Mn</w:t>
            </w:r>
          </w:p>
        </w:tc>
        <w:tc>
          <w:tcPr>
            <w:tcW w:w="1666" w:type="dxa"/>
            <w:noWrap w:val="0"/>
            <w:vAlign w:val="center"/>
          </w:tcPr>
          <w:p w14:paraId="4A659F7E">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 xml:space="preserve">1.20 </w:t>
            </w:r>
          </w:p>
        </w:tc>
        <w:tc>
          <w:tcPr>
            <w:tcW w:w="2140" w:type="dxa"/>
            <w:noWrap w:val="0"/>
            <w:vAlign w:val="center"/>
          </w:tcPr>
          <w:p w14:paraId="4325A22A">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u w:val="none"/>
                <w:lang w:val="en-US" w:eastAsia="zh-CN" w:bidi="ar-SA"/>
              </w:rPr>
              <w:t xml:space="preserve">16.35 </w:t>
            </w:r>
          </w:p>
        </w:tc>
        <w:tc>
          <w:tcPr>
            <w:tcW w:w="1341" w:type="pct"/>
            <w:vMerge w:val="continue"/>
            <w:noWrap w:val="0"/>
            <w:vAlign w:val="center"/>
          </w:tcPr>
          <w:p w14:paraId="1B0A6BF4">
            <w:pPr>
              <w:widowControl w:val="0"/>
              <w:spacing w:before="0" w:after="0" w:afterLines="0" w:line="240" w:lineRule="auto"/>
              <w:ind w:right="0"/>
              <w:jc w:val="center"/>
              <w:rPr>
                <w:rFonts w:hint="default" w:ascii="Times New Roman" w:hAnsi="Times New Roman" w:eastAsia="宋体" w:cs="Times New Roman"/>
                <w:color w:val="auto"/>
                <w:kern w:val="2"/>
                <w:sz w:val="21"/>
                <w:szCs w:val="21"/>
                <w:u w:val="none"/>
                <w:lang w:val="en-US" w:eastAsia="zh-CN" w:bidi="ar-SA"/>
              </w:rPr>
            </w:pPr>
          </w:p>
        </w:tc>
      </w:tr>
    </w:tbl>
    <w:p w14:paraId="436B6620">
      <w:pPr>
        <w:widowControl w:val="0"/>
        <w:spacing w:before="0" w:after="0" w:afterLines="0" w:line="360" w:lineRule="auto"/>
        <w:ind w:right="0"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根据上表计算结果可知，东山水库成库后富营养化程度属</w:t>
      </w:r>
      <w:r>
        <w:rPr>
          <w:rFonts w:hint="eastAsia" w:ascii="Times New Roman" w:hAnsi="Times New Roman" w:eastAsia="宋体" w:cs="Times New Roman"/>
          <w:color w:val="auto"/>
          <w:kern w:val="2"/>
          <w:sz w:val="24"/>
          <w:szCs w:val="24"/>
          <w:u w:val="none"/>
          <w:lang w:val="en-US" w:eastAsia="zh-CN" w:bidi="ar-SA"/>
        </w:rPr>
        <w:t>贫</w:t>
      </w:r>
      <w:r>
        <w:rPr>
          <w:rFonts w:hint="default" w:ascii="Times New Roman" w:hAnsi="Times New Roman" w:eastAsia="宋体" w:cs="Times New Roman"/>
          <w:color w:val="auto"/>
          <w:kern w:val="2"/>
          <w:sz w:val="24"/>
          <w:szCs w:val="24"/>
          <w:u w:val="none"/>
          <w:lang w:val="en-US" w:eastAsia="zh-CN" w:bidi="ar-SA"/>
        </w:rPr>
        <w:t>营养级，建设项目总体水质</w:t>
      </w:r>
      <w:r>
        <w:rPr>
          <w:rFonts w:hint="eastAsia" w:ascii="Times New Roman" w:hAnsi="Times New Roman" w:eastAsia="宋体" w:cs="Times New Roman"/>
          <w:color w:val="auto"/>
          <w:kern w:val="2"/>
          <w:sz w:val="24"/>
          <w:szCs w:val="24"/>
          <w:u w:val="none"/>
          <w:lang w:val="en-US" w:eastAsia="zh-CN" w:bidi="ar-SA"/>
        </w:rPr>
        <w:t>基本</w:t>
      </w:r>
      <w:r>
        <w:rPr>
          <w:rFonts w:hint="default" w:ascii="Times New Roman" w:hAnsi="Times New Roman" w:eastAsia="宋体" w:cs="Times New Roman"/>
          <w:color w:val="auto"/>
          <w:kern w:val="2"/>
          <w:sz w:val="24"/>
          <w:szCs w:val="24"/>
          <w:u w:val="none"/>
          <w:lang w:val="en-US" w:eastAsia="zh-CN" w:bidi="ar-SA"/>
        </w:rPr>
        <w:t>不会向富营养化状态转化。</w:t>
      </w:r>
    </w:p>
    <w:p w14:paraId="347BC898">
      <w:pPr>
        <w:spacing w:line="360" w:lineRule="auto"/>
        <w:ind w:firstLine="480" w:firstLineChars="200"/>
        <w:rPr>
          <w:rFonts w:hint="default" w:ascii="Times New Roman" w:hAnsi="Times New Roman" w:eastAsia="宋体" w:cs="Times New Roman"/>
          <w:color w:val="auto"/>
          <w:sz w:val="24"/>
          <w:u w:val="none"/>
          <w:lang w:eastAsia="zh-CN"/>
        </w:rPr>
      </w:pPr>
      <w:r>
        <w:rPr>
          <w:rFonts w:hint="default" w:ascii="Times New Roman" w:hAnsi="Times New Roman" w:eastAsia="宋体" w:cs="Times New Roman"/>
          <w:color w:val="auto"/>
          <w:sz w:val="24"/>
          <w:u w:val="none"/>
          <w:lang w:val="en-US" w:eastAsia="zh-CN"/>
        </w:rPr>
        <w:t xml:space="preserve">（3）对下游河道水质的影响 </w:t>
      </w:r>
    </w:p>
    <w:p w14:paraId="18E002A6">
      <w:pPr>
        <w:spacing w:line="360" w:lineRule="auto"/>
        <w:ind w:firstLine="480" w:firstLineChars="200"/>
        <w:rPr>
          <w:rFonts w:hint="default" w:ascii="Times New Roman" w:hAnsi="Times New Roman" w:eastAsia="宋体" w:cs="Times New Roman"/>
          <w:color w:val="auto"/>
          <w:sz w:val="24"/>
          <w:u w:val="none"/>
        </w:rPr>
      </w:pPr>
      <w:r>
        <w:rPr>
          <w:rFonts w:hint="default" w:ascii="Times New Roman" w:hAnsi="Times New Roman" w:eastAsia="宋体" w:cs="Times New Roman"/>
          <w:sz w:val="24"/>
          <w:szCs w:val="24"/>
        </w:rPr>
        <w:t>东山水库工程是一座以灌溉为主</w:t>
      </w:r>
      <w:r>
        <w:rPr>
          <w:rFonts w:hint="default" w:ascii="Times New Roman" w:hAnsi="Times New Roman" w:eastAsia="宋体" w:cs="Times New Roman"/>
          <w:sz w:val="24"/>
          <w:szCs w:val="24"/>
          <w:lang w:eastAsia="zh-CN"/>
        </w:rPr>
        <w:t>（设计灌溉面积</w:t>
      </w:r>
      <w:r>
        <w:rPr>
          <w:rFonts w:hint="default" w:ascii="Times New Roman" w:hAnsi="Times New Roman" w:eastAsia="宋体" w:cs="Times New Roman"/>
          <w:sz w:val="24"/>
          <w:szCs w:val="24"/>
          <w:lang w:val="en-US" w:eastAsia="zh-CN"/>
        </w:rPr>
        <w:t>3.1万亩</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，兼有防洪</w:t>
      </w:r>
      <w:r>
        <w:rPr>
          <w:rFonts w:hint="default" w:ascii="Times New Roman" w:hAnsi="Times New Roman" w:eastAsia="宋体" w:cs="Times New Roman"/>
          <w:sz w:val="24"/>
          <w:szCs w:val="24"/>
          <w:lang w:eastAsia="zh-CN"/>
        </w:rPr>
        <w:t>（保护下游人口</w:t>
      </w:r>
      <w:r>
        <w:rPr>
          <w:rFonts w:hint="default" w:ascii="Times New Roman" w:hAnsi="Times New Roman" w:eastAsia="宋体" w:cs="Times New Roman"/>
          <w:sz w:val="24"/>
          <w:szCs w:val="24"/>
          <w:lang w:val="en-US" w:eastAsia="zh-CN"/>
        </w:rPr>
        <w:t>2.5万人</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、供水</w:t>
      </w:r>
      <w:r>
        <w:rPr>
          <w:rFonts w:hint="default" w:ascii="Times New Roman" w:hAnsi="Times New Roman" w:eastAsia="宋体" w:cs="Times New Roman"/>
          <w:sz w:val="24"/>
          <w:szCs w:val="24"/>
          <w:lang w:eastAsia="zh-CN"/>
        </w:rPr>
        <w:t>（年供水量</w:t>
      </w:r>
      <w:r>
        <w:rPr>
          <w:rFonts w:hint="default" w:ascii="Times New Roman" w:hAnsi="Times New Roman" w:eastAsia="宋体" w:cs="Times New Roman"/>
          <w:sz w:val="24"/>
          <w:szCs w:val="24"/>
          <w:lang w:val="en-US" w:eastAsia="zh-CN"/>
        </w:rPr>
        <w:t>96万m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等综合效益的水利工程</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color w:val="auto"/>
          <w:sz w:val="24"/>
          <w:u w:val="none"/>
          <w:lang w:eastAsia="zh-CN"/>
        </w:rPr>
        <w:t>东山水库</w:t>
      </w:r>
      <w:r>
        <w:rPr>
          <w:rFonts w:hint="default" w:ascii="Times New Roman" w:hAnsi="Times New Roman" w:eastAsia="宋体" w:cs="Times New Roman"/>
          <w:color w:val="auto"/>
          <w:sz w:val="24"/>
          <w:u w:val="none"/>
        </w:rPr>
        <w:t>建成后自身无废水排放，</w:t>
      </w:r>
      <w:r>
        <w:rPr>
          <w:rFonts w:hint="default" w:ascii="Times New Roman" w:hAnsi="Times New Roman" w:eastAsia="宋体" w:cs="Times New Roman"/>
          <w:color w:val="auto"/>
          <w:sz w:val="24"/>
          <w:u w:val="none"/>
          <w:lang w:eastAsia="zh-CN"/>
        </w:rPr>
        <w:t>管理人员生活污水产生量小，经化粪池处理后</w:t>
      </w:r>
      <w:r>
        <w:rPr>
          <w:rFonts w:hint="default" w:ascii="Times New Roman" w:hAnsi="Times New Roman" w:eastAsia="宋体" w:cs="Times New Roman"/>
          <w:color w:val="auto"/>
          <w:sz w:val="24"/>
          <w:u w:val="none"/>
        </w:rPr>
        <w:t>对下游河段水质基本无影响</w:t>
      </w:r>
      <w:r>
        <w:rPr>
          <w:rFonts w:hint="default" w:ascii="Times New Roman" w:hAnsi="Times New Roman" w:eastAsia="宋体" w:cs="Times New Roman"/>
          <w:color w:val="auto"/>
          <w:sz w:val="24"/>
          <w:u w:val="none"/>
          <w:lang w:eastAsia="zh-CN"/>
        </w:rPr>
        <w:t>。但</w:t>
      </w:r>
      <w:r>
        <w:rPr>
          <w:rFonts w:hint="default" w:ascii="Times New Roman" w:hAnsi="Times New Roman" w:eastAsia="宋体" w:cs="Times New Roman"/>
          <w:color w:val="auto"/>
          <w:sz w:val="24"/>
          <w:u w:val="none"/>
        </w:rPr>
        <w:t>由于大坝截流和水库引水供区域饮水、农业灌溉，水库蓄水导流造成坝后河段水量减小，水体自净能力降低，对下游水环境有一定影响。</w:t>
      </w:r>
    </w:p>
    <w:p w14:paraId="58B43B4A">
      <w:pPr>
        <w:spacing w:line="360" w:lineRule="auto"/>
        <w:ind w:firstLine="480" w:firstLineChars="200"/>
        <w:rPr>
          <w:rFonts w:hint="default" w:ascii="Times New Roman" w:hAnsi="Times New Roman" w:eastAsia="宋体" w:cs="Times New Roman"/>
          <w:color w:val="auto"/>
          <w:sz w:val="24"/>
          <w:u w:val="none"/>
          <w:lang w:val="en-US" w:eastAsia="zh-CN"/>
        </w:rPr>
      </w:pPr>
      <w:r>
        <w:rPr>
          <w:rFonts w:hint="default" w:ascii="Times New Roman" w:hAnsi="Times New Roman" w:eastAsia="宋体" w:cs="Times New Roman"/>
          <w:color w:val="auto"/>
          <w:sz w:val="24"/>
          <w:u w:val="none"/>
          <w:lang w:val="en-US" w:eastAsia="zh-CN"/>
        </w:rPr>
        <w:t>根据现场调查及相关资料，下游河段</w:t>
      </w:r>
      <w:r>
        <w:rPr>
          <w:rFonts w:hint="default" w:ascii="Times New Roman" w:hAnsi="Times New Roman" w:eastAsia="宋体" w:cs="Times New Roman"/>
          <w:color w:val="auto"/>
          <w:sz w:val="24"/>
          <w:u w:val="none"/>
        </w:rPr>
        <w:t>沿岸主要发展农业，居民主要为散居农户等，无集中式排污口</w:t>
      </w:r>
      <w:r>
        <w:rPr>
          <w:rFonts w:hint="default" w:ascii="Times New Roman" w:hAnsi="Times New Roman" w:eastAsia="宋体" w:cs="Times New Roman"/>
          <w:color w:val="auto"/>
          <w:sz w:val="24"/>
          <w:u w:val="none"/>
          <w:lang w:eastAsia="zh-CN"/>
        </w:rPr>
        <w:t>，下游河段</w:t>
      </w:r>
      <w:r>
        <w:rPr>
          <w:rFonts w:hint="default" w:ascii="Times New Roman" w:hAnsi="Times New Roman" w:eastAsia="宋体" w:cs="Times New Roman"/>
          <w:color w:val="auto"/>
          <w:sz w:val="24"/>
          <w:u w:val="none"/>
          <w:lang w:val="en-US" w:eastAsia="zh-CN"/>
        </w:rPr>
        <w:t>面源污染主要为农田退水、河流沿岸村庄以散排形式汇流入河的生活污水以及畜禽养殖废水，另外降雨冲刷农田也会产生少量径流携带农药、化肥等残留物进入水体。水库建成后，随供水灌区水田面积增加、流域人口数量增多，生活污水等入河污染物排放量相对有所增加。根据现有收集资料，东山水库建成后下游大荆湖水质能满足《地表水环境质量标准》（GB3838-2002）III类标准限值要求。</w:t>
      </w:r>
    </w:p>
    <w:p w14:paraId="0F44C859">
      <w:pPr>
        <w:numPr>
          <w:ilvl w:val="0"/>
          <w:numId w:val="21"/>
        </w:numPr>
        <w:spacing w:line="360" w:lineRule="auto"/>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水文情势影响回顾分析</w:t>
      </w:r>
    </w:p>
    <w:p w14:paraId="0096C851">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（1）对库区水文情势影响分析</w:t>
      </w:r>
    </w:p>
    <w:p w14:paraId="7F4140A5">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东山水库建成后，坝址断面水位高程为67.5m(正常蓄水位)，坝前水位抬升，河面水域面积变大，坝前水深增加，库区水体流速从库尾到坝前逐渐减小，水体流态趋缓，正常库容960.6万m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。东山水库运行期坝前水位基本在死水位（48.3m)～正常蓄水位(67.5m)之间变化。</w:t>
      </w:r>
    </w:p>
    <w:p w14:paraId="09027867">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根据初步设计报告，东山水库附近地形变化不大,因此东山水库水位～库容曲线采用原设计资料，据测绘专业提供的信息，对其高程系统进行变更，原高程系统为相对高程系统，统一减少2.7m转换成1985国家高程基准，成果见表4.1-4及图4.1-1。</w:t>
      </w:r>
    </w:p>
    <w:p w14:paraId="1DECB7AA">
      <w:pPr>
        <w:widowControl w:val="0"/>
        <w:spacing w:before="0" w:after="0" w:afterLines="0" w:line="240" w:lineRule="auto"/>
        <w:ind w:right="0"/>
        <w:jc w:val="center"/>
        <w:rPr>
          <w:rFonts w:hint="default" w:ascii="Times New Roman" w:hAnsi="Times New Roman" w:eastAsia="宋体" w:cs="Times New Roman"/>
          <w:b/>
          <w:bCs/>
          <w:color w:val="auto"/>
          <w:kern w:val="2"/>
          <w:sz w:val="24"/>
          <w:szCs w:val="24"/>
          <w:u w:val="none"/>
          <w:lang w:val="en-US" w:eastAsia="zh-CN" w:bidi="ar-SA"/>
        </w:rPr>
      </w:pPr>
      <w:r>
        <w:rPr>
          <w:rFonts w:hint="default" w:ascii="Times New Roman" w:hAnsi="Times New Roman" w:eastAsia="宋体" w:cs="Times New Roman"/>
          <w:b/>
          <w:bCs/>
          <w:color w:val="auto"/>
          <w:kern w:val="2"/>
          <w:sz w:val="24"/>
          <w:szCs w:val="24"/>
          <w:u w:val="none"/>
          <w:lang w:val="en-US" w:eastAsia="zh-CN" w:bidi="ar-SA"/>
        </w:rPr>
        <w:t>表4.1-4   东山水库库容曲线</w:t>
      </w:r>
    </w:p>
    <w:p w14:paraId="17E8DA4A">
      <w:pPr>
        <w:numPr>
          <w:ilvl w:val="0"/>
          <w:numId w:val="0"/>
        </w:numPr>
        <w:spacing w:line="360" w:lineRule="auto"/>
        <w:jc w:val="center"/>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5862320" cy="3793490"/>
            <wp:effectExtent l="0" t="0" r="5080" b="1270"/>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67">
                      <a:lum bright="-12000" contrast="24000"/>
                    </a:blip>
                    <a:srcRect t="21380" b="7033"/>
                    <a:stretch>
                      <a:fillRect/>
                    </a:stretch>
                  </pic:blipFill>
                  <pic:spPr>
                    <a:xfrm>
                      <a:off x="0" y="0"/>
                      <a:ext cx="5862320" cy="3793490"/>
                    </a:xfrm>
                    <a:prstGeom prst="rect">
                      <a:avLst/>
                    </a:prstGeom>
                    <a:noFill/>
                    <a:ln>
                      <a:noFill/>
                    </a:ln>
                  </pic:spPr>
                </pic:pic>
              </a:graphicData>
            </a:graphic>
          </wp:inline>
        </w:drawing>
      </w:r>
    </w:p>
    <w:p w14:paraId="36CFA357">
      <w:pPr>
        <w:numPr>
          <w:ilvl w:val="0"/>
          <w:numId w:val="0"/>
        </w:numPr>
        <w:spacing w:line="360" w:lineRule="auto"/>
        <w:jc w:val="center"/>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sz w:val="24"/>
          <w:szCs w:val="24"/>
          <w:lang w:eastAsia="zh-CN"/>
        </w:rPr>
        <w:t>图</w:t>
      </w:r>
      <w:r>
        <w:rPr>
          <w:rFonts w:hint="default" w:ascii="Times New Roman" w:hAnsi="Times New Roman" w:eastAsia="宋体" w:cs="Times New Roman"/>
          <w:b/>
          <w:bCs/>
          <w:sz w:val="24"/>
          <w:szCs w:val="24"/>
          <w:lang w:val="en-US" w:eastAsia="zh-CN"/>
        </w:rPr>
        <w:t>4.1-1  东山水库水位</w:t>
      </w:r>
      <w:r>
        <w:rPr>
          <w:rFonts w:hint="default" w:ascii="Times New Roman" w:hAnsi="Times New Roman" w:eastAsia="宋体" w:cs="Times New Roman"/>
          <w:b/>
          <w:bCs/>
          <w:color w:val="000000"/>
          <w:kern w:val="0"/>
          <w:sz w:val="24"/>
          <w:szCs w:val="24"/>
          <w:lang w:val="en-US" w:eastAsia="zh-CN" w:bidi="ar"/>
        </w:rPr>
        <w:t>～库容曲线</w:t>
      </w:r>
    </w:p>
    <w:p w14:paraId="751FD8D8">
      <w:pPr>
        <w:numPr>
          <w:ilvl w:val="0"/>
          <w:numId w:val="22"/>
        </w:numPr>
        <w:spacing w:line="360" w:lineRule="auto"/>
        <w:ind w:firstLine="480" w:firstLineChars="200"/>
        <w:jc w:val="both"/>
        <w:rPr>
          <w:rFonts w:hint="default" w:ascii="Times New Roman" w:hAnsi="Times New Roman" w:eastAsia="宋体" w:cs="Times New Roman"/>
          <w:b w:val="0"/>
          <w:bCs w:val="0"/>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洪水</w:t>
      </w:r>
    </w:p>
    <w:p w14:paraId="33D13E04">
      <w:pPr>
        <w:spacing w:beforeLines="0" w:afterLines="0"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根据初步设计方案，由</w:t>
      </w:r>
      <w:r>
        <w:rPr>
          <w:rFonts w:hint="default" w:ascii="Times New Roman" w:hAnsi="Times New Roman" w:eastAsia="宋体" w:cs="Times New Roman"/>
          <w:sz w:val="24"/>
          <w:szCs w:val="24"/>
        </w:rPr>
        <w:t>华容县东山水库管理所提供的华容县东山水库汛期调度方案，汛期洪水调度原则如下：</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当库水位接近防洪控制水位</w:t>
      </w:r>
      <w:r>
        <w:rPr>
          <w:rFonts w:hint="default" w:ascii="Times New Roman" w:hAnsi="Times New Roman" w:eastAsia="Times New Roman" w:cs="Times New Roman"/>
          <w:sz w:val="24"/>
          <w:szCs w:val="24"/>
        </w:rPr>
        <w:t>65.8m</w:t>
      </w:r>
      <w:r>
        <w:rPr>
          <w:rFonts w:hint="default" w:ascii="Times New Roman" w:hAnsi="Times New Roman" w:eastAsia="宋体" w:cs="Times New Roman"/>
          <w:sz w:val="24"/>
          <w:szCs w:val="24"/>
        </w:rPr>
        <w:t>，在水库集雨面积内天气预报有强降雨时，通过输水隧洞泄水，提前腾空水库，确保水位控制在防洪控制水位以下</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w:t>
      </w:r>
      <w:r>
        <w:rPr>
          <w:rFonts w:hint="default" w:ascii="Times New Roman" w:hAnsi="Times New Roman" w:eastAsia="Times New Roman" w:cs="Times New Roman"/>
          <w:sz w:val="24"/>
          <w:szCs w:val="24"/>
        </w:rPr>
        <w:t>2</w:t>
      </w:r>
      <w:r>
        <w:rPr>
          <w:rFonts w:hint="default" w:ascii="Times New Roman" w:hAnsi="Times New Roman" w:eastAsia="宋体" w:cs="Times New Roman"/>
          <w:sz w:val="24"/>
          <w:szCs w:val="24"/>
        </w:rPr>
        <w:t>）当库水位超过防洪控制水位</w:t>
      </w:r>
      <w:r>
        <w:rPr>
          <w:rFonts w:hint="default" w:ascii="Times New Roman" w:hAnsi="Times New Roman" w:eastAsia="Times New Roman" w:cs="Times New Roman"/>
          <w:sz w:val="24"/>
          <w:szCs w:val="24"/>
        </w:rPr>
        <w:t>65.8m</w:t>
      </w:r>
      <w:r>
        <w:rPr>
          <w:rFonts w:hint="default" w:ascii="Times New Roman" w:hAnsi="Times New Roman" w:eastAsia="宋体" w:cs="Times New Roman"/>
          <w:sz w:val="24"/>
          <w:szCs w:val="24"/>
        </w:rPr>
        <w:t>，在水库集雨面积内天气预报有强降雨时，加大输水隧洞泄水，控制水库水位</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w:t>
      </w:r>
      <w:r>
        <w:rPr>
          <w:rFonts w:hint="default" w:ascii="Times New Roman" w:hAnsi="Times New Roman" w:eastAsia="Times New Roman" w:cs="Times New Roman"/>
          <w:sz w:val="24"/>
          <w:szCs w:val="24"/>
        </w:rPr>
        <w:t>3</w:t>
      </w:r>
      <w:r>
        <w:rPr>
          <w:rFonts w:hint="default" w:ascii="Times New Roman" w:hAnsi="Times New Roman" w:eastAsia="宋体" w:cs="Times New Roman"/>
          <w:sz w:val="24"/>
          <w:szCs w:val="24"/>
        </w:rPr>
        <w:t>）当库水位达到正常水位</w:t>
      </w:r>
      <w:r>
        <w:rPr>
          <w:rFonts w:hint="default" w:ascii="Times New Roman" w:hAnsi="Times New Roman" w:eastAsia="Times New Roman" w:cs="Times New Roman"/>
          <w:sz w:val="24"/>
          <w:szCs w:val="24"/>
        </w:rPr>
        <w:t>67.5m</w:t>
      </w:r>
      <w:r>
        <w:rPr>
          <w:rFonts w:hint="default" w:ascii="Times New Roman" w:hAnsi="Times New Roman" w:eastAsia="宋体" w:cs="Times New Roman"/>
          <w:sz w:val="24"/>
          <w:szCs w:val="24"/>
        </w:rPr>
        <w:t>，在水库集雨面积内天气预报有强降雨时，水库溢洪道进入正常运行，溢洪道开始泄洪，同时输水隧洞全开泄水。</w:t>
      </w:r>
    </w:p>
    <w:p w14:paraId="79540C87">
      <w:pPr>
        <w:spacing w:beforeLines="0" w:afterLines="0" w:line="360" w:lineRule="auto"/>
        <w:ind w:firstLine="480" w:firstLineChars="200"/>
        <w:jc w:val="left"/>
        <w:rPr>
          <w:rFonts w:hint="default" w:ascii="Times New Roman" w:hAnsi="Times New Roman" w:eastAsia="宋体" w:cs="Times New Roman"/>
          <w:color w:val="auto"/>
          <w:sz w:val="24"/>
          <w:szCs w:val="24"/>
          <w:u w:val="none"/>
        </w:rPr>
      </w:pPr>
      <w:r>
        <w:rPr>
          <w:rFonts w:hint="default" w:ascii="Times New Roman" w:hAnsi="Times New Roman" w:eastAsia="宋体" w:cs="Times New Roman"/>
          <w:sz w:val="24"/>
          <w:szCs w:val="24"/>
          <w:lang w:eastAsia="zh-CN"/>
        </w:rPr>
        <w:t>东山水库</w:t>
      </w:r>
      <w:r>
        <w:rPr>
          <w:rFonts w:hint="default" w:ascii="Times New Roman" w:hAnsi="Times New Roman" w:eastAsia="宋体" w:cs="Times New Roman"/>
          <w:sz w:val="24"/>
          <w:szCs w:val="24"/>
        </w:rPr>
        <w:t>调洪原则为：在正常蓄水位（</w:t>
      </w:r>
      <w:r>
        <w:rPr>
          <w:rFonts w:hint="default" w:ascii="Times New Roman" w:hAnsi="Times New Roman" w:eastAsia="Times New Roman" w:cs="Times New Roman"/>
          <w:sz w:val="24"/>
          <w:szCs w:val="24"/>
        </w:rPr>
        <w:t>67.5m</w:t>
      </w:r>
      <w:r>
        <w:rPr>
          <w:rFonts w:hint="default" w:ascii="Times New Roman" w:hAnsi="Times New Roman" w:eastAsia="宋体" w:cs="Times New Roman"/>
          <w:sz w:val="24"/>
          <w:szCs w:val="24"/>
        </w:rPr>
        <w:t>）开始起调，按溢洪道的泄洪能力宣泄洪水，洪水自由下泄，后汛期随着洪水减少，洪水位逐渐降低，最后维持正常蓄水位，保证水库正常运行；同时，为水库安全起见，调洪演算时，只考虑溢洪道的泄流能力，其它输水设施均不参与泄洪。</w:t>
      </w:r>
    </w:p>
    <w:p w14:paraId="4C9DDC2D">
      <w:pPr>
        <w:spacing w:beforeLines="0" w:afterLines="0" w:line="360" w:lineRule="auto"/>
        <w:ind w:firstLine="480" w:firstLineChars="200"/>
        <w:jc w:val="left"/>
        <w:rPr>
          <w:rFonts w:hint="default" w:ascii="Times New Roman" w:hAnsi="Times New Roman" w:eastAsia="宋体" w:cs="Times New Roman"/>
          <w:color w:val="auto"/>
          <w:sz w:val="24"/>
          <w:szCs w:val="24"/>
          <w:u w:val="none"/>
        </w:rPr>
      </w:pPr>
      <w:r>
        <w:rPr>
          <w:rFonts w:hint="default" w:ascii="Times New Roman" w:hAnsi="Times New Roman" w:eastAsia="宋体" w:cs="Times New Roman"/>
          <w:sz w:val="24"/>
          <w:szCs w:val="24"/>
          <w:lang w:eastAsia="zh-CN"/>
        </w:rPr>
        <w:t>东山水库</w:t>
      </w:r>
      <w:r>
        <w:rPr>
          <w:rFonts w:hint="default" w:ascii="Times New Roman" w:hAnsi="Times New Roman" w:eastAsia="TimesNewRomanPSMT" w:cs="Times New Roman"/>
          <w:sz w:val="24"/>
          <w:szCs w:val="24"/>
        </w:rPr>
        <w:t>30</w:t>
      </w:r>
      <w:r>
        <w:rPr>
          <w:rFonts w:hint="default" w:ascii="Times New Roman" w:hAnsi="Times New Roman" w:eastAsia="宋体" w:cs="Times New Roman"/>
          <w:sz w:val="24"/>
          <w:szCs w:val="24"/>
        </w:rPr>
        <w:t>年一遇洪水位为</w:t>
      </w:r>
      <w:r>
        <w:rPr>
          <w:rFonts w:hint="default" w:ascii="Times New Roman" w:hAnsi="Times New Roman" w:eastAsia="TimesNewRomanPSMT" w:cs="Times New Roman"/>
          <w:sz w:val="24"/>
          <w:szCs w:val="24"/>
        </w:rPr>
        <w:t>68.21m</w:t>
      </w:r>
      <w:r>
        <w:rPr>
          <w:rFonts w:hint="default" w:ascii="Times New Roman" w:hAnsi="Times New Roman" w:eastAsia="宋体" w:cs="Times New Roman"/>
          <w:sz w:val="24"/>
          <w:szCs w:val="24"/>
        </w:rPr>
        <w:t>，相应下泄流量为</w:t>
      </w:r>
      <w:r>
        <w:rPr>
          <w:rFonts w:hint="default" w:ascii="Times New Roman" w:hAnsi="Times New Roman" w:eastAsia="TimesNewRomanPSMT" w:cs="Times New Roman"/>
          <w:sz w:val="24"/>
          <w:szCs w:val="24"/>
        </w:rPr>
        <w:t>40mm</w:t>
      </w:r>
      <w:r>
        <w:rPr>
          <w:rFonts w:hint="default" w:ascii="Times New Roman" w:hAnsi="Times New Roman" w:eastAsia="TimesNewRomanPSMT" w:cs="Times New Roman"/>
          <w:sz w:val="24"/>
          <w:szCs w:val="24"/>
          <w:vertAlign w:val="superscript"/>
        </w:rPr>
        <w:t>3</w:t>
      </w:r>
      <w:r>
        <w:rPr>
          <w:rFonts w:hint="default" w:ascii="Times New Roman" w:hAnsi="Times New Roman" w:eastAsia="TimesNewRomanPSMT" w:cs="Times New Roman"/>
          <w:sz w:val="24"/>
          <w:szCs w:val="24"/>
        </w:rPr>
        <w:t>/s</w:t>
      </w:r>
      <w:r>
        <w:rPr>
          <w:rFonts w:hint="default" w:ascii="Times New Roman" w:hAnsi="Times New Roman" w:eastAsia="宋体" w:cs="Times New Roman"/>
          <w:sz w:val="24"/>
          <w:szCs w:val="24"/>
        </w:rPr>
        <w:t>；</w:t>
      </w:r>
      <w:r>
        <w:rPr>
          <w:rFonts w:hint="default" w:ascii="Times New Roman" w:hAnsi="Times New Roman" w:eastAsia="TimesNewRomanPSMT" w:cs="Times New Roman"/>
          <w:sz w:val="24"/>
          <w:szCs w:val="24"/>
        </w:rPr>
        <w:t>100</w:t>
      </w:r>
      <w:r>
        <w:rPr>
          <w:rFonts w:hint="default" w:ascii="Times New Roman" w:hAnsi="Times New Roman" w:eastAsia="宋体" w:cs="Times New Roman"/>
          <w:sz w:val="24"/>
          <w:szCs w:val="24"/>
        </w:rPr>
        <w:t>年一遇设计洪水位为</w:t>
      </w:r>
      <w:r>
        <w:rPr>
          <w:rFonts w:hint="default" w:ascii="Times New Roman" w:hAnsi="Times New Roman" w:eastAsia="TimesNewRomanPSMT" w:cs="Times New Roman"/>
          <w:sz w:val="24"/>
          <w:szCs w:val="24"/>
        </w:rPr>
        <w:t>68.38m</w:t>
      </w:r>
      <w:r>
        <w:rPr>
          <w:rFonts w:hint="default" w:ascii="Times New Roman" w:hAnsi="Times New Roman" w:eastAsia="宋体" w:cs="Times New Roman"/>
          <w:sz w:val="24"/>
          <w:szCs w:val="24"/>
        </w:rPr>
        <w:t>，相应下泄流量为</w:t>
      </w:r>
      <w:r>
        <w:rPr>
          <w:rFonts w:hint="default" w:ascii="Times New Roman" w:hAnsi="Times New Roman" w:eastAsia="TimesNewRomanPSMT" w:cs="Times New Roman"/>
          <w:sz w:val="24"/>
          <w:szCs w:val="24"/>
        </w:rPr>
        <w:t>54m</w:t>
      </w:r>
      <w:r>
        <w:rPr>
          <w:rFonts w:hint="default" w:ascii="Times New Roman" w:hAnsi="Times New Roman" w:eastAsia="TimesNewRomanPSMT" w:cs="Times New Roman"/>
          <w:sz w:val="24"/>
          <w:szCs w:val="24"/>
          <w:vertAlign w:val="superscript"/>
        </w:rPr>
        <w:t>3</w:t>
      </w:r>
      <w:r>
        <w:rPr>
          <w:rFonts w:hint="default" w:ascii="Times New Roman" w:hAnsi="Times New Roman" w:eastAsia="TimesNewRomanPSMT" w:cs="Times New Roman"/>
          <w:sz w:val="24"/>
          <w:szCs w:val="24"/>
        </w:rPr>
        <w:t>/s</w:t>
      </w:r>
      <w:r>
        <w:rPr>
          <w:rFonts w:hint="default" w:ascii="Times New Roman" w:hAnsi="Times New Roman" w:eastAsia="宋体" w:cs="Times New Roman"/>
          <w:sz w:val="24"/>
          <w:szCs w:val="24"/>
        </w:rPr>
        <w:t>；</w:t>
      </w:r>
      <w:r>
        <w:rPr>
          <w:rFonts w:hint="default" w:ascii="Times New Roman" w:hAnsi="Times New Roman" w:eastAsia="TimesNewRomanPSMT" w:cs="Times New Roman"/>
          <w:sz w:val="24"/>
          <w:szCs w:val="24"/>
        </w:rPr>
        <w:t>1000</w:t>
      </w:r>
      <w:r>
        <w:rPr>
          <w:rFonts w:hint="default" w:ascii="Times New Roman" w:hAnsi="Times New Roman" w:eastAsia="宋体" w:cs="Times New Roman"/>
          <w:sz w:val="24"/>
          <w:szCs w:val="24"/>
        </w:rPr>
        <w:t>年一遇校核洪水位为</w:t>
      </w:r>
      <w:r>
        <w:rPr>
          <w:rFonts w:hint="default" w:ascii="Times New Roman" w:hAnsi="Times New Roman" w:eastAsia="TimesNewRomanPSMT" w:cs="Times New Roman"/>
          <w:sz w:val="24"/>
          <w:szCs w:val="24"/>
        </w:rPr>
        <w:t>68.71m</w:t>
      </w:r>
      <w:r>
        <w:rPr>
          <w:rFonts w:hint="default" w:ascii="Times New Roman" w:hAnsi="Times New Roman" w:eastAsia="宋体" w:cs="Times New Roman"/>
          <w:sz w:val="24"/>
          <w:szCs w:val="24"/>
        </w:rPr>
        <w:t>，相应下泄流量为</w:t>
      </w:r>
      <w:r>
        <w:rPr>
          <w:rFonts w:hint="default" w:ascii="Times New Roman" w:hAnsi="Times New Roman" w:eastAsia="TimesNewRomanPSMT" w:cs="Times New Roman"/>
          <w:sz w:val="24"/>
          <w:szCs w:val="24"/>
        </w:rPr>
        <w:t>88m</w:t>
      </w:r>
      <w:r>
        <w:rPr>
          <w:rFonts w:hint="default" w:ascii="Times New Roman" w:hAnsi="Times New Roman" w:eastAsia="TimesNewRomanPSMT" w:cs="Times New Roman"/>
          <w:sz w:val="24"/>
          <w:szCs w:val="24"/>
          <w:vertAlign w:val="superscript"/>
        </w:rPr>
        <w:t>3</w:t>
      </w:r>
      <w:r>
        <w:rPr>
          <w:rFonts w:hint="default" w:ascii="Times New Roman" w:hAnsi="Times New Roman" w:eastAsia="TimesNewRomanPSMT" w:cs="Times New Roman"/>
          <w:sz w:val="24"/>
          <w:szCs w:val="24"/>
        </w:rPr>
        <w:t>/s</w:t>
      </w:r>
      <w:r>
        <w:rPr>
          <w:rFonts w:hint="default" w:ascii="Times New Roman" w:hAnsi="Times New Roman" w:eastAsia="宋体" w:cs="Times New Roman"/>
          <w:sz w:val="24"/>
          <w:szCs w:val="24"/>
        </w:rPr>
        <w:t>。</w:t>
      </w:r>
    </w:p>
    <w:p w14:paraId="21ADDD34">
      <w:pPr>
        <w:numPr>
          <w:ilvl w:val="0"/>
          <w:numId w:val="0"/>
        </w:numPr>
        <w:spacing w:line="360" w:lineRule="auto"/>
        <w:ind w:firstLine="480" w:firstLineChars="200"/>
        <w:jc w:val="both"/>
        <w:rPr>
          <w:rFonts w:hint="default" w:ascii="Times New Roman" w:hAnsi="Times New Roman" w:eastAsia="宋体" w:cs="Times New Roman"/>
          <w:b w:val="0"/>
          <w:bCs w:val="0"/>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（3）泥沙</w:t>
      </w:r>
    </w:p>
    <w:p w14:paraId="7F9EBB67">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000000"/>
          <w:kern w:val="0"/>
          <w:sz w:val="24"/>
          <w:szCs w:val="24"/>
          <w:lang w:val="en-US" w:eastAsia="zh-CN" w:bidi="ar"/>
        </w:rPr>
        <w:t>水库建成后，河流泥沙的来源，少部分为来自高山区沿河冲蚀携带，绝大部分来自低山区水土流失。东山水库两岸地势较平坦，植被保护良好，两岸无大型滑坡体及厚层的松散堆积体，固体迳流来源较少，未有较严重的水土流失区，在暴雨洪水期，地表径流将携带一定的泥沙进入库区。东山水库目前暂无泥沙资料</w:t>
      </w:r>
      <w:r>
        <w:rPr>
          <w:rFonts w:hint="default" w:ascii="Times New Roman" w:hAnsi="Times New Roman" w:eastAsia="宋体" w:cs="Times New Roman"/>
          <w:sz w:val="24"/>
          <w:szCs w:val="24"/>
          <w:lang w:eastAsia="zh-CN"/>
        </w:rPr>
        <w:t>，本次除险加固将增加工程安全监测，包括</w:t>
      </w:r>
      <w:r>
        <w:rPr>
          <w:rFonts w:hint="default" w:ascii="Times New Roman" w:hAnsi="Times New Roman" w:eastAsia="宋体" w:cs="Times New Roman"/>
          <w:sz w:val="24"/>
          <w:szCs w:val="24"/>
        </w:rPr>
        <w:t>水文泥沙测验、库区及坝前泥沙淤积监测</w:t>
      </w:r>
      <w:r>
        <w:rPr>
          <w:rFonts w:hint="default" w:ascii="Times New Roman" w:hAnsi="Times New Roman" w:eastAsia="宋体" w:cs="Times New Roman"/>
          <w:sz w:val="24"/>
          <w:szCs w:val="24"/>
          <w:lang w:eastAsia="zh-CN"/>
        </w:rPr>
        <w:t>等。根据建设方提供资料，东山水库</w:t>
      </w:r>
      <w:r>
        <w:rPr>
          <w:rFonts w:hint="default" w:ascii="Times New Roman" w:hAnsi="Times New Roman" w:eastAsia="宋体" w:cs="Times New Roman"/>
          <w:color w:val="000000"/>
          <w:kern w:val="0"/>
          <w:sz w:val="24"/>
          <w:szCs w:val="24"/>
          <w:lang w:val="en-US" w:eastAsia="zh-CN" w:bidi="ar"/>
        </w:rPr>
        <w:t>库区因河段内流速减缓而引起的泥沙淤积不严重，未见明显淤积现象，对水库下游河道泥沙影响较小。</w:t>
      </w:r>
    </w:p>
    <w:p w14:paraId="0A9B108E">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（4）下</w:t>
      </w:r>
      <w:r>
        <w:rPr>
          <w:rFonts w:hint="default" w:ascii="Times New Roman" w:hAnsi="Times New Roman" w:eastAsia="宋体" w:cs="Times New Roman"/>
          <w:color w:val="000000"/>
          <w:kern w:val="0"/>
          <w:sz w:val="24"/>
          <w:szCs w:val="24"/>
          <w:lang w:val="en-US" w:eastAsia="zh-CN" w:bidi="ar"/>
        </w:rPr>
        <w:t xml:space="preserve">游流量保障情况 </w:t>
      </w:r>
    </w:p>
    <w:p w14:paraId="67FC1AD2">
      <w:pPr>
        <w:keepNext w:val="0"/>
        <w:keepLines w:val="0"/>
        <w:pageBreakBefore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4"/>
          <w:szCs w:val="24"/>
        </w:rPr>
        <w:t>东山水库是一座以灌溉为主，兼有防洪、供水等综合效益的水利工程</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color w:val="auto"/>
          <w:sz w:val="24"/>
          <w:u w:val="none"/>
          <w:lang w:eastAsia="zh-CN"/>
        </w:rPr>
        <w:t>东山</w:t>
      </w:r>
      <w:r>
        <w:rPr>
          <w:rFonts w:hint="default" w:ascii="Times New Roman" w:hAnsi="Times New Roman" w:eastAsia="宋体" w:cs="Times New Roman"/>
          <w:color w:val="auto"/>
          <w:sz w:val="24"/>
          <w:u w:val="none"/>
        </w:rPr>
        <w:t>水库建成蓄水后，总库容为</w:t>
      </w:r>
      <w:r>
        <w:rPr>
          <w:rFonts w:hint="default" w:ascii="Times New Roman" w:hAnsi="Times New Roman" w:eastAsia="宋体" w:cs="Times New Roman"/>
          <w:color w:val="auto"/>
          <w:sz w:val="24"/>
          <w:u w:val="none"/>
          <w:lang w:val="en-US" w:eastAsia="zh-CN"/>
        </w:rPr>
        <w:t>1054.5</w:t>
      </w:r>
      <w:r>
        <w:rPr>
          <w:rFonts w:hint="default" w:ascii="Times New Roman" w:hAnsi="Times New Roman" w:eastAsia="宋体" w:cs="Times New Roman"/>
          <w:color w:val="auto"/>
          <w:sz w:val="24"/>
          <w:u w:val="none"/>
        </w:rPr>
        <w:t>万m</w:t>
      </w:r>
      <w:r>
        <w:rPr>
          <w:rFonts w:hint="default" w:ascii="Times New Roman" w:hAnsi="Times New Roman" w:eastAsia="宋体" w:cs="Times New Roman"/>
          <w:color w:val="auto"/>
          <w:sz w:val="24"/>
          <w:u w:val="none"/>
          <w:vertAlign w:val="superscript"/>
        </w:rPr>
        <w:t>3</w:t>
      </w:r>
      <w:r>
        <w:rPr>
          <w:rFonts w:hint="default" w:ascii="Times New Roman" w:hAnsi="Times New Roman" w:eastAsia="宋体" w:cs="Times New Roman"/>
          <w:color w:val="auto"/>
          <w:sz w:val="24"/>
          <w:u w:val="none"/>
          <w:lang w:eastAsia="zh-CN"/>
        </w:rPr>
        <w:t>，正常库容</w:t>
      </w:r>
      <w:r>
        <w:rPr>
          <w:rFonts w:hint="default" w:ascii="Times New Roman" w:hAnsi="Times New Roman" w:eastAsia="宋体" w:cs="Times New Roman"/>
          <w:color w:val="auto"/>
          <w:sz w:val="24"/>
          <w:u w:val="none"/>
          <w:lang w:val="en-US" w:eastAsia="zh-CN"/>
        </w:rPr>
        <w:t>960.6</w:t>
      </w:r>
      <w:r>
        <w:rPr>
          <w:rFonts w:hint="default" w:ascii="Times New Roman" w:hAnsi="Times New Roman" w:eastAsia="宋体" w:cs="Times New Roman"/>
          <w:color w:val="auto"/>
          <w:sz w:val="24"/>
          <w:u w:val="none"/>
        </w:rPr>
        <w:t>万m</w:t>
      </w:r>
      <w:r>
        <w:rPr>
          <w:rFonts w:hint="default" w:ascii="Times New Roman" w:hAnsi="Times New Roman" w:eastAsia="宋体" w:cs="Times New Roman"/>
          <w:color w:val="auto"/>
          <w:sz w:val="24"/>
          <w:u w:val="none"/>
          <w:vertAlign w:val="superscript"/>
        </w:rPr>
        <w:t>3</w:t>
      </w:r>
      <w:r>
        <w:rPr>
          <w:rFonts w:hint="default" w:ascii="Times New Roman" w:hAnsi="Times New Roman" w:eastAsia="宋体" w:cs="Times New Roman"/>
          <w:color w:val="auto"/>
          <w:sz w:val="24"/>
          <w:u w:val="none"/>
        </w:rPr>
        <w:t>。通过径流调节后，</w:t>
      </w:r>
      <w:r>
        <w:rPr>
          <w:rFonts w:hint="default" w:ascii="Times New Roman" w:hAnsi="Times New Roman" w:eastAsia="宋体" w:cs="Times New Roman"/>
          <w:color w:val="auto"/>
          <w:sz w:val="24"/>
          <w:u w:val="none"/>
          <w:lang w:eastAsia="zh-CN"/>
        </w:rPr>
        <w:t>东山水库</w:t>
      </w:r>
      <w:r>
        <w:rPr>
          <w:rFonts w:hint="default" w:ascii="Times New Roman" w:hAnsi="Times New Roman" w:eastAsia="宋体" w:cs="Times New Roman"/>
          <w:color w:val="auto"/>
          <w:sz w:val="24"/>
          <w:u w:val="none"/>
        </w:rPr>
        <w:t>灌溉供水量为</w:t>
      </w:r>
      <w:r>
        <w:rPr>
          <w:rFonts w:hint="default" w:ascii="Times New Roman" w:hAnsi="Times New Roman" w:eastAsia="宋体" w:cs="Times New Roman"/>
          <w:color w:val="auto"/>
          <w:sz w:val="24"/>
          <w:u w:val="none"/>
          <w:lang w:val="en-US" w:eastAsia="zh-CN"/>
        </w:rPr>
        <w:t>96</w:t>
      </w:r>
      <w:r>
        <w:rPr>
          <w:rFonts w:hint="default" w:ascii="Times New Roman" w:hAnsi="Times New Roman" w:eastAsia="宋体" w:cs="Times New Roman"/>
          <w:color w:val="auto"/>
          <w:sz w:val="24"/>
          <w:u w:val="none"/>
        </w:rPr>
        <w:t>万m</w:t>
      </w:r>
      <w:r>
        <w:rPr>
          <w:rFonts w:hint="default" w:ascii="Times New Roman" w:hAnsi="Times New Roman" w:eastAsia="宋体" w:cs="Times New Roman"/>
          <w:color w:val="auto"/>
          <w:sz w:val="24"/>
          <w:u w:val="none"/>
          <w:vertAlign w:val="superscript"/>
        </w:rPr>
        <w:t>3</w:t>
      </w:r>
      <w:r>
        <w:rPr>
          <w:rFonts w:hint="default" w:ascii="Times New Roman" w:hAnsi="Times New Roman" w:eastAsia="宋体" w:cs="Times New Roman"/>
          <w:color w:val="auto"/>
          <w:sz w:val="24"/>
          <w:u w:val="none"/>
        </w:rPr>
        <w:t>，饮水供水量为1</w:t>
      </w:r>
      <w:r>
        <w:rPr>
          <w:rFonts w:hint="default" w:ascii="Times New Roman" w:hAnsi="Times New Roman" w:eastAsia="宋体" w:cs="Times New Roman"/>
          <w:color w:val="auto"/>
          <w:sz w:val="24"/>
          <w:u w:val="none"/>
          <w:lang w:val="en-US" w:eastAsia="zh-CN"/>
        </w:rPr>
        <w:t>02.2</w:t>
      </w:r>
      <w:r>
        <w:rPr>
          <w:rFonts w:hint="default" w:ascii="Times New Roman" w:hAnsi="Times New Roman" w:eastAsia="宋体" w:cs="Times New Roman"/>
          <w:color w:val="auto"/>
          <w:sz w:val="24"/>
          <w:u w:val="none"/>
        </w:rPr>
        <w:t>万m</w:t>
      </w:r>
      <w:r>
        <w:rPr>
          <w:rFonts w:hint="default" w:ascii="Times New Roman" w:hAnsi="Times New Roman" w:eastAsia="宋体" w:cs="Times New Roman"/>
          <w:color w:val="auto"/>
          <w:sz w:val="24"/>
          <w:u w:val="none"/>
          <w:vertAlign w:val="superscript"/>
        </w:rPr>
        <w:t>3</w:t>
      </w:r>
      <w:r>
        <w:rPr>
          <w:rFonts w:hint="default" w:ascii="Times New Roman" w:hAnsi="Times New Roman" w:eastAsia="宋体" w:cs="Times New Roman"/>
          <w:color w:val="auto"/>
          <w:sz w:val="24"/>
          <w:u w:val="none"/>
          <w:vertAlign w:val="baseline"/>
          <w:lang w:eastAsia="zh-CN"/>
        </w:rPr>
        <w:t>（</w:t>
      </w:r>
      <w:r>
        <w:rPr>
          <w:rFonts w:hint="default" w:ascii="Times New Roman" w:hAnsi="Times New Roman" w:eastAsia="宋体" w:cs="Times New Roman"/>
          <w:color w:val="000000"/>
          <w:sz w:val="24"/>
        </w:rPr>
        <w:t>三郎堰水厂</w:t>
      </w:r>
      <w:r>
        <w:rPr>
          <w:rFonts w:hint="default" w:ascii="Times New Roman" w:hAnsi="Times New Roman" w:eastAsia="宋体" w:cs="Times New Roman"/>
          <w:color w:val="auto"/>
          <w:sz w:val="24"/>
          <w:u w:val="none"/>
          <w:vertAlign w:val="baseline"/>
          <w:lang w:val="en-US" w:eastAsia="zh-CN"/>
        </w:rPr>
        <w:t>设计</w:t>
      </w:r>
      <w:r>
        <w:rPr>
          <w:rFonts w:hint="default" w:ascii="Times New Roman" w:hAnsi="Times New Roman" w:eastAsia="宋体" w:cs="Times New Roman"/>
          <w:sz w:val="24"/>
        </w:rPr>
        <w:t>供水规模为2800m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/d，日供水时间为24h</w:t>
      </w:r>
      <w:r>
        <w:rPr>
          <w:rFonts w:hint="default" w:ascii="Times New Roman" w:hAnsi="Times New Roman" w:eastAsia="宋体" w:cs="Times New Roman"/>
          <w:sz w:val="24"/>
          <w:lang w:eastAsia="zh-CN"/>
        </w:rPr>
        <w:t>，则供水量约为</w:t>
      </w:r>
      <w:r>
        <w:rPr>
          <w:rFonts w:hint="default" w:ascii="Times New Roman" w:hAnsi="Times New Roman" w:eastAsia="宋体" w:cs="Times New Roman"/>
          <w:sz w:val="24"/>
          <w:lang w:val="en-US" w:eastAsia="zh-CN"/>
        </w:rPr>
        <w:t>102.2</w:t>
      </w:r>
      <w:r>
        <w:rPr>
          <w:rFonts w:hint="default" w:ascii="Times New Roman" w:hAnsi="Times New Roman" w:eastAsia="宋体" w:cs="Times New Roman"/>
          <w:color w:val="auto"/>
          <w:sz w:val="24"/>
          <w:u w:val="none"/>
        </w:rPr>
        <w:t>万m</w:t>
      </w:r>
      <w:r>
        <w:rPr>
          <w:rFonts w:hint="default" w:ascii="Times New Roman" w:hAnsi="Times New Roman" w:eastAsia="宋体" w:cs="Times New Roman"/>
          <w:color w:val="auto"/>
          <w:sz w:val="24"/>
          <w:u w:val="none"/>
          <w:vertAlign w:val="superscript"/>
        </w:rPr>
        <w:t>3</w:t>
      </w:r>
      <w:r>
        <w:rPr>
          <w:rFonts w:hint="default" w:ascii="Times New Roman" w:hAnsi="Times New Roman" w:eastAsia="宋体" w:cs="Times New Roman"/>
          <w:color w:val="auto"/>
          <w:sz w:val="24"/>
          <w:u w:val="none"/>
          <w:vertAlign w:val="baseline"/>
          <w:lang w:eastAsia="zh-CN"/>
        </w:rPr>
        <w:t>）</w:t>
      </w:r>
      <w:r>
        <w:rPr>
          <w:rFonts w:hint="default" w:ascii="Times New Roman" w:hAnsi="Times New Roman" w:eastAsia="宋体" w:cs="Times New Roman"/>
          <w:color w:val="auto"/>
          <w:sz w:val="24"/>
          <w:u w:val="none"/>
          <w:lang w:eastAsia="zh-CN"/>
        </w:rPr>
        <w:t>。</w:t>
      </w:r>
    </w:p>
    <w:p w14:paraId="4A82A162">
      <w:pPr>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kern w:val="0"/>
          <w:sz w:val="24"/>
          <w:szCs w:val="24"/>
          <w:lang w:val="en-US" w:eastAsia="zh-CN" w:bidi="ar"/>
        </w:rPr>
        <w:t>饮水供水：</w:t>
      </w:r>
      <w:r>
        <w:rPr>
          <w:rFonts w:hint="default" w:ascii="Times New Roman" w:hAnsi="Times New Roman" w:eastAsia="宋体" w:cs="Times New Roman"/>
          <w:color w:val="000000"/>
          <w:sz w:val="24"/>
        </w:rPr>
        <w:t>三郎堰水厂位于东山镇仙鹅寺村，主要供水水源为东山水库，属于地表水水库水源。</w:t>
      </w:r>
      <w:r>
        <w:rPr>
          <w:rFonts w:hint="default" w:ascii="Times New Roman" w:hAnsi="Times New Roman" w:eastAsia="宋体" w:cs="Times New Roman"/>
          <w:sz w:val="24"/>
        </w:rPr>
        <w:t>华容县东山镇三郎堰水厂农村饮水安全集中供水工程供水范围主要涉及以下几个行政区域：先红村、关山村、天井山村、仙鹅寺村、华容道村、马安村、牌坊村、虚场（居委会）等7个村和1个居委会19489人的饮水问题。水厂通过输水泵输水到沉淀池，再到滤池，经消毒处理后，再到清水池。水厂净水工艺主要为沉淀、过滤和消毒。本供水工程由取水泵房、输水管道、净化设施、清水池及供水管网组成，设计供水规模为2800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/d，日供水时间为24h</w:t>
      </w:r>
      <w:r>
        <w:rPr>
          <w:rFonts w:hint="default" w:ascii="Times New Roman" w:hAnsi="Times New Roman" w:eastAsia="宋体" w:cs="Times New Roman"/>
          <w:sz w:val="24"/>
          <w:lang w:eastAsia="zh-CN"/>
        </w:rPr>
        <w:t>，年设计取水量</w:t>
      </w:r>
      <w:r>
        <w:rPr>
          <w:rFonts w:hint="default" w:ascii="Times New Roman" w:hAnsi="Times New Roman" w:eastAsia="宋体" w:cs="Times New Roman"/>
          <w:color w:val="auto"/>
          <w:sz w:val="24"/>
          <w:u w:val="none"/>
        </w:rPr>
        <w:t>1</w:t>
      </w:r>
      <w:r>
        <w:rPr>
          <w:rFonts w:hint="default" w:ascii="Times New Roman" w:hAnsi="Times New Roman" w:eastAsia="宋体" w:cs="Times New Roman"/>
          <w:color w:val="auto"/>
          <w:sz w:val="24"/>
          <w:u w:val="none"/>
          <w:lang w:val="en-US" w:eastAsia="zh-CN"/>
        </w:rPr>
        <w:t>02.2</w:t>
      </w:r>
      <w:r>
        <w:rPr>
          <w:rFonts w:hint="default" w:ascii="Times New Roman" w:hAnsi="Times New Roman" w:eastAsia="宋体" w:cs="Times New Roman"/>
          <w:color w:val="auto"/>
          <w:sz w:val="24"/>
          <w:u w:val="none"/>
        </w:rPr>
        <w:t>万m</w:t>
      </w:r>
      <w:r>
        <w:rPr>
          <w:rFonts w:hint="default" w:ascii="Times New Roman" w:hAnsi="Times New Roman" w:eastAsia="宋体" w:cs="Times New Roman"/>
          <w:color w:val="auto"/>
          <w:sz w:val="24"/>
          <w:u w:val="none"/>
          <w:vertAlign w:val="superscript"/>
        </w:rPr>
        <w:t>3</w:t>
      </w:r>
      <w:r>
        <w:rPr>
          <w:rFonts w:hint="default" w:ascii="Times New Roman" w:hAnsi="Times New Roman" w:eastAsia="宋体" w:cs="Times New Roman"/>
          <w:sz w:val="24"/>
        </w:rPr>
        <w:t>。</w:t>
      </w:r>
    </w:p>
    <w:p w14:paraId="295D5D15">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灌溉和下游河流供水：输水暗涵位于大坝左端坝体内，为钢筋砼圆管，断面为圆形，内径1.5m，长125.0m，进口底板高程48.30m，出口底板高程48.30m，设计流量为2.5m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/s，进口连接输水隧洞出口，出口段为分水闸，采用平板钢闸门，5t斜拉式启闭机启闭。输水隧洞设计流量为2.5m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/s，过水断面能够满足用水要求。</w:t>
      </w:r>
    </w:p>
    <w:p w14:paraId="69C03F7C">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东山水库已运行约50年，</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东山水库</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为多年调节水库，具有防洪、灌溉、供水的任务，在既定的运行调度方式下，大坝设置有输水隧洞，下游生态用水由水库管理人员按需放水，由输水隧洞向下游河道供水，</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保证下游河段的生态用水。水厂取水设置浮桥和水泵按需取水。</w:t>
      </w:r>
      <w:r>
        <w:rPr>
          <w:rFonts w:hint="default" w:ascii="Times New Roman" w:hAnsi="Times New Roman" w:eastAsia="宋体" w:cs="Times New Roman"/>
          <w:color w:val="000000"/>
          <w:kern w:val="0"/>
          <w:sz w:val="24"/>
          <w:szCs w:val="24"/>
          <w:lang w:val="en-US" w:eastAsia="zh-CN" w:bidi="ar"/>
        </w:rPr>
        <w:t>东山水库出库流量基本可满足水库生态流量的管控要求，水库大坝蓄水有利于保障下游供水。</w:t>
      </w:r>
    </w:p>
    <w:p w14:paraId="11D1A3E3">
      <w:pPr>
        <w:keepNext w:val="0"/>
        <w:keepLines w:val="0"/>
        <w:widowControl/>
        <w:numPr>
          <w:ilvl w:val="0"/>
          <w:numId w:val="0"/>
        </w:numPr>
        <w:suppressLineNumbers w:val="0"/>
        <w:spacing w:line="360" w:lineRule="auto"/>
        <w:ind w:left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（5）水温</w:t>
      </w:r>
    </w:p>
    <w:p w14:paraId="6C2830EB">
      <w:pPr>
        <w:keepNext w:val="0"/>
        <w:keepLines w:val="0"/>
        <w:widowControl/>
        <w:numPr>
          <w:ilvl w:val="0"/>
          <w:numId w:val="0"/>
        </w:numPr>
        <w:suppressLineNumbers w:val="0"/>
        <w:spacing w:line="360" w:lineRule="auto"/>
        <w:ind w:firstLine="480" w:firstLineChars="200"/>
        <w:jc w:val="left"/>
        <w:rPr>
          <w:rFonts w:hint="default" w:ascii="Times New Roman" w:hAnsi="Times New Roman" w:eastAsia="宋体" w:cs="Times New Roman"/>
          <w:color w:val="auto"/>
          <w:sz w:val="24"/>
          <w:szCs w:val="24"/>
          <w:u w:val="none"/>
        </w:rPr>
      </w:pPr>
      <w:r>
        <w:rPr>
          <w:rFonts w:hint="default" w:ascii="Times New Roman" w:hAnsi="Times New Roman" w:eastAsia="宋体" w:cs="Times New Roman"/>
          <w:color w:val="auto"/>
          <w:sz w:val="24"/>
          <w:szCs w:val="24"/>
          <w:u w:val="none"/>
          <w:lang w:eastAsia="zh-CN"/>
        </w:rPr>
        <w:t>东山水库</w:t>
      </w:r>
      <w:r>
        <w:rPr>
          <w:rFonts w:hint="default" w:ascii="Times New Roman" w:hAnsi="Times New Roman" w:eastAsia="宋体" w:cs="Times New Roman"/>
          <w:color w:val="auto"/>
          <w:sz w:val="24"/>
          <w:szCs w:val="24"/>
          <w:u w:val="none"/>
        </w:rPr>
        <w:t>蓄水后，水体温度将会发生改变，影响水库水温发生变化的因素除水文、气候变化，水体内部热能交换，还与水库特性和水库运行调度有关。水库水体温度受上述诸多因素制约，按其垂直结构形式分为分层型、混合型、过渡型。</w:t>
      </w:r>
    </w:p>
    <w:p w14:paraId="3A53F6A2">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olor w:val="000000"/>
          <w:kern w:val="0"/>
          <w:sz w:val="24"/>
          <w:szCs w:val="24"/>
          <w:lang w:val="en-US" w:eastAsia="zh-CN" w:bidi="ar"/>
        </w:rPr>
        <w:t>东山水库</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为中型水库，</w:t>
      </w:r>
      <w:r>
        <w:rPr>
          <w:rFonts w:hint="default" w:ascii="Times New Roman" w:hAnsi="Times New Roman" w:eastAsia="宋体" w:cs="Times New Roman"/>
          <w:color w:val="000000"/>
          <w:kern w:val="0"/>
          <w:sz w:val="24"/>
          <w:szCs w:val="24"/>
          <w:lang w:val="en-US" w:eastAsia="zh-CN" w:bidi="ar"/>
        </w:rPr>
        <w:t>建成后最大坝高26m，水库调节库容小，水库水体温度仍基本保持天然径流状况，</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垂向分布大致相同，不存在水温分层现象</w:t>
      </w:r>
      <w:r>
        <w:rPr>
          <w:rFonts w:hint="default" w:ascii="Times New Roman" w:hAnsi="Times New Roman" w:eastAsia="宋体" w:cs="Times New Roman"/>
          <w:color w:val="000000"/>
          <w:kern w:val="0"/>
          <w:sz w:val="24"/>
          <w:szCs w:val="24"/>
          <w:lang w:val="en-US" w:eastAsia="zh-CN" w:bidi="ar"/>
        </w:rPr>
        <w:t>。东山水库主要功能为</w:t>
      </w:r>
      <w:r>
        <w:rPr>
          <w:rFonts w:hint="default" w:ascii="Times New Roman" w:hAnsi="Times New Roman" w:eastAsia="宋体" w:cs="Times New Roman"/>
          <w:color w:val="auto"/>
          <w:sz w:val="24"/>
          <w:szCs w:val="24"/>
          <w:u w:val="none"/>
        </w:rPr>
        <w:t>农业灌溉，</w:t>
      </w:r>
      <w:r>
        <w:rPr>
          <w:rFonts w:hint="default" w:ascii="Times New Roman" w:hAnsi="Times New Roman" w:eastAsia="宋体" w:cs="Times New Roman"/>
          <w:color w:val="auto"/>
          <w:sz w:val="24"/>
          <w:szCs w:val="24"/>
          <w:u w:val="none"/>
          <w:lang w:eastAsia="zh-CN"/>
        </w:rPr>
        <w:t>下游</w:t>
      </w:r>
      <w:r>
        <w:rPr>
          <w:rFonts w:hint="default" w:ascii="Times New Roman" w:hAnsi="Times New Roman" w:eastAsia="宋体" w:cs="Times New Roman"/>
          <w:color w:val="auto"/>
          <w:sz w:val="24"/>
          <w:szCs w:val="24"/>
          <w:u w:val="none"/>
        </w:rPr>
        <w:t>灌溉农作物主要有水稻、玉米、红薯及油菜</w:t>
      </w:r>
      <w:r>
        <w:rPr>
          <w:rFonts w:hint="default" w:ascii="Times New Roman" w:hAnsi="Times New Roman" w:eastAsia="宋体" w:cs="Times New Roman"/>
          <w:color w:val="auto"/>
          <w:sz w:val="24"/>
          <w:szCs w:val="24"/>
          <w:u w:val="none"/>
          <w:lang w:eastAsia="zh-CN"/>
        </w:rPr>
        <w:t>等</w:t>
      </w:r>
      <w:r>
        <w:rPr>
          <w:rFonts w:hint="default" w:ascii="Times New Roman" w:hAnsi="Times New Roman" w:eastAsia="宋体" w:cs="Times New Roman"/>
          <w:color w:val="auto"/>
          <w:sz w:val="24"/>
          <w:szCs w:val="24"/>
          <w:u w:val="none"/>
        </w:rPr>
        <w:t>。</w:t>
      </w:r>
      <w:r>
        <w:rPr>
          <w:rFonts w:hint="default" w:ascii="Times New Roman" w:hAnsi="Times New Roman" w:eastAsia="宋体" w:cs="Times New Roman"/>
          <w:color w:val="auto"/>
          <w:sz w:val="24"/>
          <w:u w:val="none"/>
        </w:rPr>
        <w:t>根据现有资料收集，及走访调查，项目坝后</w:t>
      </w:r>
      <w:r>
        <w:rPr>
          <w:rFonts w:hint="default" w:ascii="Times New Roman" w:hAnsi="Times New Roman" w:eastAsia="宋体" w:cs="Times New Roman"/>
          <w:color w:val="auto"/>
          <w:sz w:val="24"/>
          <w:u w:val="none"/>
          <w:lang w:eastAsia="zh-CN"/>
        </w:rPr>
        <w:t>渠道</w:t>
      </w:r>
      <w:r>
        <w:rPr>
          <w:rFonts w:hint="default" w:ascii="Times New Roman" w:hAnsi="Times New Roman" w:eastAsia="宋体" w:cs="Times New Roman"/>
          <w:color w:val="auto"/>
          <w:sz w:val="24"/>
          <w:u w:val="none"/>
        </w:rPr>
        <w:t>内无鱼类“三场”分布，水生生态环境较为简单，</w:t>
      </w:r>
      <w:r>
        <w:rPr>
          <w:rFonts w:hint="default" w:ascii="Times New Roman" w:hAnsi="Times New Roman" w:eastAsia="宋体" w:cs="Times New Roman"/>
          <w:color w:val="auto"/>
          <w:sz w:val="24"/>
          <w:u w:val="none"/>
          <w:lang w:eastAsia="zh-CN"/>
        </w:rPr>
        <w:t>水库运行至今未发现</w:t>
      </w:r>
      <w:r>
        <w:rPr>
          <w:rFonts w:hint="default" w:ascii="Times New Roman" w:hAnsi="Times New Roman" w:eastAsia="宋体" w:cs="Times New Roman"/>
          <w:color w:val="auto"/>
          <w:sz w:val="24"/>
          <w:u w:val="none"/>
        </w:rPr>
        <w:t>低温</w:t>
      </w:r>
      <w:r>
        <w:rPr>
          <w:rFonts w:hint="default" w:ascii="Times New Roman" w:hAnsi="Times New Roman" w:eastAsia="宋体" w:cs="Times New Roman"/>
          <w:color w:val="auto"/>
          <w:sz w:val="24"/>
          <w:u w:val="none"/>
          <w:lang w:eastAsia="zh-CN"/>
        </w:rPr>
        <w:t>水对下游农作物和水生生态产生明显影响</w:t>
      </w:r>
      <w:r>
        <w:rPr>
          <w:rFonts w:hint="default" w:ascii="Times New Roman" w:hAnsi="Times New Roman" w:eastAsia="宋体" w:cs="Times New Roman"/>
          <w:color w:val="auto"/>
          <w:sz w:val="24"/>
          <w:u w:val="none"/>
        </w:rPr>
        <w:t>。</w:t>
      </w:r>
    </w:p>
    <w:p w14:paraId="4B2F1DA8">
      <w:pPr>
        <w:pStyle w:val="4"/>
        <w:bidi w:val="0"/>
        <w:rPr>
          <w:rFonts w:hint="default" w:ascii="Times New Roman" w:hAnsi="Times New Roman" w:cs="Times New Roman"/>
        </w:rPr>
      </w:pPr>
      <w:bookmarkStart w:id="266" w:name="_Toc15548"/>
      <w:r>
        <w:rPr>
          <w:rFonts w:hint="default" w:ascii="Times New Roman" w:hAnsi="Times New Roman" w:cs="Times New Roman"/>
          <w:lang w:val="en-US" w:eastAsia="zh-CN"/>
        </w:rPr>
        <w:t>大气环境影响回顾性分析</w:t>
      </w:r>
      <w:bookmarkEnd w:id="266"/>
    </w:p>
    <w:p w14:paraId="4B049E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水库营运期废</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气</w:t>
      </w:r>
      <w:r>
        <w:rPr>
          <w:rFonts w:hint="default" w:ascii="Times New Roman" w:hAnsi="Times New Roman" w:eastAsia="宋体" w:cs="Times New Roman"/>
          <w:caps w:val="0"/>
          <w:smallCaps w:val="0"/>
          <w:color w:val="auto"/>
          <w:spacing w:val="0"/>
          <w:w w:val="100"/>
          <w:kern w:val="0"/>
          <w:position w:val="0"/>
          <w:sz w:val="24"/>
          <w:szCs w:val="24"/>
          <w:u w:val="none" w:color="auto"/>
        </w:rPr>
        <w:t>影响主要是水库管理人员</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食堂油烟</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经抽油烟机引至楼顶排放。废气产生量小，未对大气环境造成较大影响。</w:t>
      </w:r>
    </w:p>
    <w:p w14:paraId="40CFCC3B">
      <w:pPr>
        <w:pStyle w:val="4"/>
        <w:bidi w:val="0"/>
        <w:rPr>
          <w:rFonts w:hint="default" w:ascii="Times New Roman" w:hAnsi="Times New Roman" w:cs="Times New Roman"/>
          <w:lang w:val="en-US" w:eastAsia="zh-CN"/>
        </w:rPr>
      </w:pPr>
      <w:bookmarkStart w:id="267" w:name="_Toc14110"/>
      <w:bookmarkStart w:id="268" w:name="bookmark205"/>
      <w:bookmarkStart w:id="269" w:name="bookmark204"/>
      <w:r>
        <w:rPr>
          <w:rFonts w:hint="default" w:ascii="Times New Roman" w:hAnsi="Times New Roman" w:cs="Times New Roman"/>
          <w:lang w:val="en-US" w:eastAsia="zh-CN"/>
        </w:rPr>
        <w:t>声环境影响回顾性分析</w:t>
      </w:r>
      <w:bookmarkEnd w:id="267"/>
    </w:p>
    <w:bookmarkEnd w:id="268"/>
    <w:bookmarkEnd w:id="269"/>
    <w:p w14:paraId="252A3F55">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水库营运期间主要是水泵、设备机房运行产生的噪声，经隔音、减震后噪声影响较小</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，通过现状监测结果可知，项目区域声环境</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能</w:t>
      </w:r>
      <w:r>
        <w:rPr>
          <w:rFonts w:hint="default" w:ascii="Times New Roman" w:hAnsi="Times New Roman" w:eastAsia="宋体" w:cs="Times New Roman"/>
          <w:caps w:val="0"/>
          <w:smallCaps w:val="0"/>
          <w:color w:val="auto"/>
          <w:spacing w:val="0"/>
          <w:w w:val="100"/>
          <w:kern w:val="0"/>
          <w:position w:val="0"/>
          <w:sz w:val="24"/>
          <w:szCs w:val="24"/>
          <w:u w:val="none" w:color="auto"/>
        </w:rPr>
        <w:t>满足《声环境质量标准》（GB3096-2008）1类标准限值要求</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06CFB7AF">
      <w:pPr>
        <w:pStyle w:val="4"/>
        <w:bidi w:val="0"/>
        <w:rPr>
          <w:rFonts w:hint="default" w:ascii="Times New Roman" w:hAnsi="Times New Roman" w:cs="Times New Roman"/>
          <w:lang w:val="en-US" w:eastAsia="zh-CN"/>
        </w:rPr>
      </w:pPr>
      <w:bookmarkStart w:id="270" w:name="_Toc12329"/>
      <w:bookmarkStart w:id="271" w:name="bookmark207"/>
      <w:bookmarkStart w:id="272" w:name="bookmark206"/>
      <w:r>
        <w:rPr>
          <w:rFonts w:hint="default" w:ascii="Times New Roman" w:hAnsi="Times New Roman" w:cs="Times New Roman"/>
          <w:lang w:val="en-US" w:eastAsia="zh-CN"/>
        </w:rPr>
        <w:t>固体废物影响回顾性分析</w:t>
      </w:r>
      <w:bookmarkEnd w:id="270"/>
    </w:p>
    <w:bookmarkEnd w:id="271"/>
    <w:bookmarkEnd w:id="272"/>
    <w:p w14:paraId="36DFEF7A">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水库营运期间产生的固体废物主要是水库管理人员产生的生活垃圾</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集中收集后定期由环卫部门清</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理。</w:t>
      </w:r>
    </w:p>
    <w:p w14:paraId="682A8348">
      <w:pPr>
        <w:pStyle w:val="4"/>
        <w:bidi w:val="0"/>
        <w:rPr>
          <w:rFonts w:hint="default" w:ascii="Times New Roman" w:hAnsi="Times New Roman" w:cs="Times New Roman"/>
          <w:lang w:val="en-US" w:eastAsia="zh-CN"/>
        </w:rPr>
      </w:pPr>
      <w:bookmarkStart w:id="273" w:name="_Toc15589"/>
      <w:bookmarkStart w:id="274" w:name="bookmark208"/>
      <w:bookmarkStart w:id="275" w:name="bookmark209"/>
      <w:r>
        <w:rPr>
          <w:rFonts w:hint="default" w:ascii="Times New Roman" w:hAnsi="Times New Roman" w:cs="Times New Roman"/>
          <w:lang w:val="en-US" w:eastAsia="zh-CN"/>
        </w:rPr>
        <w:t>生态环境影响回顾性分析</w:t>
      </w:r>
      <w:bookmarkEnd w:id="273"/>
    </w:p>
    <w:bookmarkEnd w:id="274"/>
    <w:bookmarkEnd w:id="275"/>
    <w:p w14:paraId="2D7C5B1D">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东山水库</w:t>
      </w:r>
      <w:r>
        <w:rPr>
          <w:rFonts w:hint="default" w:ascii="Times New Roman" w:hAnsi="Times New Roman" w:eastAsia="宋体" w:cs="Times New Roman"/>
          <w:color w:val="auto"/>
          <w:spacing w:val="0"/>
          <w:w w:val="100"/>
          <w:position w:val="0"/>
          <w:sz w:val="24"/>
          <w:szCs w:val="24"/>
          <w:u w:val="none" w:color="auto"/>
          <w:lang w:eastAsia="zh-CN"/>
        </w:rPr>
        <w:t>1971年12月动工兴建，1974年冬枢纽工程基本竣工并蓄水运行，至今已运行</w:t>
      </w:r>
      <w:r>
        <w:rPr>
          <w:rFonts w:hint="default" w:ascii="Times New Roman" w:hAnsi="Times New Roman" w:eastAsia="宋体" w:cs="Times New Roman"/>
          <w:color w:val="auto"/>
          <w:spacing w:val="0"/>
          <w:w w:val="100"/>
          <w:position w:val="0"/>
          <w:sz w:val="24"/>
          <w:szCs w:val="24"/>
          <w:u w:val="none" w:color="auto"/>
          <w:lang w:val="en-US" w:eastAsia="zh-CN"/>
        </w:rPr>
        <w:t>5</w:t>
      </w:r>
      <w:r>
        <w:rPr>
          <w:rFonts w:hint="default" w:ascii="Times New Roman" w:hAnsi="Times New Roman" w:eastAsia="宋体" w:cs="Times New Roman"/>
          <w:color w:val="auto"/>
          <w:spacing w:val="0"/>
          <w:w w:val="100"/>
          <w:position w:val="0"/>
          <w:sz w:val="24"/>
          <w:szCs w:val="24"/>
          <w:u w:val="none" w:color="auto"/>
          <w:lang w:eastAsia="zh-CN"/>
        </w:rPr>
        <w:t>0余年</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水库建成历史久远</w:t>
      </w:r>
      <w:r>
        <w:rPr>
          <w:rFonts w:hint="default" w:ascii="Times New Roman" w:hAnsi="Times New Roman" w:eastAsia="宋体" w:cs="Times New Roman"/>
          <w:caps w:val="0"/>
          <w:smallCaps w:val="0"/>
          <w:color w:val="auto"/>
          <w:spacing w:val="0"/>
          <w:w w:val="100"/>
          <w:kern w:val="0"/>
          <w:position w:val="0"/>
          <w:sz w:val="24"/>
          <w:szCs w:val="24"/>
          <w:u w:val="none" w:color="auto"/>
        </w:rPr>
        <w:t>，水库建设之初尚未要求进行环境影响评价，本次评价对水库多年运行</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对</w:t>
      </w:r>
      <w:r>
        <w:rPr>
          <w:rFonts w:hint="default" w:ascii="Times New Roman" w:hAnsi="Times New Roman" w:eastAsia="宋体" w:cs="Times New Roman"/>
          <w:caps w:val="0"/>
          <w:smallCaps w:val="0"/>
          <w:color w:val="auto"/>
          <w:spacing w:val="0"/>
          <w:w w:val="100"/>
          <w:kern w:val="0"/>
          <w:position w:val="0"/>
          <w:sz w:val="24"/>
          <w:szCs w:val="24"/>
          <w:u w:val="none" w:color="auto"/>
        </w:rPr>
        <w:t>生态环境</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的</w:t>
      </w:r>
      <w:r>
        <w:rPr>
          <w:rFonts w:hint="default" w:ascii="Times New Roman" w:hAnsi="Times New Roman" w:eastAsia="宋体" w:cs="Times New Roman"/>
          <w:caps w:val="0"/>
          <w:smallCaps w:val="0"/>
          <w:color w:val="auto"/>
          <w:spacing w:val="0"/>
          <w:w w:val="100"/>
          <w:kern w:val="0"/>
          <w:position w:val="0"/>
          <w:sz w:val="24"/>
          <w:szCs w:val="24"/>
          <w:u w:val="none" w:color="auto"/>
        </w:rPr>
        <w:t>影响进行简要回顾。</w:t>
      </w:r>
    </w:p>
    <w:p w14:paraId="398FBBAC">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对陆生生态环境影响</w:t>
      </w:r>
    </w:p>
    <w:p w14:paraId="5EBE70D1">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水库现已运行</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50</w:t>
      </w:r>
      <w:r>
        <w:rPr>
          <w:rFonts w:hint="default" w:ascii="Times New Roman" w:hAnsi="Times New Roman" w:eastAsia="宋体" w:cs="Times New Roman"/>
          <w:caps w:val="0"/>
          <w:smallCaps w:val="0"/>
          <w:color w:val="auto"/>
          <w:spacing w:val="0"/>
          <w:w w:val="100"/>
          <w:kern w:val="0"/>
          <w:position w:val="0"/>
          <w:sz w:val="24"/>
          <w:szCs w:val="24"/>
          <w:u w:val="none" w:color="auto"/>
        </w:rPr>
        <w:t>年，水库建设施工期设置的临时施工场所已拆除并已进行植被恢复，施工开挖及各类压占区均已平整并植被恢复，施工过程中产生的建筑垃圾、生活垃圾均已清理完毕，现状未发现历史遗留问题。</w:t>
      </w:r>
    </w:p>
    <w:p w14:paraId="5A184538">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水库周围自然条件较好，水库经多年运行，运行过程中未进行重大工程变动，经多年植被自然恢复，区域植被以基本恢复自然原生状态，水库运行对区域植物及植被多样性未产生根本性影响，水库区域无外来物种入侵现状。水库在建设施工过程中，由于人类活动及机械设备影响，势必造成原有区域野生动物迁移，同时水库库区的形成造成原有区域野生动物生境的破坏。水库经多年运行，区域野生动物已趋于稳定，同时水库的形成也使区域植被增加，增加了野生动物觅食场所。根据调查，水库所在地及周边区域主要以小型野生动物居多。均为当地常见的鼠、野兔等；鸟类以麻雀、喜鹊等为主；两栖纲、爬行纲野生动物的种类和数量较少。从整体分析，区域野生动物已趋于稳定，水库运行对区域野生动物多样性未产生根本性影响，水库区域无外来物种入侵现状。</w:t>
      </w:r>
    </w:p>
    <w:p w14:paraId="40419E69">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对水生生态环境影响</w:t>
      </w:r>
    </w:p>
    <w:p w14:paraId="6EAB6CC1">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微软雅黑" w:cs="Times New Roman"/>
          <w:caps w:val="0"/>
          <w:smallCaps w:val="0"/>
          <w:color w:val="auto"/>
          <w:spacing w:val="0"/>
          <w:w w:val="100"/>
          <w:kern w:val="0"/>
          <w:position w:val="0"/>
          <w:sz w:val="24"/>
          <w:szCs w:val="24"/>
          <w:u w:val="none" w:color="auto"/>
          <w:lang w:val="en-US" w:eastAsia="zh-CN"/>
        </w:rPr>
        <w:t>①</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对库区水生生态的影响</w:t>
      </w:r>
    </w:p>
    <w:p w14:paraId="652CB25A">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东山水库水利工程建设后，对河道水文情势产生影响。坝上河段原有急流、流水生境的河段成为水库库区，水面变宽，流速变缓，水深增加。库区河段水体流速自坝前向库尾逐渐增加，部分支流河口段成为缓流或静水库湾；坝前水域水深、面阔、水流缓慢，呈现湖泊水动力学特征；库中水域水动力学特征介于河流段和库区段之间，属于过渡段；库尾以上河段保持河流水文水动力学特征。东山水库经过50年的运行，河段的水文情势逐步趋于相对稳定状态。</w:t>
      </w:r>
    </w:p>
    <w:p w14:paraId="5D4DB37E">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val="en-US" w:eastAsia="zh-CN"/>
        </w:rPr>
        <w:t>东山水库大坝已建成运行约50年，</w:t>
      </w:r>
      <w:r>
        <w:rPr>
          <w:rFonts w:hint="default" w:ascii="Times New Roman" w:hAnsi="Times New Roman" w:eastAsia="宋体" w:cs="Times New Roman"/>
          <w:caps w:val="0"/>
          <w:smallCaps w:val="0"/>
          <w:color w:val="auto"/>
          <w:spacing w:val="0"/>
          <w:w w:val="100"/>
          <w:kern w:val="0"/>
          <w:position w:val="0"/>
          <w:sz w:val="24"/>
          <w:szCs w:val="24"/>
          <w:u w:val="none" w:color="auto"/>
        </w:rPr>
        <w:t>对水库环境而言，建坝蓄水后，因水流状态的人为改变，水体水温、流速都会较水库建设前有所变化，势必造成生物群落次生演替。对浮游植物、浮游动物的生长繁殖有一定的影响。水生植物变化进而影响到底栖动物密度及数量</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val="en-US" w:eastAsia="zh-CN"/>
        </w:rPr>
        <w:t>大坝阻隔改变了天然河道的水文情势和水生生境条件，对原有适应急流、流水生境的鱼类造成一定影响，其栖息范围缩小或丧失；河流连通性下降使河流生境呈现破碎化和片段化，阻隔了鱼类在上下游以及干支流间的交流，从而造成流域鱼类种群结构发生改变，并形成累积影响。东山水库经过50年的运行，水生生物</w:t>
      </w:r>
      <w:r>
        <w:rPr>
          <w:rFonts w:hint="default" w:ascii="Times New Roman" w:hAnsi="Times New Roman" w:eastAsia="浠垮畫" w:cs="Times New Roman"/>
          <w:color w:val="000000"/>
          <w:kern w:val="0"/>
          <w:sz w:val="24"/>
          <w:szCs w:val="24"/>
          <w:lang w:val="en-US" w:eastAsia="zh-CN" w:bidi="ar"/>
        </w:rPr>
        <w:t>逐步适应生境变化，</w:t>
      </w:r>
      <w:r>
        <w:rPr>
          <w:rFonts w:hint="default" w:ascii="Times New Roman" w:hAnsi="Times New Roman" w:eastAsia="宋体" w:cs="Times New Roman"/>
          <w:color w:val="auto"/>
          <w:spacing w:val="0"/>
          <w:w w:val="100"/>
          <w:position w:val="0"/>
          <w:sz w:val="24"/>
          <w:szCs w:val="24"/>
          <w:u w:val="none" w:color="auto"/>
          <w:lang w:val="en-US" w:eastAsia="zh-CN"/>
        </w:rPr>
        <w:t xml:space="preserve">鱼类种群逐步趋于稳定。库区水体流速减缓、甚至静止，喜流水生活鱼类、产漂流性卵鱼类分布减少，适应静缓流水生活的定居性鱼类种群壮大，同时饵料生物组成的变化对鱼类结构产生间接影响，总体上库区鱼类多样性有所下降，种群结构趋于简单。 </w:t>
      </w:r>
    </w:p>
    <w:p w14:paraId="73728732">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微软雅黑" w:cs="Times New Roman"/>
          <w:caps w:val="0"/>
          <w:smallCaps w:val="0"/>
          <w:color w:val="auto"/>
          <w:spacing w:val="0"/>
          <w:w w:val="100"/>
          <w:kern w:val="0"/>
          <w:position w:val="0"/>
          <w:sz w:val="24"/>
          <w:szCs w:val="24"/>
          <w:u w:val="none" w:color="auto"/>
          <w:lang w:eastAsia="zh-CN"/>
        </w:rPr>
        <w:t>②</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对坝下水生态系统的影响</w:t>
      </w:r>
    </w:p>
    <w:p w14:paraId="19357E57">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水库坝下主要为经济鱼类，鱼类种类较单一，无珍稀保护级别的鱼类及当地特有的土著鱼类，未发现长距离洄游鱼类，也未发现有重要的鱼类“三场”。大坝设置有输水隧洞，下游生态用水由水库管理人员按需放水，由输水隧洞向下游河道供水。</w:t>
      </w:r>
    </w:p>
    <w:p w14:paraId="6B9CADC0">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3）景观生态完整性影响回顾性分析</w:t>
      </w:r>
    </w:p>
    <w:p w14:paraId="2F780A83">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由于水库的建设，永久改变了原有土地</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利用</w:t>
      </w:r>
      <w:r>
        <w:rPr>
          <w:rFonts w:hint="default" w:ascii="Times New Roman" w:hAnsi="Times New Roman" w:eastAsia="宋体" w:cs="Times New Roman"/>
          <w:caps w:val="0"/>
          <w:smallCaps w:val="0"/>
          <w:color w:val="auto"/>
          <w:spacing w:val="0"/>
          <w:w w:val="100"/>
          <w:kern w:val="0"/>
          <w:position w:val="0"/>
          <w:sz w:val="24"/>
          <w:szCs w:val="24"/>
          <w:u w:val="none" w:color="auto"/>
        </w:rPr>
        <w:t>类型，</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主要增加了水域面积，</w:t>
      </w:r>
      <w:r>
        <w:rPr>
          <w:rFonts w:hint="default" w:ascii="Times New Roman" w:hAnsi="Times New Roman" w:eastAsia="宋体" w:cs="Times New Roman"/>
          <w:caps w:val="0"/>
          <w:smallCaps w:val="0"/>
          <w:color w:val="auto"/>
          <w:spacing w:val="0"/>
          <w:w w:val="100"/>
          <w:kern w:val="0"/>
          <w:position w:val="0"/>
          <w:sz w:val="24"/>
          <w:szCs w:val="24"/>
          <w:u w:val="none" w:color="auto"/>
        </w:rPr>
        <w:t>同时大坝及管理设施的建设，增加了区域环境的异质性，形成了与原生自然景观不同的人工景观。水库建成运行多年，区域生态系统已趋于稳定，水库工程的实施美化了当地的自然风光，提高了区域景观美学价值。</w:t>
      </w:r>
    </w:p>
    <w:p w14:paraId="046C7790">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根据上述综合分析，水库建成运行多年，区域生态系统已趋于稳定，植被恢复良好，水库建设和运行对区域生态环境影响可以接受。</w:t>
      </w:r>
    </w:p>
    <w:p w14:paraId="5117A602">
      <w:pPr>
        <w:pStyle w:val="3"/>
        <w:bidi w:val="0"/>
        <w:rPr>
          <w:rFonts w:hint="default" w:ascii="Times New Roman" w:hAnsi="Times New Roman" w:cs="Times New Roman"/>
        </w:rPr>
      </w:pPr>
      <w:bookmarkStart w:id="276" w:name="_Toc24012"/>
      <w:r>
        <w:rPr>
          <w:rFonts w:hint="default" w:ascii="Times New Roman" w:hAnsi="Times New Roman" w:cs="Times New Roman"/>
        </w:rPr>
        <w:t>施工期环境影响分析</w:t>
      </w:r>
      <w:bookmarkEnd w:id="276"/>
    </w:p>
    <w:p w14:paraId="0F9E20A4">
      <w:pPr>
        <w:pStyle w:val="4"/>
        <w:bidi w:val="0"/>
        <w:rPr>
          <w:rFonts w:hint="default" w:ascii="Times New Roman" w:hAnsi="Times New Roman" w:cs="Times New Roman"/>
          <w:lang w:eastAsia="zh-CN"/>
        </w:rPr>
      </w:pPr>
      <w:bookmarkStart w:id="277" w:name="_Toc22961"/>
      <w:r>
        <w:rPr>
          <w:rFonts w:hint="default" w:ascii="Times New Roman" w:hAnsi="Times New Roman" w:cs="Times New Roman"/>
          <w:lang w:eastAsia="zh-CN"/>
        </w:rPr>
        <w:t>施工期大气环境影响分析</w:t>
      </w:r>
      <w:bookmarkEnd w:id="277"/>
    </w:p>
    <w:p w14:paraId="65F0D55D">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（1）施工现场扬尘影响</w:t>
      </w:r>
    </w:p>
    <w:p w14:paraId="217B8D78">
      <w:pPr>
        <w:keepNext w:val="0"/>
        <w:keepLines w:val="0"/>
        <w:widowControl/>
        <w:suppressLineNumbers w:val="0"/>
        <w:spacing w:line="360" w:lineRule="auto"/>
        <w:ind w:firstLine="480" w:firstLineChars="200"/>
        <w:jc w:val="left"/>
        <w:rPr>
          <w:rFonts w:hint="default" w:ascii="Times New Roman" w:hAnsi="Times New Roman" w:cs="Times New Roman"/>
          <w:sz w:val="24"/>
          <w:szCs w:val="24"/>
        </w:rPr>
      </w:pPr>
      <w:r>
        <w:rPr>
          <w:rFonts w:hint="default" w:ascii="Times New Roman" w:hAnsi="Times New Roman" w:eastAsia="宋体" w:cs="Times New Roman"/>
          <w:color w:val="000000"/>
          <w:kern w:val="0"/>
          <w:sz w:val="24"/>
          <w:szCs w:val="24"/>
          <w:lang w:val="en-US" w:eastAsia="zh-CN" w:bidi="ar"/>
        </w:rPr>
        <w:t>施工期间产生的扬尘污染受风力因素的影响最大，在一般气象条件下，当风速&lt;2m/s时，施工场地的TSP浓度可达1.5～3.0mg/m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 xml:space="preserve">，对100m范围内的大气环境影响较大，在做好施工期扬尘的防护措施下施工，下风向50m处的TSP </w:t>
      </w:r>
    </w:p>
    <w:p w14:paraId="0F375721">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浓度会小于0.3mg/m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。当风速为2～3m/s时，建筑工地下风向TSP浓度为上风向对照点的2.0～2.5倍，建筑施工扬尘的影响范围在其下风向可达150m，该范围内的TSP浓度平均值可达0.49mg/m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。当风速大于5m/s时，施工现场及其下风向部分区域的TSP浓度可能会超过《环境空气质量标准》的二级标准，且随着风速的增加，施工扬尘产生的污染程度和超标范围也将随之增强和扩大。</w:t>
      </w:r>
    </w:p>
    <w:p w14:paraId="12D08D01">
      <w:pPr>
        <w:keepNext w:val="0"/>
        <w:keepLines w:val="0"/>
        <w:widowControl/>
        <w:suppressLineNumbers w:val="0"/>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施工扬尘主要来源于施工区内的各类堆场、渣场、土石方工程的裸露面等区域，此外施工工厂及施工区在物料装卸和堆存过程中也会产生少量扬尘。类比同类工程施工区及周边大气环境的监测资料分析，施工场地周边地区TSP浓度值在40m范围内呈明显下降趋势，50m范围之外TSP浓度值趋于稳定。在施工区处于良好管理的情况下，如对施工区采取洒水降尘措施后，距施工现场40m以外区域的TSP24小时平均浓度可满足《环境空气质量标准》（GB3095-2012）二级标准要求。施工现场TSP对周边环境影响见下表：</w:t>
      </w:r>
    </w:p>
    <w:p w14:paraId="2809BF90">
      <w:pPr>
        <w:keepNext w:val="0"/>
        <w:keepLines w:val="0"/>
        <w:widowControl/>
        <w:suppressLineNumbers w:val="0"/>
        <w:spacing w:line="360" w:lineRule="auto"/>
        <w:ind w:firstLine="482" w:firstLineChars="200"/>
        <w:jc w:val="center"/>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表4.2-1  施工场地及周边TSP浓度变化对比表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2458"/>
        <w:gridCol w:w="1998"/>
        <w:gridCol w:w="1998"/>
        <w:gridCol w:w="1876"/>
      </w:tblGrid>
      <w:tr w14:paraId="49D8D2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4847" w:type="dxa"/>
            <w:gridSpan w:val="2"/>
            <w:tcBorders>
              <w:tl2br w:val="nil"/>
              <w:tr2bl w:val="nil"/>
            </w:tcBorders>
            <w:vAlign w:val="center"/>
          </w:tcPr>
          <w:p w14:paraId="611C7933">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监测点位置</w:t>
            </w:r>
          </w:p>
        </w:tc>
        <w:tc>
          <w:tcPr>
            <w:tcW w:w="2174" w:type="dxa"/>
            <w:tcBorders>
              <w:tl2br w:val="nil"/>
              <w:tr2bl w:val="nil"/>
            </w:tcBorders>
            <w:vAlign w:val="center"/>
          </w:tcPr>
          <w:p w14:paraId="187E9B5F">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场地不洒水</w:t>
            </w:r>
          </w:p>
        </w:tc>
        <w:tc>
          <w:tcPr>
            <w:tcW w:w="2039" w:type="dxa"/>
            <w:tcBorders>
              <w:tl2br w:val="nil"/>
              <w:tr2bl w:val="nil"/>
            </w:tcBorders>
            <w:vAlign w:val="center"/>
          </w:tcPr>
          <w:p w14:paraId="2B7AAAC0">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场地洒水后</w:t>
            </w:r>
          </w:p>
        </w:tc>
      </w:tr>
      <w:tr w14:paraId="5CBB65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673" w:type="dxa"/>
            <w:vMerge w:val="restart"/>
            <w:tcBorders>
              <w:tl2br w:val="nil"/>
              <w:tr2bl w:val="nil"/>
            </w:tcBorders>
            <w:vAlign w:val="center"/>
          </w:tcPr>
          <w:p w14:paraId="0F9A286B">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距施工场地不同距离处TSP的浓度值</w:t>
            </w:r>
          </w:p>
          <w:p w14:paraId="2718DFB7">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w:t>
            </w:r>
          </w:p>
        </w:tc>
        <w:tc>
          <w:tcPr>
            <w:tcW w:w="2174" w:type="dxa"/>
            <w:tcBorders>
              <w:tl2br w:val="nil"/>
              <w:tr2bl w:val="nil"/>
            </w:tcBorders>
            <w:vAlign w:val="center"/>
          </w:tcPr>
          <w:p w14:paraId="5CC90FDA">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10m</w:t>
            </w:r>
          </w:p>
        </w:tc>
        <w:tc>
          <w:tcPr>
            <w:tcW w:w="2174" w:type="dxa"/>
            <w:tcBorders>
              <w:tl2br w:val="nil"/>
              <w:tr2bl w:val="nil"/>
            </w:tcBorders>
            <w:vAlign w:val="center"/>
          </w:tcPr>
          <w:p w14:paraId="4CDB51BC">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1.75</w:t>
            </w:r>
          </w:p>
        </w:tc>
        <w:tc>
          <w:tcPr>
            <w:tcW w:w="2039" w:type="dxa"/>
            <w:tcBorders>
              <w:tl2br w:val="nil"/>
              <w:tr2bl w:val="nil"/>
            </w:tcBorders>
            <w:vAlign w:val="center"/>
          </w:tcPr>
          <w:p w14:paraId="135DF2F6">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0.437</w:t>
            </w:r>
          </w:p>
        </w:tc>
      </w:tr>
      <w:tr w14:paraId="31110C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673" w:type="dxa"/>
            <w:vMerge w:val="continue"/>
            <w:tcBorders>
              <w:tl2br w:val="nil"/>
              <w:tr2bl w:val="nil"/>
            </w:tcBorders>
            <w:vAlign w:val="center"/>
          </w:tcPr>
          <w:p w14:paraId="3D46F49B">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p>
        </w:tc>
        <w:tc>
          <w:tcPr>
            <w:tcW w:w="2174" w:type="dxa"/>
            <w:tcBorders>
              <w:tl2br w:val="nil"/>
              <w:tr2bl w:val="nil"/>
            </w:tcBorders>
            <w:vAlign w:val="center"/>
          </w:tcPr>
          <w:p w14:paraId="317132BD">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20m</w:t>
            </w:r>
          </w:p>
        </w:tc>
        <w:tc>
          <w:tcPr>
            <w:tcW w:w="2174" w:type="dxa"/>
            <w:tcBorders>
              <w:tl2br w:val="nil"/>
              <w:tr2bl w:val="nil"/>
            </w:tcBorders>
            <w:vAlign w:val="center"/>
          </w:tcPr>
          <w:p w14:paraId="5ABE7E6A">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1.30</w:t>
            </w:r>
          </w:p>
        </w:tc>
        <w:tc>
          <w:tcPr>
            <w:tcW w:w="2039" w:type="dxa"/>
            <w:tcBorders>
              <w:tl2br w:val="nil"/>
              <w:tr2bl w:val="nil"/>
            </w:tcBorders>
            <w:vAlign w:val="center"/>
          </w:tcPr>
          <w:p w14:paraId="37E3E150">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0.350</w:t>
            </w:r>
          </w:p>
        </w:tc>
      </w:tr>
      <w:tr w14:paraId="69F602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673" w:type="dxa"/>
            <w:vMerge w:val="continue"/>
            <w:tcBorders>
              <w:tl2br w:val="nil"/>
              <w:tr2bl w:val="nil"/>
            </w:tcBorders>
            <w:vAlign w:val="center"/>
          </w:tcPr>
          <w:p w14:paraId="350DBFE1">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p>
        </w:tc>
        <w:tc>
          <w:tcPr>
            <w:tcW w:w="2174" w:type="dxa"/>
            <w:tcBorders>
              <w:tl2br w:val="nil"/>
              <w:tr2bl w:val="nil"/>
            </w:tcBorders>
            <w:vAlign w:val="center"/>
          </w:tcPr>
          <w:p w14:paraId="7A8D2A09">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30m</w:t>
            </w:r>
          </w:p>
        </w:tc>
        <w:tc>
          <w:tcPr>
            <w:tcW w:w="2174" w:type="dxa"/>
            <w:tcBorders>
              <w:tl2br w:val="nil"/>
              <w:tr2bl w:val="nil"/>
            </w:tcBorders>
            <w:vAlign w:val="center"/>
          </w:tcPr>
          <w:p w14:paraId="1E42DD48">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0.78</w:t>
            </w:r>
          </w:p>
        </w:tc>
        <w:tc>
          <w:tcPr>
            <w:tcW w:w="2039" w:type="dxa"/>
            <w:tcBorders>
              <w:tl2br w:val="nil"/>
              <w:tr2bl w:val="nil"/>
            </w:tcBorders>
            <w:vAlign w:val="center"/>
          </w:tcPr>
          <w:p w14:paraId="186547F3">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0.310</w:t>
            </w:r>
          </w:p>
        </w:tc>
      </w:tr>
      <w:tr w14:paraId="79E362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673" w:type="dxa"/>
            <w:vMerge w:val="continue"/>
            <w:tcBorders>
              <w:tl2br w:val="nil"/>
              <w:tr2bl w:val="nil"/>
            </w:tcBorders>
            <w:vAlign w:val="center"/>
          </w:tcPr>
          <w:p w14:paraId="7F1B5454">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p>
        </w:tc>
        <w:tc>
          <w:tcPr>
            <w:tcW w:w="2174" w:type="dxa"/>
            <w:tcBorders>
              <w:tl2br w:val="nil"/>
              <w:tr2bl w:val="nil"/>
            </w:tcBorders>
            <w:vAlign w:val="center"/>
          </w:tcPr>
          <w:p w14:paraId="2AA7D9AA">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40m</w:t>
            </w:r>
          </w:p>
        </w:tc>
        <w:tc>
          <w:tcPr>
            <w:tcW w:w="2174" w:type="dxa"/>
            <w:tcBorders>
              <w:tl2br w:val="nil"/>
              <w:tr2bl w:val="nil"/>
            </w:tcBorders>
            <w:vAlign w:val="center"/>
          </w:tcPr>
          <w:p w14:paraId="6B7C4CE7">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0.365</w:t>
            </w:r>
          </w:p>
        </w:tc>
        <w:tc>
          <w:tcPr>
            <w:tcW w:w="2039" w:type="dxa"/>
            <w:tcBorders>
              <w:tl2br w:val="nil"/>
              <w:tr2bl w:val="nil"/>
            </w:tcBorders>
            <w:vAlign w:val="center"/>
          </w:tcPr>
          <w:p w14:paraId="2C495991">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0.265</w:t>
            </w:r>
          </w:p>
        </w:tc>
      </w:tr>
      <w:tr w14:paraId="4AC47C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673" w:type="dxa"/>
            <w:vMerge w:val="continue"/>
            <w:tcBorders>
              <w:tl2br w:val="nil"/>
              <w:tr2bl w:val="nil"/>
            </w:tcBorders>
            <w:vAlign w:val="center"/>
          </w:tcPr>
          <w:p w14:paraId="462FCA66">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p>
        </w:tc>
        <w:tc>
          <w:tcPr>
            <w:tcW w:w="2174" w:type="dxa"/>
            <w:tcBorders>
              <w:tl2br w:val="nil"/>
              <w:tr2bl w:val="nil"/>
            </w:tcBorders>
            <w:vAlign w:val="center"/>
          </w:tcPr>
          <w:p w14:paraId="24B6B31C">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50m</w:t>
            </w:r>
          </w:p>
        </w:tc>
        <w:tc>
          <w:tcPr>
            <w:tcW w:w="2174" w:type="dxa"/>
            <w:tcBorders>
              <w:tl2br w:val="nil"/>
              <w:tr2bl w:val="nil"/>
            </w:tcBorders>
            <w:vAlign w:val="center"/>
          </w:tcPr>
          <w:p w14:paraId="15BD6F26">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0.345</w:t>
            </w:r>
          </w:p>
        </w:tc>
        <w:tc>
          <w:tcPr>
            <w:tcW w:w="2039" w:type="dxa"/>
            <w:tcBorders>
              <w:tl2br w:val="nil"/>
              <w:tr2bl w:val="nil"/>
            </w:tcBorders>
            <w:vAlign w:val="center"/>
          </w:tcPr>
          <w:p w14:paraId="7E7C5B1E">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0.250</w:t>
            </w:r>
          </w:p>
        </w:tc>
      </w:tr>
      <w:tr w14:paraId="5636F8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673" w:type="dxa"/>
            <w:vMerge w:val="continue"/>
            <w:tcBorders>
              <w:tl2br w:val="nil"/>
              <w:tr2bl w:val="nil"/>
            </w:tcBorders>
            <w:vAlign w:val="center"/>
          </w:tcPr>
          <w:p w14:paraId="6D4679AB">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p>
        </w:tc>
        <w:tc>
          <w:tcPr>
            <w:tcW w:w="2174" w:type="dxa"/>
            <w:tcBorders>
              <w:tl2br w:val="nil"/>
              <w:tr2bl w:val="nil"/>
            </w:tcBorders>
            <w:vAlign w:val="center"/>
          </w:tcPr>
          <w:p w14:paraId="5E9EC755">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100m</w:t>
            </w:r>
          </w:p>
        </w:tc>
        <w:tc>
          <w:tcPr>
            <w:tcW w:w="2174" w:type="dxa"/>
            <w:tcBorders>
              <w:tl2br w:val="nil"/>
              <w:tr2bl w:val="nil"/>
            </w:tcBorders>
            <w:vAlign w:val="center"/>
          </w:tcPr>
          <w:p w14:paraId="0C594FED">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0.330</w:t>
            </w:r>
          </w:p>
        </w:tc>
        <w:tc>
          <w:tcPr>
            <w:tcW w:w="2039" w:type="dxa"/>
            <w:tcBorders>
              <w:tl2br w:val="nil"/>
              <w:tr2bl w:val="nil"/>
            </w:tcBorders>
            <w:vAlign w:val="center"/>
          </w:tcPr>
          <w:p w14:paraId="130233F7">
            <w:pPr>
              <w:keepNext w:val="0"/>
              <w:keepLines w:val="0"/>
              <w:pageBreakBefore w:val="0"/>
              <w:widowControl w:val="0"/>
              <w:kinsoku/>
              <w:wordWrap/>
              <w:overflowPunct/>
              <w:topLinePunct w:val="0"/>
              <w:autoSpaceDE/>
              <w:autoSpaceDN/>
              <w:bidi w:val="0"/>
              <w:adjustRightInd/>
              <w:snapToGrid/>
              <w:ind w:left="0" w:firstLine="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0.238</w:t>
            </w:r>
          </w:p>
        </w:tc>
      </w:tr>
    </w:tbl>
    <w:p w14:paraId="25CAF246">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由表4.</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2</w:t>
      </w:r>
      <w:r>
        <w:rPr>
          <w:rFonts w:hint="default" w:ascii="Times New Roman" w:hAnsi="Times New Roman" w:eastAsia="宋体" w:cs="Times New Roman"/>
          <w:caps w:val="0"/>
          <w:smallCaps w:val="0"/>
          <w:color w:val="auto"/>
          <w:spacing w:val="0"/>
          <w:w w:val="100"/>
          <w:position w:val="0"/>
          <w:sz w:val="24"/>
          <w:szCs w:val="24"/>
          <w:u w:val="none" w:color="auto"/>
        </w:rPr>
        <w:t>-1可知，在无任何防尘措施的情况下，施工现场对周围环境的影响较严重，</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1</w:t>
      </w:r>
      <w:r>
        <w:rPr>
          <w:rFonts w:hint="default" w:ascii="Times New Roman" w:hAnsi="Times New Roman" w:eastAsia="宋体" w:cs="Times New Roman"/>
          <w:caps w:val="0"/>
          <w:smallCaps w:val="0"/>
          <w:color w:val="auto"/>
          <w:spacing w:val="0"/>
          <w:w w:val="100"/>
          <w:position w:val="0"/>
          <w:sz w:val="24"/>
          <w:szCs w:val="24"/>
          <w:u w:val="none" w:color="auto"/>
        </w:rPr>
        <w:t>00m外TSP浓度才可达到《环境空气质量标准》（GB3095-2012）二级标准；而在有防尘措施的情况下，污染范围降至</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4</w:t>
      </w:r>
      <w:r>
        <w:rPr>
          <w:rFonts w:hint="default" w:ascii="Times New Roman" w:hAnsi="Times New Roman" w:eastAsia="宋体" w:cs="Times New Roman"/>
          <w:caps w:val="0"/>
          <w:smallCaps w:val="0"/>
          <w:color w:val="auto"/>
          <w:spacing w:val="0"/>
          <w:w w:val="100"/>
          <w:position w:val="0"/>
          <w:sz w:val="24"/>
          <w:szCs w:val="24"/>
          <w:u w:val="none" w:color="auto"/>
        </w:rPr>
        <w:t>0m范围内。</w:t>
      </w:r>
    </w:p>
    <w:p w14:paraId="35A0900D">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结合敏感点和施工区域的位置关系，本工程施工对局部区域的环境空气造成了影响，但影响的居民人数较少</w:t>
      </w:r>
      <w:r>
        <w:rPr>
          <w:rFonts w:hint="default" w:ascii="Times New Roman" w:hAnsi="Times New Roman" w:eastAsia="宋体" w:cs="Times New Roman"/>
          <w:caps w:val="0"/>
          <w:smallCaps w:val="0"/>
          <w:color w:val="auto"/>
          <w:spacing w:val="0"/>
          <w:w w:val="100"/>
          <w:position w:val="0"/>
          <w:sz w:val="24"/>
          <w:szCs w:val="24"/>
          <w:u w:val="none" w:color="auto"/>
          <w:lang w:eastAsia="zh-CN"/>
        </w:rPr>
        <w:t>，</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其中影响较大的居民点为管理所东北侧约15m处及大坝下游约20m处的仙鹅寺村居民点，</w:t>
      </w:r>
      <w:r>
        <w:rPr>
          <w:rFonts w:hint="default" w:ascii="Times New Roman" w:hAnsi="Times New Roman" w:eastAsia="宋体" w:cs="Times New Roman"/>
          <w:caps w:val="0"/>
          <w:smallCaps w:val="0"/>
          <w:color w:val="auto"/>
          <w:spacing w:val="0"/>
          <w:w w:val="100"/>
          <w:position w:val="0"/>
          <w:sz w:val="24"/>
          <w:szCs w:val="24"/>
          <w:u w:val="none" w:color="auto"/>
        </w:rPr>
        <w:t>局部时段将受扬尘影响较大。工程施工时间较短，且当地扩散条件较好，因此扬尘的影响具有区域有限、时间短的特点。</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施工期应做好施工扬尘的防护措施，如采取边界围挡、裸露地面覆盖、物料遮盖、施工场地洒水降尘、保证路面清洁干净、车辆冲洗等措施后，施工扬尘的去除率可达90%，可进一步减轻扬尘对周边环境影响。</w:t>
      </w:r>
    </w:p>
    <w:p w14:paraId="4E9CAA5B">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2</w:t>
      </w:r>
      <w:r>
        <w:rPr>
          <w:rFonts w:hint="default" w:ascii="Times New Roman" w:hAnsi="Times New Roman" w:eastAsia="宋体" w:cs="Times New Roman"/>
          <w:caps w:val="0"/>
          <w:smallCaps w:val="0"/>
          <w:color w:val="auto"/>
          <w:spacing w:val="0"/>
          <w:w w:val="100"/>
          <w:position w:val="0"/>
          <w:sz w:val="24"/>
          <w:szCs w:val="24"/>
          <w:u w:val="none" w:color="auto"/>
        </w:rPr>
        <w:t>）交通运输扬尘影响</w:t>
      </w:r>
    </w:p>
    <w:p w14:paraId="12CD31A0">
      <w:pPr>
        <w:pStyle w:val="105"/>
        <w:rPr>
          <w:rFonts w:hint="default" w:ascii="Times New Roman" w:hAnsi="Times New Roman" w:cs="Times New Roman"/>
          <w:color w:val="000000" w:themeColor="text1"/>
          <w:u w:val="none" w:color="auto"/>
          <w14:textFill>
            <w14:solidFill>
              <w14:schemeClr w14:val="tx1"/>
            </w14:solidFill>
          </w14:textFill>
        </w:rPr>
      </w:pPr>
      <w:r>
        <w:rPr>
          <w:rFonts w:hint="default" w:ascii="Times New Roman" w:hAnsi="Times New Roman" w:cs="Times New Roman"/>
          <w:color w:val="000000" w:themeColor="text1"/>
          <w:u w:val="none" w:color="auto"/>
          <w14:textFill>
            <w14:solidFill>
              <w14:schemeClr w14:val="tx1"/>
            </w14:solidFill>
          </w14:textFill>
        </w:rPr>
        <w:t>施工过程中若对装载容易散落、飞扬、流漏物料的运输车辆管理不当，对沿途周围环境会产生一次和二次扬尘污染，影响较大的是运输土石方的车辆。运输车辆在进出施工工地时，车体不清洁，车轮挂带泥沙，产生扬尘也会影响施工场地周围环境质量。</w:t>
      </w:r>
    </w:p>
    <w:p w14:paraId="4EE9A150">
      <w:pPr>
        <w:pStyle w:val="105"/>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cs="Times New Roman"/>
          <w:color w:val="000000" w:themeColor="text1"/>
          <w:u w:val="none" w:color="auto"/>
          <w14:textFill>
            <w14:solidFill>
              <w14:schemeClr w14:val="tx1"/>
            </w14:solidFill>
          </w14:textFill>
        </w:rPr>
        <w:t>产生扬尘量与场地状况有很大关系，道路扬尘视其路面质量不同而产生的扬尘量相差较大，最少的是水泥路面，其次是坚实的土路、一般土路，最差的是浮土多的土路。据有关资料，运输车辆在施工场地行驶产生的扬尘约占施工扬尘总量的60%。</w:t>
      </w:r>
      <w:r>
        <w:rPr>
          <w:rFonts w:hint="default" w:ascii="Times New Roman" w:hAnsi="Times New Roman" w:eastAsia="宋体" w:cs="Times New Roman"/>
          <w:caps w:val="0"/>
          <w:smallCaps w:val="0"/>
          <w:color w:val="auto"/>
          <w:spacing w:val="0"/>
          <w:w w:val="100"/>
          <w:position w:val="0"/>
          <w:sz w:val="24"/>
          <w:szCs w:val="24"/>
          <w:u w:val="none" w:color="auto"/>
        </w:rPr>
        <w:t>一辆载重5t的卡车，通过一段长度为500m的路面时，不同表面清洁程度，不同行驶速度情况下产生的扬尘量如表</w:t>
      </w:r>
      <w:r>
        <w:rPr>
          <w:rFonts w:hint="default" w:ascii="Times New Roman" w:hAnsi="Times New Roman" w:eastAsia="宋体" w:cs="Times New Roman"/>
          <w:bCs/>
          <w:caps w:val="0"/>
          <w:smallCaps w:val="0"/>
          <w:color w:val="auto"/>
          <w:spacing w:val="0"/>
          <w:w w:val="100"/>
          <w:position w:val="0"/>
          <w:sz w:val="24"/>
          <w:szCs w:val="24"/>
          <w:u w:val="none" w:color="auto"/>
        </w:rPr>
        <w:t>4.</w:t>
      </w:r>
      <w:r>
        <w:rPr>
          <w:rFonts w:hint="default" w:ascii="Times New Roman" w:hAnsi="Times New Roman" w:eastAsia="宋体" w:cs="Times New Roman"/>
          <w:bCs/>
          <w:caps w:val="0"/>
          <w:smallCaps w:val="0"/>
          <w:color w:val="auto"/>
          <w:spacing w:val="0"/>
          <w:w w:val="100"/>
          <w:position w:val="0"/>
          <w:sz w:val="24"/>
          <w:szCs w:val="24"/>
          <w:u w:val="none" w:color="auto"/>
          <w:lang w:val="en-US" w:eastAsia="zh-CN"/>
        </w:rPr>
        <w:t>2</w:t>
      </w:r>
      <w:r>
        <w:rPr>
          <w:rFonts w:hint="default" w:ascii="Times New Roman" w:hAnsi="Times New Roman" w:eastAsia="宋体" w:cs="Times New Roman"/>
          <w:bCs/>
          <w:caps w:val="0"/>
          <w:smallCaps w:val="0"/>
          <w:color w:val="auto"/>
          <w:spacing w:val="0"/>
          <w:w w:val="100"/>
          <w:position w:val="0"/>
          <w:sz w:val="24"/>
          <w:szCs w:val="24"/>
          <w:u w:val="none" w:color="auto"/>
        </w:rPr>
        <w:t>-2</w:t>
      </w:r>
      <w:r>
        <w:rPr>
          <w:rFonts w:hint="default" w:ascii="Times New Roman" w:hAnsi="Times New Roman" w:eastAsia="宋体" w:cs="Times New Roman"/>
          <w:caps w:val="0"/>
          <w:smallCaps w:val="0"/>
          <w:color w:val="auto"/>
          <w:spacing w:val="0"/>
          <w:w w:val="100"/>
          <w:position w:val="0"/>
          <w:sz w:val="24"/>
          <w:szCs w:val="24"/>
          <w:u w:val="none" w:color="auto"/>
        </w:rPr>
        <w:t>所示。</w:t>
      </w:r>
    </w:p>
    <w:p w14:paraId="6935A84E">
      <w:pPr>
        <w:pageBreakBefore w:val="0"/>
        <w:kinsoku w:val="0"/>
        <w:wordWrap w:val="0"/>
        <w:overflowPunct/>
        <w:topLinePunct/>
        <w:autoSpaceDE/>
        <w:autoSpaceDN/>
        <w:bidi w:val="0"/>
        <w:spacing w:line="360" w:lineRule="auto"/>
        <w:jc w:val="center"/>
        <w:rPr>
          <w:rFonts w:hint="default" w:ascii="Times New Roman" w:hAnsi="Times New Roman" w:eastAsia="宋体" w:cs="Times New Roman"/>
          <w:b/>
          <w:caps w:val="0"/>
          <w:smallCaps w:val="0"/>
          <w:color w:val="auto"/>
          <w:spacing w:val="0"/>
          <w:w w:val="100"/>
          <w:position w:val="0"/>
          <w:szCs w:val="21"/>
          <w:u w:val="none" w:color="auto"/>
        </w:rPr>
      </w:pPr>
      <w:r>
        <w:rPr>
          <w:rFonts w:hint="default" w:ascii="Times New Roman" w:hAnsi="Times New Roman" w:eastAsia="宋体" w:cs="Times New Roman"/>
          <w:b/>
          <w:caps w:val="0"/>
          <w:smallCaps w:val="0"/>
          <w:color w:val="auto"/>
          <w:spacing w:val="0"/>
          <w:w w:val="100"/>
          <w:position w:val="0"/>
          <w:szCs w:val="21"/>
          <w:u w:val="none" w:color="auto"/>
        </w:rPr>
        <w:t>表4.</w:t>
      </w:r>
      <w:r>
        <w:rPr>
          <w:rFonts w:hint="default" w:ascii="Times New Roman" w:hAnsi="Times New Roman" w:eastAsia="宋体" w:cs="Times New Roman"/>
          <w:b/>
          <w:caps w:val="0"/>
          <w:smallCaps w:val="0"/>
          <w:color w:val="auto"/>
          <w:spacing w:val="0"/>
          <w:w w:val="100"/>
          <w:position w:val="0"/>
          <w:szCs w:val="21"/>
          <w:u w:val="none" w:color="auto"/>
          <w:lang w:val="en-US" w:eastAsia="zh-CN"/>
        </w:rPr>
        <w:t>2</w:t>
      </w:r>
      <w:r>
        <w:rPr>
          <w:rFonts w:hint="default" w:ascii="Times New Roman" w:hAnsi="Times New Roman" w:eastAsia="宋体" w:cs="Times New Roman"/>
          <w:b/>
          <w:caps w:val="0"/>
          <w:smallCaps w:val="0"/>
          <w:color w:val="auto"/>
          <w:spacing w:val="0"/>
          <w:w w:val="100"/>
          <w:position w:val="0"/>
          <w:szCs w:val="21"/>
          <w:u w:val="none" w:color="auto"/>
        </w:rPr>
        <w:t>-2  不同车速和地面清洁程度时的汽车扬尘  单位：kg/km·辆</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96"/>
        <w:gridCol w:w="1103"/>
        <w:gridCol w:w="1103"/>
        <w:gridCol w:w="1104"/>
        <w:gridCol w:w="1103"/>
        <w:gridCol w:w="1104"/>
        <w:gridCol w:w="1103"/>
      </w:tblGrid>
      <w:tr w14:paraId="33E8E0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1" w:type="dxa"/>
            <w:tcBorders>
              <w:tl2br w:val="single" w:color="auto" w:sz="12" w:space="0"/>
            </w:tcBorders>
            <w:vAlign w:val="center"/>
          </w:tcPr>
          <w:p w14:paraId="7FCF7554">
            <w:pPr>
              <w:pageBreakBefore w:val="0"/>
              <w:kinsoku w:val="0"/>
              <w:wordWrap w:val="0"/>
              <w:overflowPunct/>
              <w:topLinePunct/>
              <w:autoSpaceDE/>
              <w:autoSpaceDN/>
              <w:bidi w:val="0"/>
              <w:adjustRightInd w:val="0"/>
              <w:snapToGrid w:val="0"/>
              <w:jc w:val="right"/>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P（kg/m</w:t>
            </w:r>
            <w:r>
              <w:rPr>
                <w:rFonts w:hint="default" w:ascii="Times New Roman" w:hAnsi="Times New Roman" w:eastAsia="宋体" w:cs="Times New Roman"/>
                <w:b/>
                <w:bCs/>
                <w:caps w:val="0"/>
                <w:smallCaps w:val="0"/>
                <w:color w:val="auto"/>
                <w:spacing w:val="0"/>
                <w:w w:val="100"/>
                <w:position w:val="0"/>
                <w:sz w:val="21"/>
                <w:szCs w:val="21"/>
                <w:u w:val="none" w:color="auto"/>
                <w:vertAlign w:val="superscript"/>
              </w:rPr>
              <w:t>2</w:t>
            </w:r>
            <w:r>
              <w:rPr>
                <w:rFonts w:hint="default" w:ascii="Times New Roman" w:hAnsi="Times New Roman" w:eastAsia="宋体" w:cs="Times New Roman"/>
                <w:b/>
                <w:bCs/>
                <w:caps w:val="0"/>
                <w:smallCaps w:val="0"/>
                <w:color w:val="auto"/>
                <w:spacing w:val="0"/>
                <w:w w:val="100"/>
                <w:position w:val="0"/>
                <w:sz w:val="21"/>
                <w:szCs w:val="21"/>
                <w:u w:val="none" w:color="auto"/>
              </w:rPr>
              <w:t>）</w:t>
            </w:r>
          </w:p>
          <w:p w14:paraId="173809D7">
            <w:pPr>
              <w:pageBreakBefore w:val="0"/>
              <w:kinsoku w:val="0"/>
              <w:wordWrap w:val="0"/>
              <w:overflowPunct/>
              <w:topLinePunct/>
              <w:autoSpaceDE/>
              <w:autoSpaceDN/>
              <w:bidi w:val="0"/>
              <w:adjustRightInd w:val="0"/>
              <w:snapToGrid w:val="0"/>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车速（km/h）</w:t>
            </w:r>
          </w:p>
        </w:tc>
        <w:tc>
          <w:tcPr>
            <w:tcW w:w="1173" w:type="dxa"/>
            <w:tcBorders>
              <w:tl2br w:val="nil"/>
              <w:tr2bl w:val="nil"/>
            </w:tcBorders>
            <w:vAlign w:val="center"/>
          </w:tcPr>
          <w:p w14:paraId="1F0D9A89">
            <w:pPr>
              <w:pageBreakBefore w:val="0"/>
              <w:kinsoku w:val="0"/>
              <w:wordWrap w:val="0"/>
              <w:overflowPunct/>
              <w:topLinePunct/>
              <w:autoSpaceDE/>
              <w:autoSpaceDN/>
              <w:bidi w:val="0"/>
              <w:adjustRightInd w:val="0"/>
              <w:snapToGrid w:val="0"/>
              <w:jc w:val="center"/>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0.1</w:t>
            </w:r>
          </w:p>
        </w:tc>
        <w:tc>
          <w:tcPr>
            <w:tcW w:w="1173" w:type="dxa"/>
            <w:tcBorders>
              <w:tl2br w:val="nil"/>
              <w:tr2bl w:val="nil"/>
            </w:tcBorders>
            <w:vAlign w:val="center"/>
          </w:tcPr>
          <w:p w14:paraId="1B253850">
            <w:pPr>
              <w:pageBreakBefore w:val="0"/>
              <w:kinsoku w:val="0"/>
              <w:wordWrap w:val="0"/>
              <w:overflowPunct/>
              <w:topLinePunct/>
              <w:autoSpaceDE/>
              <w:autoSpaceDN/>
              <w:bidi w:val="0"/>
              <w:adjustRightInd w:val="0"/>
              <w:snapToGrid w:val="0"/>
              <w:jc w:val="center"/>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0.2</w:t>
            </w:r>
          </w:p>
        </w:tc>
        <w:tc>
          <w:tcPr>
            <w:tcW w:w="1174" w:type="dxa"/>
            <w:tcBorders>
              <w:tl2br w:val="nil"/>
              <w:tr2bl w:val="nil"/>
            </w:tcBorders>
            <w:vAlign w:val="center"/>
          </w:tcPr>
          <w:p w14:paraId="21BE7A53">
            <w:pPr>
              <w:pageBreakBefore w:val="0"/>
              <w:kinsoku w:val="0"/>
              <w:wordWrap w:val="0"/>
              <w:overflowPunct/>
              <w:topLinePunct/>
              <w:autoSpaceDE/>
              <w:autoSpaceDN/>
              <w:bidi w:val="0"/>
              <w:adjustRightInd w:val="0"/>
              <w:snapToGrid w:val="0"/>
              <w:jc w:val="center"/>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0.3</w:t>
            </w:r>
          </w:p>
        </w:tc>
        <w:tc>
          <w:tcPr>
            <w:tcW w:w="1173" w:type="dxa"/>
            <w:tcBorders>
              <w:tl2br w:val="nil"/>
              <w:tr2bl w:val="nil"/>
            </w:tcBorders>
            <w:vAlign w:val="center"/>
          </w:tcPr>
          <w:p w14:paraId="46639DB7">
            <w:pPr>
              <w:pageBreakBefore w:val="0"/>
              <w:kinsoku w:val="0"/>
              <w:wordWrap w:val="0"/>
              <w:overflowPunct/>
              <w:topLinePunct/>
              <w:autoSpaceDE/>
              <w:autoSpaceDN/>
              <w:bidi w:val="0"/>
              <w:adjustRightInd w:val="0"/>
              <w:snapToGrid w:val="0"/>
              <w:jc w:val="center"/>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0.4</w:t>
            </w:r>
          </w:p>
        </w:tc>
        <w:tc>
          <w:tcPr>
            <w:tcW w:w="1174" w:type="dxa"/>
            <w:tcBorders>
              <w:tl2br w:val="nil"/>
              <w:tr2bl w:val="nil"/>
            </w:tcBorders>
            <w:vAlign w:val="center"/>
          </w:tcPr>
          <w:p w14:paraId="49AC2A67">
            <w:pPr>
              <w:pageBreakBefore w:val="0"/>
              <w:kinsoku w:val="0"/>
              <w:wordWrap w:val="0"/>
              <w:overflowPunct/>
              <w:topLinePunct/>
              <w:autoSpaceDE/>
              <w:autoSpaceDN/>
              <w:bidi w:val="0"/>
              <w:adjustRightInd w:val="0"/>
              <w:snapToGrid w:val="0"/>
              <w:jc w:val="center"/>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0.5</w:t>
            </w:r>
          </w:p>
        </w:tc>
        <w:tc>
          <w:tcPr>
            <w:tcW w:w="1173" w:type="dxa"/>
            <w:tcBorders>
              <w:tl2br w:val="nil"/>
              <w:tr2bl w:val="nil"/>
            </w:tcBorders>
            <w:vAlign w:val="center"/>
          </w:tcPr>
          <w:p w14:paraId="2CE6A441">
            <w:pPr>
              <w:pageBreakBefore w:val="0"/>
              <w:kinsoku w:val="0"/>
              <w:wordWrap w:val="0"/>
              <w:overflowPunct/>
              <w:topLinePunct/>
              <w:autoSpaceDE/>
              <w:autoSpaceDN/>
              <w:bidi w:val="0"/>
              <w:adjustRightInd w:val="0"/>
              <w:snapToGrid w:val="0"/>
              <w:jc w:val="center"/>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1.0</w:t>
            </w:r>
          </w:p>
        </w:tc>
      </w:tr>
      <w:tr w14:paraId="4C03F6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1" w:type="dxa"/>
            <w:tcBorders>
              <w:tl2br w:val="nil"/>
              <w:tr2bl w:val="nil"/>
            </w:tcBorders>
            <w:vAlign w:val="center"/>
          </w:tcPr>
          <w:p w14:paraId="1DBBCEFF">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5</w:t>
            </w:r>
          </w:p>
        </w:tc>
        <w:tc>
          <w:tcPr>
            <w:tcW w:w="1173" w:type="dxa"/>
            <w:tcBorders>
              <w:tl2br w:val="nil"/>
              <w:tr2bl w:val="nil"/>
            </w:tcBorders>
            <w:vAlign w:val="center"/>
          </w:tcPr>
          <w:p w14:paraId="07753643">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0.0283</w:t>
            </w:r>
          </w:p>
        </w:tc>
        <w:tc>
          <w:tcPr>
            <w:tcW w:w="1173" w:type="dxa"/>
            <w:tcBorders>
              <w:tl2br w:val="nil"/>
              <w:tr2bl w:val="nil"/>
            </w:tcBorders>
            <w:vAlign w:val="center"/>
          </w:tcPr>
          <w:p w14:paraId="1A3615D6">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0.0476</w:t>
            </w:r>
          </w:p>
        </w:tc>
        <w:tc>
          <w:tcPr>
            <w:tcW w:w="1174" w:type="dxa"/>
            <w:tcBorders>
              <w:tl2br w:val="nil"/>
              <w:tr2bl w:val="nil"/>
            </w:tcBorders>
            <w:vAlign w:val="center"/>
          </w:tcPr>
          <w:p w14:paraId="49F8F63E">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0.0646</w:t>
            </w:r>
          </w:p>
        </w:tc>
        <w:tc>
          <w:tcPr>
            <w:tcW w:w="1173" w:type="dxa"/>
            <w:tcBorders>
              <w:tl2br w:val="nil"/>
              <w:tr2bl w:val="nil"/>
            </w:tcBorders>
            <w:vAlign w:val="center"/>
          </w:tcPr>
          <w:p w14:paraId="6F230ED9">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0.0801</w:t>
            </w:r>
          </w:p>
        </w:tc>
        <w:tc>
          <w:tcPr>
            <w:tcW w:w="1174" w:type="dxa"/>
            <w:tcBorders>
              <w:tl2br w:val="nil"/>
              <w:tr2bl w:val="nil"/>
            </w:tcBorders>
            <w:vAlign w:val="center"/>
          </w:tcPr>
          <w:p w14:paraId="4F2092F3">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0.0947</w:t>
            </w:r>
          </w:p>
        </w:tc>
        <w:tc>
          <w:tcPr>
            <w:tcW w:w="1173" w:type="dxa"/>
            <w:tcBorders>
              <w:tl2br w:val="nil"/>
              <w:tr2bl w:val="nil"/>
            </w:tcBorders>
            <w:vAlign w:val="center"/>
          </w:tcPr>
          <w:p w14:paraId="2C80E0AC">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0.1593</w:t>
            </w:r>
          </w:p>
        </w:tc>
      </w:tr>
      <w:tr w14:paraId="06ACE5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1" w:type="dxa"/>
            <w:tcBorders>
              <w:tl2br w:val="nil"/>
              <w:tr2bl w:val="nil"/>
            </w:tcBorders>
            <w:vAlign w:val="center"/>
          </w:tcPr>
          <w:p w14:paraId="1596A368">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10</w:t>
            </w:r>
          </w:p>
        </w:tc>
        <w:tc>
          <w:tcPr>
            <w:tcW w:w="1173" w:type="dxa"/>
            <w:tcBorders>
              <w:tl2br w:val="nil"/>
              <w:tr2bl w:val="nil"/>
            </w:tcBorders>
            <w:vAlign w:val="center"/>
          </w:tcPr>
          <w:p w14:paraId="44814EB8">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0.0566</w:t>
            </w:r>
          </w:p>
        </w:tc>
        <w:tc>
          <w:tcPr>
            <w:tcW w:w="1173" w:type="dxa"/>
            <w:tcBorders>
              <w:tl2br w:val="nil"/>
              <w:tr2bl w:val="nil"/>
            </w:tcBorders>
            <w:vAlign w:val="center"/>
          </w:tcPr>
          <w:p w14:paraId="4E9D8525">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0.0953</w:t>
            </w:r>
          </w:p>
        </w:tc>
        <w:tc>
          <w:tcPr>
            <w:tcW w:w="1174" w:type="dxa"/>
            <w:tcBorders>
              <w:tl2br w:val="nil"/>
              <w:tr2bl w:val="nil"/>
            </w:tcBorders>
            <w:vAlign w:val="center"/>
          </w:tcPr>
          <w:p w14:paraId="7D2FD2C1">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0.1291</w:t>
            </w:r>
          </w:p>
        </w:tc>
        <w:tc>
          <w:tcPr>
            <w:tcW w:w="1173" w:type="dxa"/>
            <w:tcBorders>
              <w:tl2br w:val="nil"/>
              <w:tr2bl w:val="nil"/>
            </w:tcBorders>
            <w:vAlign w:val="center"/>
          </w:tcPr>
          <w:p w14:paraId="1A4E9A03">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0.1602</w:t>
            </w:r>
          </w:p>
        </w:tc>
        <w:tc>
          <w:tcPr>
            <w:tcW w:w="1174" w:type="dxa"/>
            <w:tcBorders>
              <w:tl2br w:val="nil"/>
              <w:tr2bl w:val="nil"/>
            </w:tcBorders>
            <w:vAlign w:val="center"/>
          </w:tcPr>
          <w:p w14:paraId="5FDEF51B">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0.1894</w:t>
            </w:r>
          </w:p>
        </w:tc>
        <w:tc>
          <w:tcPr>
            <w:tcW w:w="1173" w:type="dxa"/>
            <w:tcBorders>
              <w:tl2br w:val="nil"/>
              <w:tr2bl w:val="nil"/>
            </w:tcBorders>
            <w:vAlign w:val="center"/>
          </w:tcPr>
          <w:p w14:paraId="460AF25D">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0.3186</w:t>
            </w:r>
          </w:p>
        </w:tc>
      </w:tr>
      <w:tr w14:paraId="417C5A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1" w:type="dxa"/>
            <w:tcBorders>
              <w:tl2br w:val="nil"/>
              <w:tr2bl w:val="nil"/>
            </w:tcBorders>
            <w:vAlign w:val="center"/>
          </w:tcPr>
          <w:p w14:paraId="677D8AA8">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15</w:t>
            </w:r>
          </w:p>
        </w:tc>
        <w:tc>
          <w:tcPr>
            <w:tcW w:w="1173" w:type="dxa"/>
            <w:tcBorders>
              <w:tl2br w:val="nil"/>
              <w:tr2bl w:val="nil"/>
            </w:tcBorders>
            <w:vAlign w:val="center"/>
          </w:tcPr>
          <w:p w14:paraId="4DF0B590">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0.0850</w:t>
            </w:r>
          </w:p>
        </w:tc>
        <w:tc>
          <w:tcPr>
            <w:tcW w:w="1173" w:type="dxa"/>
            <w:tcBorders>
              <w:tl2br w:val="nil"/>
              <w:tr2bl w:val="nil"/>
            </w:tcBorders>
            <w:vAlign w:val="center"/>
          </w:tcPr>
          <w:p w14:paraId="55027F60">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0.1429</w:t>
            </w:r>
          </w:p>
        </w:tc>
        <w:tc>
          <w:tcPr>
            <w:tcW w:w="1174" w:type="dxa"/>
            <w:tcBorders>
              <w:tl2br w:val="nil"/>
              <w:tr2bl w:val="nil"/>
            </w:tcBorders>
            <w:vAlign w:val="center"/>
          </w:tcPr>
          <w:p w14:paraId="40B347F6">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0.1937</w:t>
            </w:r>
          </w:p>
        </w:tc>
        <w:tc>
          <w:tcPr>
            <w:tcW w:w="1173" w:type="dxa"/>
            <w:tcBorders>
              <w:tl2br w:val="nil"/>
              <w:tr2bl w:val="nil"/>
            </w:tcBorders>
            <w:vAlign w:val="center"/>
          </w:tcPr>
          <w:p w14:paraId="2A8E80FB">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0.2403</w:t>
            </w:r>
          </w:p>
        </w:tc>
        <w:tc>
          <w:tcPr>
            <w:tcW w:w="1174" w:type="dxa"/>
            <w:tcBorders>
              <w:tl2br w:val="nil"/>
              <w:tr2bl w:val="nil"/>
            </w:tcBorders>
            <w:vAlign w:val="center"/>
          </w:tcPr>
          <w:p w14:paraId="77259560">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0.2841</w:t>
            </w:r>
          </w:p>
        </w:tc>
        <w:tc>
          <w:tcPr>
            <w:tcW w:w="1173" w:type="dxa"/>
            <w:tcBorders>
              <w:tl2br w:val="nil"/>
              <w:tr2bl w:val="nil"/>
            </w:tcBorders>
            <w:vAlign w:val="center"/>
          </w:tcPr>
          <w:p w14:paraId="31DC6DD5">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0.4778</w:t>
            </w:r>
          </w:p>
        </w:tc>
      </w:tr>
      <w:tr w14:paraId="5F23F1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1" w:type="dxa"/>
            <w:tcBorders>
              <w:tl2br w:val="nil"/>
              <w:tr2bl w:val="nil"/>
            </w:tcBorders>
            <w:vAlign w:val="center"/>
          </w:tcPr>
          <w:p w14:paraId="77A2C55E">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20</w:t>
            </w:r>
          </w:p>
        </w:tc>
        <w:tc>
          <w:tcPr>
            <w:tcW w:w="1173" w:type="dxa"/>
            <w:tcBorders>
              <w:tl2br w:val="nil"/>
              <w:tr2bl w:val="nil"/>
            </w:tcBorders>
            <w:vAlign w:val="center"/>
          </w:tcPr>
          <w:p w14:paraId="71A08317">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0.1133</w:t>
            </w:r>
          </w:p>
        </w:tc>
        <w:tc>
          <w:tcPr>
            <w:tcW w:w="1173" w:type="dxa"/>
            <w:tcBorders>
              <w:tl2br w:val="nil"/>
              <w:tr2bl w:val="nil"/>
            </w:tcBorders>
            <w:vAlign w:val="center"/>
          </w:tcPr>
          <w:p w14:paraId="4328B342">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0.1905</w:t>
            </w:r>
          </w:p>
        </w:tc>
        <w:tc>
          <w:tcPr>
            <w:tcW w:w="1174" w:type="dxa"/>
            <w:tcBorders>
              <w:tl2br w:val="nil"/>
              <w:tr2bl w:val="nil"/>
            </w:tcBorders>
            <w:vAlign w:val="center"/>
          </w:tcPr>
          <w:p w14:paraId="57B979B7">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0.2583</w:t>
            </w:r>
          </w:p>
        </w:tc>
        <w:tc>
          <w:tcPr>
            <w:tcW w:w="1173" w:type="dxa"/>
            <w:tcBorders>
              <w:tl2br w:val="nil"/>
              <w:tr2bl w:val="nil"/>
            </w:tcBorders>
            <w:vAlign w:val="center"/>
          </w:tcPr>
          <w:p w14:paraId="015FAE86">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0.3204</w:t>
            </w:r>
          </w:p>
        </w:tc>
        <w:tc>
          <w:tcPr>
            <w:tcW w:w="1174" w:type="dxa"/>
            <w:tcBorders>
              <w:tl2br w:val="nil"/>
              <w:tr2bl w:val="nil"/>
            </w:tcBorders>
            <w:vAlign w:val="center"/>
          </w:tcPr>
          <w:p w14:paraId="31CCD70E">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0.3788</w:t>
            </w:r>
          </w:p>
        </w:tc>
        <w:tc>
          <w:tcPr>
            <w:tcW w:w="1173" w:type="dxa"/>
            <w:tcBorders>
              <w:tl2br w:val="nil"/>
              <w:tr2bl w:val="nil"/>
            </w:tcBorders>
            <w:vAlign w:val="center"/>
          </w:tcPr>
          <w:p w14:paraId="232F86DE">
            <w:pPr>
              <w:keepNext w:val="0"/>
              <w:keepLines w:val="0"/>
              <w:pageBreakBefore w:val="0"/>
              <w:widowControl w:val="0"/>
              <w:kinsoku w:val="0"/>
              <w:wordWrap w:val="0"/>
              <w:overflowPunct/>
              <w:topLinePunct/>
              <w:autoSpaceDE/>
              <w:autoSpaceDN/>
              <w:bidi w:val="0"/>
              <w:adjustRightInd w:val="0"/>
              <w:snapToGrid w:val="0"/>
              <w:spacing w:line="340" w:lineRule="exact"/>
              <w:jc w:val="center"/>
              <w:textAlignment w:val="auto"/>
              <w:rPr>
                <w:rFonts w:hint="default" w:ascii="Times New Roman" w:hAnsi="Times New Roman" w:eastAsia="宋体" w:cs="Times New Roman"/>
                <w:caps w:val="0"/>
                <w:smallCaps w:val="0"/>
                <w:color w:val="auto"/>
                <w:spacing w:val="0"/>
                <w:w w:val="100"/>
                <w:position w:val="0"/>
                <w:sz w:val="21"/>
                <w:szCs w:val="21"/>
                <w:u w:val="none" w:color="auto"/>
              </w:rPr>
            </w:pPr>
            <w:r>
              <w:rPr>
                <w:rFonts w:hint="default" w:ascii="Times New Roman" w:hAnsi="Times New Roman" w:eastAsia="宋体" w:cs="Times New Roman"/>
                <w:caps w:val="0"/>
                <w:smallCaps w:val="0"/>
                <w:color w:val="auto"/>
                <w:spacing w:val="0"/>
                <w:w w:val="100"/>
                <w:position w:val="0"/>
                <w:sz w:val="21"/>
                <w:szCs w:val="21"/>
                <w:u w:val="none" w:color="auto"/>
              </w:rPr>
              <w:t>0.6371</w:t>
            </w:r>
          </w:p>
        </w:tc>
      </w:tr>
    </w:tbl>
    <w:p w14:paraId="48E1AF0D">
      <w:pPr>
        <w:pStyle w:val="105"/>
        <w:spacing w:line="360" w:lineRule="auto"/>
        <w:rPr>
          <w:rFonts w:hint="default" w:ascii="Times New Roman" w:hAnsi="Times New Roman" w:eastAsia="宋体" w:cs="Times New Roman"/>
          <w:color w:val="000000" w:themeColor="text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u w:val="none" w:color="auto"/>
          <w14:textFill>
            <w14:solidFill>
              <w14:schemeClr w14:val="tx1"/>
            </w14:solidFill>
          </w14:textFill>
        </w:rPr>
        <w:t>由表4.1-2可见，在同样路面清洁情况下，车速越快，扬尘量越大；而在同样车速情况下，路面清洁度越差，则扬尘量越大。根据类比调查，一般情况下，</w:t>
      </w:r>
      <w:r>
        <w:rPr>
          <w:rFonts w:hint="default" w:ascii="Times New Roman" w:hAnsi="Times New Roman" w:eastAsia="宋体" w:cs="Times New Roman"/>
          <w:color w:val="000000" w:themeColor="text1"/>
          <w:u w:val="none" w:color="auto"/>
          <w:lang w:val="en-US" w:eastAsia="zh-CN"/>
          <w14:textFill>
            <w14:solidFill>
              <w14:schemeClr w14:val="tx1"/>
            </w14:solidFill>
          </w14:textFill>
        </w:rPr>
        <w:t>在未采取抑尘措施的条件下，道路扬尘所影响的范围在100m以内，而对道路实施定期洒水冲洗（每天3~5次）措施后，道扬尘的影响范围可控制在30m以内。</w:t>
      </w:r>
    </w:p>
    <w:p w14:paraId="000082D6">
      <w:pPr>
        <w:spacing w:line="360" w:lineRule="auto"/>
        <w:ind w:left="-63"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根据工程布置，本工程对外交通进库公路直接利用进村通道路，该道路为混凝土路面，满足物料运输要求。</w:t>
      </w:r>
      <w:r>
        <w:rPr>
          <w:rFonts w:hint="default" w:ascii="Times New Roman" w:hAnsi="Times New Roman" w:eastAsia="宋体" w:cs="Times New Roman"/>
          <w:color w:val="000000" w:themeColor="text1"/>
          <w:kern w:val="2"/>
          <w:sz w:val="24"/>
          <w:szCs w:val="24"/>
          <w:u w:val="none" w:color="auto"/>
          <w:lang w:val="en-US" w:eastAsia="zh-CN" w:bidi="ar-SA"/>
          <w14:textFill>
            <w14:solidFill>
              <w14:schemeClr w14:val="tx1"/>
            </w14:solidFill>
          </w14:textFill>
        </w:rPr>
        <w:t>本工程交通运输扬尘主要影响施工道路周边仙鹅寺村居民点以及运输道路沿线居民点等敏感目标。道路扬尘对周边环境空气质量和敏感目标有不利影响，但影响程度有限。</w:t>
      </w:r>
      <w:r>
        <w:rPr>
          <w:rFonts w:hint="default" w:ascii="Times New Roman" w:hAnsi="Times New Roman" w:eastAsia="宋体" w:cs="Times New Roman"/>
          <w:caps w:val="0"/>
          <w:smallCaps w:val="0"/>
          <w:color w:val="auto"/>
          <w:spacing w:val="0"/>
          <w:w w:val="100"/>
          <w:position w:val="0"/>
          <w:sz w:val="24"/>
          <w:szCs w:val="24"/>
          <w:u w:val="none" w:color="auto"/>
        </w:rPr>
        <w:t>项目应对施工便道进行硬化处理，保持运输路面状况较好，物料运输车辆采用封闭车辆或加盖帆布，不超重装载，避免运输过程产生物料遗撒，减少扬尘产生；要求驾驶员在运输过程中做到文明驾驶，途经村庄时要减速慢行，以减少扬尘的产生量。同时在，运输道路上设专人定期清扫泥尘，配置洒水车及时洒水降尘。采取以上措施后，可有效</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减小</w:t>
      </w:r>
      <w:r>
        <w:rPr>
          <w:rFonts w:hint="default" w:ascii="Times New Roman" w:hAnsi="Times New Roman" w:eastAsia="宋体" w:cs="Times New Roman"/>
          <w:caps w:val="0"/>
          <w:smallCaps w:val="0"/>
          <w:color w:val="auto"/>
          <w:spacing w:val="0"/>
          <w:w w:val="100"/>
          <w:position w:val="0"/>
          <w:sz w:val="24"/>
          <w:szCs w:val="24"/>
          <w:u w:val="none" w:color="auto"/>
        </w:rPr>
        <w:t>运输</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扬尘对</w:t>
      </w:r>
      <w:r>
        <w:rPr>
          <w:rFonts w:hint="default" w:ascii="Times New Roman" w:hAnsi="Times New Roman" w:eastAsia="宋体" w:cs="Times New Roman"/>
          <w:caps w:val="0"/>
          <w:smallCaps w:val="0"/>
          <w:color w:val="auto"/>
          <w:spacing w:val="0"/>
          <w:w w:val="100"/>
          <w:position w:val="0"/>
          <w:sz w:val="24"/>
          <w:szCs w:val="24"/>
          <w:u w:val="none" w:color="auto"/>
        </w:rPr>
        <w:t>道路沿线居民的影响。</w:t>
      </w:r>
    </w:p>
    <w:p w14:paraId="28104CF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lang w:eastAsia="zh-CN"/>
        </w:rPr>
      </w:pPr>
      <w:r>
        <w:rPr>
          <w:rFonts w:hint="default" w:ascii="Times New Roman" w:hAnsi="Times New Roman" w:eastAsia="宋体" w:cs="Times New Roman"/>
          <w:caps w:val="0"/>
          <w:smallCaps w:val="0"/>
          <w:color w:val="auto"/>
          <w:spacing w:val="0"/>
          <w:w w:val="100"/>
          <w:position w:val="0"/>
          <w:sz w:val="24"/>
          <w:szCs w:val="24"/>
          <w:u w:val="none" w:color="auto"/>
        </w:rPr>
        <w:t>（</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3</w:t>
      </w:r>
      <w:r>
        <w:rPr>
          <w:rFonts w:hint="default" w:ascii="Times New Roman" w:hAnsi="Times New Roman" w:eastAsia="宋体" w:cs="Times New Roman"/>
          <w:caps w:val="0"/>
          <w:smallCaps w:val="0"/>
          <w:color w:val="auto"/>
          <w:spacing w:val="0"/>
          <w:w w:val="100"/>
          <w:position w:val="0"/>
          <w:sz w:val="24"/>
          <w:szCs w:val="24"/>
          <w:u w:val="none" w:color="auto"/>
        </w:rPr>
        <w:t>）</w:t>
      </w:r>
      <w:r>
        <w:rPr>
          <w:rFonts w:hint="default" w:ascii="Times New Roman" w:hAnsi="Times New Roman" w:eastAsia="宋体" w:cs="Times New Roman"/>
          <w:caps w:val="0"/>
          <w:smallCaps w:val="0"/>
          <w:color w:val="auto"/>
          <w:spacing w:val="0"/>
          <w:w w:val="100"/>
          <w:position w:val="0"/>
          <w:sz w:val="24"/>
          <w:szCs w:val="24"/>
          <w:u w:val="none" w:color="auto"/>
          <w:lang w:eastAsia="zh-CN"/>
        </w:rPr>
        <w:t>机械设备燃油废气影响</w:t>
      </w:r>
    </w:p>
    <w:p w14:paraId="1291F977">
      <w:pPr>
        <w:keepNext w:val="0"/>
        <w:keepLines w:val="0"/>
        <w:pageBreakBefore w:val="0"/>
        <w:widowControl w:val="0"/>
        <w:kinsoku w:val="0"/>
        <w:wordWrap w:val="0"/>
        <w:overflowPunct/>
        <w:topLinePunct/>
        <w:autoSpaceDE/>
        <w:autoSpaceDN/>
        <w:bidi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lang w:eastAsia="zh-CN"/>
        </w:rPr>
      </w:pPr>
      <w:r>
        <w:rPr>
          <w:rFonts w:hint="default" w:ascii="Times New Roman" w:hAnsi="Times New Roman" w:eastAsia="宋体" w:cs="Times New Roman"/>
          <w:caps w:val="0"/>
          <w:smallCaps w:val="0"/>
          <w:color w:val="auto"/>
          <w:spacing w:val="0"/>
          <w:w w:val="100"/>
          <w:position w:val="0"/>
          <w:sz w:val="24"/>
          <w:szCs w:val="24"/>
          <w:u w:val="none" w:color="auto"/>
        </w:rPr>
        <w:t>工程施工过程采用柴油动力机械、运输车辆等机械作业产生的废气，主要污染物为CO、NO</w:t>
      </w:r>
      <w:r>
        <w:rPr>
          <w:rFonts w:hint="default" w:ascii="Times New Roman" w:hAnsi="Times New Roman" w:eastAsia="宋体" w:cs="Times New Roman"/>
          <w:caps w:val="0"/>
          <w:smallCaps w:val="0"/>
          <w:color w:val="auto"/>
          <w:spacing w:val="0"/>
          <w:w w:val="100"/>
          <w:position w:val="0"/>
          <w:sz w:val="24"/>
          <w:szCs w:val="24"/>
          <w:u w:val="none" w:color="auto"/>
          <w:vertAlign w:val="subscript"/>
          <w:lang w:val="en-US" w:eastAsia="zh-CN"/>
        </w:rPr>
        <w:t>x</w:t>
      </w:r>
      <w:r>
        <w:rPr>
          <w:rFonts w:hint="default" w:ascii="Times New Roman" w:hAnsi="Times New Roman" w:eastAsia="宋体" w:cs="Times New Roman"/>
          <w:caps w:val="0"/>
          <w:smallCaps w:val="0"/>
          <w:color w:val="auto"/>
          <w:spacing w:val="0"/>
          <w:w w:val="100"/>
          <w:position w:val="0"/>
          <w:sz w:val="24"/>
          <w:szCs w:val="24"/>
          <w:u w:val="none" w:color="auto"/>
        </w:rPr>
        <w:t>、</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颗粒物</w:t>
      </w:r>
      <w:r>
        <w:rPr>
          <w:rFonts w:hint="default" w:ascii="Times New Roman" w:hAnsi="Times New Roman" w:eastAsia="宋体" w:cs="Times New Roman"/>
          <w:caps w:val="0"/>
          <w:smallCaps w:val="0"/>
          <w:color w:val="auto"/>
          <w:spacing w:val="0"/>
          <w:w w:val="100"/>
          <w:position w:val="0"/>
          <w:sz w:val="24"/>
          <w:szCs w:val="24"/>
          <w:u w:val="none" w:color="auto"/>
        </w:rPr>
        <w:t>和烃类等，各污染物的排放量与与施工机械数量及密度、耗油量、燃料品质及机械设备状况有关</w:t>
      </w:r>
      <w:r>
        <w:rPr>
          <w:rFonts w:hint="default" w:ascii="Times New Roman" w:hAnsi="Times New Roman" w:eastAsia="宋体" w:cs="Times New Roman"/>
          <w:caps w:val="0"/>
          <w:smallCaps w:val="0"/>
          <w:color w:val="auto"/>
          <w:spacing w:val="0"/>
          <w:w w:val="100"/>
          <w:position w:val="0"/>
          <w:sz w:val="24"/>
          <w:szCs w:val="24"/>
          <w:u w:val="none" w:color="auto"/>
          <w:lang w:eastAsia="zh-CN"/>
        </w:rPr>
        <w:t>，</w:t>
      </w:r>
      <w:r>
        <w:rPr>
          <w:rFonts w:hint="default" w:ascii="Times New Roman" w:hAnsi="Times New Roman" w:eastAsia="宋体" w:cs="Times New Roman"/>
          <w:caps w:val="0"/>
          <w:smallCaps w:val="0"/>
          <w:color w:val="auto"/>
          <w:spacing w:val="0"/>
          <w:w w:val="100"/>
          <w:position w:val="0"/>
          <w:sz w:val="24"/>
          <w:szCs w:val="24"/>
          <w:u w:val="none" w:color="auto"/>
        </w:rPr>
        <w:t>施工机械、汽车产生的燃油废气会对周围环境空气产生不利影响。</w:t>
      </w:r>
    </w:p>
    <w:p w14:paraId="4D819B78">
      <w:pPr>
        <w:spacing w:line="360" w:lineRule="auto"/>
        <w:ind w:left="-63"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由于施工范围较</w:t>
      </w:r>
      <w:r>
        <w:rPr>
          <w:rFonts w:hint="default" w:ascii="Times New Roman" w:hAnsi="Times New Roman" w:eastAsia="宋体" w:cs="Times New Roman"/>
          <w:caps w:val="0"/>
          <w:smallCaps w:val="0"/>
          <w:color w:val="auto"/>
          <w:spacing w:val="0"/>
          <w:w w:val="100"/>
          <w:position w:val="0"/>
          <w:sz w:val="24"/>
          <w:szCs w:val="24"/>
          <w:u w:val="none" w:color="auto"/>
          <w:lang w:eastAsia="zh-CN"/>
        </w:rPr>
        <w:t>小</w:t>
      </w:r>
      <w:r>
        <w:rPr>
          <w:rFonts w:hint="default" w:ascii="Times New Roman" w:hAnsi="Times New Roman" w:eastAsia="宋体" w:cs="Times New Roman"/>
          <w:caps w:val="0"/>
          <w:smallCaps w:val="0"/>
          <w:color w:val="auto"/>
          <w:spacing w:val="0"/>
          <w:w w:val="100"/>
          <w:position w:val="0"/>
          <w:sz w:val="24"/>
          <w:szCs w:val="24"/>
          <w:u w:val="none" w:color="auto"/>
        </w:rPr>
        <w:t>，施工项目较为</w:t>
      </w:r>
      <w:r>
        <w:rPr>
          <w:rFonts w:hint="default" w:ascii="Times New Roman" w:hAnsi="Times New Roman" w:eastAsia="宋体" w:cs="Times New Roman"/>
          <w:caps w:val="0"/>
          <w:smallCaps w:val="0"/>
          <w:color w:val="auto"/>
          <w:spacing w:val="0"/>
          <w:w w:val="100"/>
          <w:position w:val="0"/>
          <w:sz w:val="24"/>
          <w:szCs w:val="24"/>
          <w:u w:val="none" w:color="auto"/>
          <w:lang w:eastAsia="zh-CN"/>
        </w:rPr>
        <w:t>集中</w:t>
      </w:r>
      <w:r>
        <w:rPr>
          <w:rFonts w:hint="default" w:ascii="Times New Roman" w:hAnsi="Times New Roman" w:eastAsia="宋体" w:cs="Times New Roman"/>
          <w:caps w:val="0"/>
          <w:smallCaps w:val="0"/>
          <w:color w:val="auto"/>
          <w:spacing w:val="0"/>
          <w:w w:val="100"/>
          <w:position w:val="0"/>
          <w:sz w:val="24"/>
          <w:szCs w:val="24"/>
          <w:u w:val="none" w:color="auto"/>
        </w:rPr>
        <w:t>，机械废气多为流动性、间歇性、无组织排放，污染源呈面源分布，污染物排放分散且强度不大</w:t>
      </w:r>
      <w:r>
        <w:rPr>
          <w:rFonts w:hint="default" w:ascii="Times New Roman" w:hAnsi="Times New Roman" w:eastAsia="宋体" w:cs="Times New Roman"/>
          <w:caps w:val="0"/>
          <w:smallCaps w:val="0"/>
          <w:color w:val="auto"/>
          <w:spacing w:val="0"/>
          <w:w w:val="100"/>
          <w:position w:val="0"/>
          <w:sz w:val="24"/>
          <w:szCs w:val="24"/>
          <w:u w:val="none" w:color="auto"/>
          <w:lang w:eastAsia="zh-CN"/>
        </w:rPr>
        <w:t>；</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同时项目</w:t>
      </w:r>
      <w:r>
        <w:rPr>
          <w:rFonts w:hint="default" w:ascii="Times New Roman" w:hAnsi="Times New Roman" w:eastAsia="宋体" w:cs="Times New Roman"/>
          <w:caps w:val="0"/>
          <w:smallCaps w:val="0"/>
          <w:color w:val="auto"/>
          <w:spacing w:val="0"/>
          <w:w w:val="100"/>
          <w:position w:val="0"/>
          <w:sz w:val="24"/>
          <w:szCs w:val="24"/>
          <w:u w:val="none" w:color="auto"/>
        </w:rPr>
        <w:t>位于农村地区，现状无大型污染源，施工区域地势开阔、污染物扩散条件好</w:t>
      </w:r>
      <w:r>
        <w:rPr>
          <w:rFonts w:hint="default" w:ascii="Times New Roman" w:hAnsi="Times New Roman" w:eastAsia="宋体" w:cs="Times New Roman"/>
          <w:caps w:val="0"/>
          <w:smallCaps w:val="0"/>
          <w:color w:val="auto"/>
          <w:spacing w:val="0"/>
          <w:w w:val="100"/>
          <w:position w:val="0"/>
          <w:sz w:val="24"/>
          <w:szCs w:val="24"/>
          <w:u w:val="none" w:color="auto"/>
          <w:lang w:eastAsia="zh-CN"/>
        </w:rPr>
        <w:t>。</w:t>
      </w:r>
      <w:r>
        <w:rPr>
          <w:rFonts w:hint="default" w:ascii="Times New Roman" w:hAnsi="Times New Roman" w:eastAsia="宋体" w:cs="Times New Roman"/>
          <w:caps w:val="0"/>
          <w:smallCaps w:val="0"/>
          <w:color w:val="auto"/>
          <w:spacing w:val="0"/>
          <w:w w:val="100"/>
          <w:position w:val="0"/>
          <w:sz w:val="24"/>
          <w:szCs w:val="24"/>
          <w:u w:val="none" w:color="auto"/>
        </w:rPr>
        <w:t>燃油废气产生后在短时间内即扩散，对施工区域周边环境空气的影响程度有限，施工区周边的敏感点受燃油废气的影响较小。</w:t>
      </w:r>
    </w:p>
    <w:p w14:paraId="4B9BF684">
      <w:pPr>
        <w:pStyle w:val="4"/>
        <w:bidi w:val="0"/>
        <w:rPr>
          <w:rFonts w:hint="default" w:ascii="Times New Roman" w:hAnsi="Times New Roman" w:cs="Times New Roman"/>
          <w:color w:val="auto"/>
        </w:rPr>
      </w:pPr>
      <w:bookmarkStart w:id="278" w:name="_Toc28257"/>
      <w:r>
        <w:rPr>
          <w:rFonts w:hint="default" w:ascii="Times New Roman" w:hAnsi="Times New Roman" w:cs="Times New Roman"/>
          <w:color w:val="auto"/>
          <w:lang w:val="en-US" w:eastAsia="zh-CN"/>
        </w:rPr>
        <w:t>施工期</w:t>
      </w:r>
      <w:r>
        <w:rPr>
          <w:rFonts w:hint="default" w:ascii="Times New Roman" w:hAnsi="Times New Roman" w:cs="Times New Roman"/>
          <w:color w:val="auto"/>
        </w:rPr>
        <w:t>地表水环境影响分析</w:t>
      </w:r>
      <w:bookmarkEnd w:id="278"/>
    </w:p>
    <w:p w14:paraId="6700F863">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对水文情势的影响分析</w:t>
      </w:r>
    </w:p>
    <w:p w14:paraId="41957DF9">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根据设计方案，本项目对大坝上游平台61.30m以下块石护坡风化严重区域重新采用块石进行翻砌，输水隧洞进水塔启闭平台和工作桥施工时，需要进行施工导流设计，降低水库上游水位以方便施工建设。大坝上游干砌石护坡和输水隧洞启闭台施工时需要利用输水隧洞控制上游水位。输水隧洞和暗涵等项目施工时，应将输水隧洞下闸，保证下游无水。</w:t>
      </w:r>
    </w:p>
    <w:p w14:paraId="640A4EFF">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本工程为除险加固项目，施工时利用有压输水隧洞泄流。输水涵管的设计流量为2.5m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3</w:t>
      </w:r>
      <w:r>
        <w:rPr>
          <w:rFonts w:hint="default" w:ascii="Times New Roman" w:hAnsi="Times New Roman" w:eastAsia="宋体" w:cs="Times New Roman"/>
          <w:color w:val="auto"/>
          <w:spacing w:val="0"/>
          <w:w w:val="100"/>
          <w:position w:val="0"/>
          <w:sz w:val="24"/>
          <w:szCs w:val="24"/>
          <w:u w:val="none" w:color="auto"/>
          <w:lang w:val="en-US" w:eastAsia="zh-CN"/>
        </w:rPr>
        <w:t>/s，故53.6m以上泄流量按2.5m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3</w:t>
      </w:r>
      <w:r>
        <w:rPr>
          <w:rFonts w:hint="default" w:ascii="Times New Roman" w:hAnsi="Times New Roman" w:eastAsia="宋体" w:cs="Times New Roman"/>
          <w:color w:val="auto"/>
          <w:spacing w:val="0"/>
          <w:w w:val="100"/>
          <w:position w:val="0"/>
          <w:sz w:val="24"/>
          <w:szCs w:val="24"/>
          <w:u w:val="none" w:color="auto"/>
          <w:lang w:val="en-US" w:eastAsia="zh-CN"/>
        </w:rPr>
        <w:t>/s计算。为有利大坝上游块石护坡和输水隧洞进水塔启闭平台改造等项目施工，本工程拟在9月初开始利用输水涵管放水降低库水位，至10月下旬降至50.0m左右。</w:t>
      </w:r>
    </w:p>
    <w:p w14:paraId="5451985A">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cs="Times New Roman"/>
        </w:rPr>
      </w:pPr>
      <w:r>
        <w:rPr>
          <w:rFonts w:hint="default" w:ascii="Times New Roman" w:hAnsi="Times New Roman" w:eastAsia="宋体" w:cs="Times New Roman"/>
          <w:color w:val="auto"/>
          <w:spacing w:val="0"/>
          <w:w w:val="100"/>
          <w:position w:val="0"/>
          <w:sz w:val="24"/>
          <w:szCs w:val="24"/>
          <w:u w:val="none" w:color="auto"/>
          <w:lang w:val="en-US" w:eastAsia="zh-CN"/>
        </w:rPr>
        <w:t>施工导流将导致东山水库的水面面积减少，容积降低，库区水体流速增加。</w:t>
      </w:r>
      <w:r>
        <w:rPr>
          <w:rFonts w:hint="default" w:ascii="Times New Roman" w:hAnsi="Times New Roman" w:eastAsia="宋体" w:cs="Times New Roman"/>
          <w:color w:val="auto"/>
          <w:spacing w:val="0"/>
          <w:w w:val="100"/>
          <w:kern w:val="2"/>
          <w:position w:val="0"/>
          <w:sz w:val="24"/>
          <w:szCs w:val="24"/>
          <w:u w:val="none" w:color="auto"/>
          <w:lang w:val="en-US" w:eastAsia="zh-CN" w:bidi="ar-SA"/>
        </w:rPr>
        <w:t>东山水库是一座以灌溉为主，兼有防洪、供水等综合效益的水利工程。水库灌溉用水季节为每年的4～9月，其余时段为枯水期，一般无灌溉供水要求。项目在9-10月进行施工导流，降低水位，施工期无灌溉任务。同时项目施工期水位最低</w:t>
      </w:r>
      <w:r>
        <w:rPr>
          <w:rFonts w:hint="default" w:ascii="Times New Roman" w:hAnsi="Times New Roman" w:eastAsia="宋体" w:cs="Times New Roman"/>
          <w:color w:val="auto"/>
          <w:spacing w:val="0"/>
          <w:w w:val="100"/>
          <w:position w:val="0"/>
          <w:sz w:val="24"/>
          <w:szCs w:val="24"/>
          <w:u w:val="none" w:color="auto"/>
          <w:lang w:val="en-US" w:eastAsia="zh-CN"/>
        </w:rPr>
        <w:t>降至50.0m左右，输水暗涵顶部设计水位线为49.3m，高于泄流水位，项目</w:t>
      </w:r>
      <w:r>
        <w:rPr>
          <w:rFonts w:hint="default" w:ascii="Times New Roman" w:hAnsi="Times New Roman" w:eastAsia="宋体" w:cs="Times New Roman"/>
          <w:color w:val="auto"/>
          <w:spacing w:val="0"/>
          <w:w w:val="100"/>
          <w:kern w:val="2"/>
          <w:position w:val="0"/>
          <w:sz w:val="24"/>
          <w:szCs w:val="24"/>
          <w:u w:val="none" w:color="auto"/>
          <w:lang w:val="en-US" w:eastAsia="zh-CN" w:bidi="ar-SA"/>
        </w:rPr>
        <w:t>建设基本不存在对下游农田灌溉用水及水库下游产生影响</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w:t>
      </w:r>
    </w:p>
    <w:p w14:paraId="79CAF6C9">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kern w:val="2"/>
          <w:position w:val="0"/>
          <w:sz w:val="24"/>
          <w:szCs w:val="24"/>
          <w:u w:val="none" w:color="auto"/>
          <w:lang w:val="en-US" w:eastAsia="zh-CN" w:bidi="ar-SA"/>
        </w:rPr>
      </w:pPr>
      <w:r>
        <w:rPr>
          <w:rFonts w:hint="default" w:ascii="Times New Roman" w:hAnsi="Times New Roman" w:eastAsia="宋体" w:cs="Times New Roman"/>
          <w:color w:val="auto"/>
          <w:spacing w:val="0"/>
          <w:w w:val="100"/>
          <w:kern w:val="2"/>
          <w:position w:val="0"/>
          <w:sz w:val="24"/>
          <w:szCs w:val="24"/>
          <w:u w:val="none" w:color="auto"/>
          <w:lang w:val="en-US" w:eastAsia="zh-CN" w:bidi="ar-SA"/>
        </w:rPr>
        <w:t>输水隧洞和暗涵等项目施工时，将输水隧洞下闸，保证下游无水。因此与正常运行工况相比，该施工工段会短暂影响下泄流量，导致下游水量减少，流速减慢，或影响下游农田灌溉用水。考虑输水隧洞和暗涵等项目施工安排在枯水期，基本无灌溉需求，且工期较短，对水库水文情势和下游灌溉影响较小。</w:t>
      </w:r>
    </w:p>
    <w:p w14:paraId="7F82BA89">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施工水环境影响分析</w:t>
      </w:r>
    </w:p>
    <w:p w14:paraId="49634EB7">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本工程所需砂石料均从市场购买，不存在砂石料清洗废水，施工期主要生产废水为</w:t>
      </w:r>
      <w:r>
        <w:rPr>
          <w:rFonts w:hint="default" w:ascii="Times New Roman" w:hAnsi="Times New Roman" w:eastAsia="宋体" w:cs="Times New Roman"/>
          <w:color w:val="auto"/>
          <w:kern w:val="0"/>
          <w:sz w:val="24"/>
          <w:szCs w:val="24"/>
          <w:lang w:val="en-US" w:eastAsia="zh-CN" w:bidi="ar"/>
        </w:rPr>
        <w:t>施工废水主要包括混凝土搅拌系统冲洗废水、机械设备冲洗废水、灌浆施工废水和基坑排水</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等。</w:t>
      </w:r>
    </w:p>
    <w:p w14:paraId="25749C07">
      <w:pPr>
        <w:pStyle w:val="19"/>
        <w:keepNext w:val="0"/>
        <w:keepLines w:val="0"/>
        <w:pageBreakBefore w:val="0"/>
        <w:widowControl w:val="0"/>
        <w:overflowPunct/>
        <w:autoSpaceDE/>
        <w:autoSpaceDN/>
        <w:bidi w:val="0"/>
        <w:snapToGrid/>
        <w:spacing w:line="360" w:lineRule="auto"/>
        <w:ind w:left="0" w:right="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default" w:ascii="Times New Roman" w:hAnsi="Times New Roman" w:eastAsia="宋体" w:cs="Times New Roman"/>
          <w:caps w:val="0"/>
          <w:smallCaps w:val="0"/>
          <w:color w:val="auto"/>
          <w:spacing w:val="0"/>
          <w:w w:val="100"/>
          <w:kern w:val="0"/>
          <w:position w:val="0"/>
          <w:sz w:val="24"/>
          <w:szCs w:val="24"/>
          <w:u w:val="none" w:color="auto"/>
        </w:rPr>
        <w:t>混凝土拌和</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冲洗</w:t>
      </w:r>
      <w:r>
        <w:rPr>
          <w:rFonts w:hint="default" w:ascii="Times New Roman" w:hAnsi="Times New Roman" w:eastAsia="宋体" w:cs="Times New Roman"/>
          <w:caps w:val="0"/>
          <w:smallCaps w:val="0"/>
          <w:color w:val="auto"/>
          <w:spacing w:val="0"/>
          <w:w w:val="100"/>
          <w:kern w:val="0"/>
          <w:position w:val="0"/>
          <w:sz w:val="24"/>
          <w:szCs w:val="24"/>
          <w:u w:val="none" w:color="auto"/>
        </w:rPr>
        <w:t>废水</w:t>
      </w:r>
    </w:p>
    <w:p w14:paraId="27502744">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根据前文工程分析，本项目混凝土拌和系统冲洗废水产生量为0.9m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d。砼搅拌系统废水特性为悬浮物浓度和pH值较高，类比同类工程实测值，砼搅拌系统废水中SS含量约3000mg/L，pH值11～12，超过国家规定的污水综合排放一级标准。若不对砼搅拌系统冲洗废水进行处理而直接排放，将对排放口附近水域及工程下游河段造成局部污染。</w:t>
      </w:r>
    </w:p>
    <w:p w14:paraId="62AC7583">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混凝土拌和系统冲洗废水污染物为 SS、pH，针对混凝土冲洗废水具有间歇集中排放、废水量小的特点，可将混凝土拌和系统冲洗废水经絮凝、中和沉淀处理后回用，不外排。混凝土拌和系统冲洗废水经中和沉淀后回用于系统拌和，对周围水环境影响较小。 </w:t>
      </w:r>
    </w:p>
    <w:p w14:paraId="24AE2DD0">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机械</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设备冲洗废水</w:t>
      </w:r>
    </w:p>
    <w:p w14:paraId="0FFF4BFE">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FF0000"/>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本工程施工期机械设备车辆冲洗含油废水产生量为5.4m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d。主要污染物为SS和石油类，石油类浓度约为100mg/L，悬浮物浓度约为2000mg/L。在机械车辆修配停放场地设置沉淀池、隔油池对机械车辆维修清洗废水进行隔油沉淀处理，回用于施工场地、道路洒水抑尘不外排。施工机械设备冲洗废水经处理后回用，对水环境影响较小。</w:t>
      </w:r>
      <w:r>
        <w:rPr>
          <w:rFonts w:hint="default" w:ascii="Times New Roman" w:hAnsi="Times New Roman" w:eastAsia="宋体" w:cs="Times New Roman"/>
          <w:caps w:val="0"/>
          <w:smallCaps w:val="0"/>
          <w:color w:val="FF0000"/>
          <w:spacing w:val="0"/>
          <w:w w:val="100"/>
          <w:kern w:val="0"/>
          <w:position w:val="0"/>
          <w:sz w:val="24"/>
          <w:szCs w:val="24"/>
          <w:u w:val="none" w:color="auto"/>
          <w:lang w:val="en-US" w:eastAsia="zh-CN"/>
        </w:rPr>
        <w:t xml:space="preserve"> </w:t>
      </w:r>
    </w:p>
    <w:p w14:paraId="6840A0FC">
      <w:pPr>
        <w:pStyle w:val="19"/>
        <w:keepNext w:val="0"/>
        <w:keepLines w:val="0"/>
        <w:pageBreakBefore w:val="0"/>
        <w:widowControl w:val="0"/>
        <w:overflowPunct/>
        <w:autoSpaceDE/>
        <w:autoSpaceDN/>
        <w:bidi w:val="0"/>
        <w:snapToGrid/>
        <w:spacing w:line="360" w:lineRule="auto"/>
        <w:ind w:left="0" w:right="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bidi="ar-SA"/>
        </w:rPr>
        <w:t>帷幕灌浆施工废水</w:t>
      </w:r>
    </w:p>
    <w:p w14:paraId="251C2678">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FF0000"/>
          <w:spacing w:val="0"/>
          <w:w w:val="100"/>
          <w:kern w:val="0"/>
          <w:position w:val="0"/>
          <w:sz w:val="24"/>
          <w:szCs w:val="24"/>
          <w:u w:val="none" w:color="auto"/>
          <w:lang w:val="en-US" w:eastAsia="zh-CN"/>
        </w:rPr>
      </w:pPr>
      <w:r>
        <w:rPr>
          <w:rFonts w:hint="default" w:ascii="Times New Roman" w:hAnsi="Times New Roman" w:eastAsia="宋体" w:cs="Times New Roman"/>
          <w:color w:val="auto"/>
          <w:sz w:val="24"/>
          <w:szCs w:val="24"/>
          <w:lang w:eastAsia="zh-CN"/>
        </w:rPr>
        <w:t>本项目</w:t>
      </w:r>
      <w:r>
        <w:rPr>
          <w:rFonts w:hint="default" w:ascii="Times New Roman" w:hAnsi="Times New Roman" w:eastAsia="宋体" w:cs="Times New Roman"/>
          <w:color w:val="auto"/>
          <w:sz w:val="24"/>
          <w:szCs w:val="24"/>
        </w:rPr>
        <w:t>在坝基及两岸坝肩进行帷幕灌浆，</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灌浆施工会产生一定量的碱性、浑浊度较高的施工废水。</w:t>
      </w:r>
      <w:r>
        <w:rPr>
          <w:rFonts w:hint="default" w:ascii="Times New Roman" w:hAnsi="Times New Roman" w:eastAsia="宋体" w:cs="Times New Roman"/>
          <w:color w:val="auto"/>
          <w:spacing w:val="0"/>
          <w:w w:val="100"/>
          <w:position w:val="0"/>
          <w:sz w:val="24"/>
          <w:szCs w:val="24"/>
          <w:u w:val="none" w:color="auto"/>
          <w:lang w:val="en-US" w:eastAsia="zh-CN"/>
        </w:rPr>
        <w:t>经计算灌浆废水产生量约为13.5</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/d。</w:t>
      </w:r>
      <w:r>
        <w:rPr>
          <w:rFonts w:hint="default" w:ascii="Times New Roman" w:hAnsi="Times New Roman" w:eastAsia="宋体" w:cs="Times New Roman"/>
          <w:color w:val="auto"/>
          <w:spacing w:val="0"/>
          <w:w w:val="100"/>
          <w:position w:val="0"/>
          <w:sz w:val="24"/>
          <w:szCs w:val="24"/>
          <w:u w:val="none" w:color="auto"/>
        </w:rPr>
        <w:t>帷幕灌浆施工中</w:t>
      </w:r>
      <w:r>
        <w:rPr>
          <w:rFonts w:hint="default" w:ascii="Times New Roman" w:hAnsi="Times New Roman" w:eastAsia="宋体" w:cs="Times New Roman"/>
          <w:color w:val="auto"/>
          <w:spacing w:val="0"/>
          <w:w w:val="100"/>
          <w:position w:val="0"/>
          <w:sz w:val="24"/>
          <w:szCs w:val="24"/>
          <w:u w:val="none" w:color="auto"/>
          <w:lang w:eastAsia="zh-CN"/>
        </w:rPr>
        <w:t>使用</w:t>
      </w:r>
      <w:r>
        <w:rPr>
          <w:rFonts w:hint="default" w:ascii="Times New Roman" w:hAnsi="Times New Roman" w:eastAsia="宋体" w:cs="Times New Roman"/>
          <w:color w:val="auto"/>
          <w:spacing w:val="0"/>
          <w:w w:val="100"/>
          <w:position w:val="0"/>
          <w:sz w:val="24"/>
          <w:szCs w:val="24"/>
          <w:u w:val="none" w:color="auto"/>
        </w:rPr>
        <w:t>的泥浆SS浓度</w:t>
      </w:r>
      <w:r>
        <w:rPr>
          <w:rFonts w:hint="default" w:ascii="Times New Roman" w:hAnsi="Times New Roman" w:eastAsia="宋体" w:cs="Times New Roman"/>
          <w:color w:val="auto"/>
          <w:spacing w:val="0"/>
          <w:w w:val="100"/>
          <w:position w:val="0"/>
          <w:sz w:val="24"/>
          <w:szCs w:val="24"/>
          <w:u w:val="none" w:color="auto"/>
          <w:lang w:eastAsia="zh-CN"/>
        </w:rPr>
        <w:t>约为</w:t>
      </w:r>
      <w:r>
        <w:rPr>
          <w:rFonts w:hint="default" w:ascii="Times New Roman" w:hAnsi="Times New Roman" w:eastAsia="宋体" w:cs="Times New Roman"/>
          <w:color w:val="auto"/>
          <w:spacing w:val="0"/>
          <w:w w:val="100"/>
          <w:position w:val="0"/>
          <w:sz w:val="24"/>
          <w:szCs w:val="24"/>
          <w:u w:val="none" w:color="auto"/>
          <w:lang w:val="en-US" w:eastAsia="zh-CN"/>
        </w:rPr>
        <w:t>5</w:t>
      </w:r>
      <w:r>
        <w:rPr>
          <w:rFonts w:hint="default" w:ascii="Times New Roman" w:hAnsi="Times New Roman" w:eastAsia="宋体" w:cs="Times New Roman"/>
          <w:color w:val="auto"/>
          <w:spacing w:val="0"/>
          <w:w w:val="100"/>
          <w:position w:val="0"/>
          <w:sz w:val="24"/>
          <w:szCs w:val="24"/>
          <w:u w:val="none" w:color="auto"/>
        </w:rPr>
        <w:t>000mg/L</w:t>
      </w:r>
      <w:r>
        <w:rPr>
          <w:rFonts w:hint="default" w:ascii="Times New Roman" w:hAnsi="Times New Roman" w:eastAsia="宋体" w:cs="Times New Roman"/>
          <w:color w:val="auto"/>
          <w:spacing w:val="0"/>
          <w:w w:val="100"/>
          <w:position w:val="0"/>
          <w:sz w:val="24"/>
          <w:szCs w:val="24"/>
          <w:u w:val="none" w:color="auto"/>
          <w:lang w:eastAsia="zh-CN"/>
        </w:rPr>
        <w:t>。施工时制浆池内的泥浆通过导流管</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在各导墙槽内循环输送</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返上来的泥浆泵至制浆池内暂存后循环使用。</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灌浆施工场地设置截排水沟，出口处设置集水集浆池后回用，严禁施工废水流入饮用水源保护区</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施工结束后，灌浆废水在</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制浆池内沉淀、风干，</w:t>
      </w:r>
      <w:r>
        <w:rPr>
          <w:rFonts w:hint="default" w:ascii="Times New Roman" w:hAnsi="Times New Roman" w:eastAsia="宋体" w:cs="Times New Roman"/>
          <w:caps w:val="0"/>
          <w:smallCaps w:val="0"/>
          <w:color w:val="auto"/>
          <w:spacing w:val="0"/>
          <w:w w:val="100"/>
          <w:kern w:val="0"/>
          <w:position w:val="0"/>
          <w:sz w:val="24"/>
          <w:szCs w:val="24"/>
          <w:u w:val="none" w:color="auto"/>
        </w:rPr>
        <w:t>污泥</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清掏后</w:t>
      </w:r>
      <w:r>
        <w:rPr>
          <w:rFonts w:hint="default" w:ascii="Times New Roman" w:hAnsi="Times New Roman" w:eastAsia="宋体" w:cs="Times New Roman"/>
          <w:caps w:val="0"/>
          <w:smallCaps w:val="0"/>
          <w:color w:val="auto"/>
          <w:spacing w:val="0"/>
          <w:w w:val="100"/>
          <w:kern w:val="0"/>
          <w:position w:val="0"/>
          <w:sz w:val="24"/>
          <w:szCs w:val="24"/>
          <w:u w:val="none" w:color="auto"/>
        </w:rPr>
        <w:t>运至</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砖厂</w:t>
      </w:r>
      <w:r>
        <w:rPr>
          <w:rFonts w:hint="default" w:ascii="Times New Roman" w:hAnsi="Times New Roman" w:eastAsia="宋体" w:cs="Times New Roman"/>
          <w:caps w:val="0"/>
          <w:smallCaps w:val="0"/>
          <w:color w:val="auto"/>
          <w:spacing w:val="0"/>
          <w:w w:val="100"/>
          <w:kern w:val="0"/>
          <w:position w:val="0"/>
          <w:sz w:val="24"/>
          <w:szCs w:val="24"/>
          <w:u w:val="none" w:color="auto"/>
        </w:rPr>
        <w:t>处理</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bidi="ar-SA"/>
        </w:rPr>
        <w:t>帷幕灌浆施工废水不外排，对</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水环境影响较小。</w:t>
      </w:r>
      <w:r>
        <w:rPr>
          <w:rFonts w:hint="default" w:ascii="Times New Roman" w:hAnsi="Times New Roman" w:eastAsia="宋体" w:cs="Times New Roman"/>
          <w:caps w:val="0"/>
          <w:smallCaps w:val="0"/>
          <w:color w:val="FF0000"/>
          <w:spacing w:val="0"/>
          <w:w w:val="100"/>
          <w:kern w:val="0"/>
          <w:position w:val="0"/>
          <w:sz w:val="24"/>
          <w:szCs w:val="24"/>
          <w:u w:val="none" w:color="auto"/>
          <w:lang w:val="en-US" w:eastAsia="zh-CN"/>
        </w:rPr>
        <w:t xml:space="preserve"> </w:t>
      </w:r>
    </w:p>
    <w:p w14:paraId="7ADFB350">
      <w:pPr>
        <w:pStyle w:val="19"/>
        <w:keepNext w:val="0"/>
        <w:keepLines w:val="0"/>
        <w:pageBreakBefore w:val="0"/>
        <w:widowControl w:val="0"/>
        <w:overflowPunct/>
        <w:autoSpaceDE/>
        <w:autoSpaceDN/>
        <w:bidi w:val="0"/>
        <w:snapToGrid/>
        <w:spacing w:line="360" w:lineRule="auto"/>
        <w:ind w:left="0" w:right="0"/>
        <w:textAlignment w:val="auto"/>
        <w:rPr>
          <w:rFonts w:hint="default" w:ascii="Times New Roman" w:hAnsi="Times New Roman" w:cs="Times New Roman"/>
          <w:color w:val="auto"/>
          <w:spacing w:val="0"/>
          <w:w w:val="100"/>
          <w:position w:val="0"/>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（4）基坑废水</w:t>
      </w:r>
    </w:p>
    <w:p w14:paraId="38408757">
      <w:pPr>
        <w:keepNext w:val="0"/>
        <w:keepLines w:val="0"/>
        <w:pageBreakBefore w:val="0"/>
        <w:widowControl w:val="0"/>
        <w:tabs>
          <w:tab w:val="left" w:pos="135"/>
        </w:tabs>
        <w:overflowPunct/>
        <w:autoSpaceDE/>
        <w:autoSpaceDN/>
        <w:bidi w:val="0"/>
        <w:snapToGrid/>
        <w:spacing w:line="360" w:lineRule="auto"/>
        <w:ind w:left="0" w:right="0" w:firstLine="48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基坑废水的主要污染物为SS和pH值，其浓度受降水、地下岩隙渗水和施工用水（主要是混凝土养护水和冲洗水）等因素的影响，具有间歇排放的特点。废水中SS浓度一般为2000mg/L，pH值一般在9左右。</w:t>
      </w:r>
    </w:p>
    <w:p w14:paraId="6A89D0C9">
      <w:pPr>
        <w:keepNext w:val="0"/>
        <w:keepLines w:val="0"/>
        <w:pageBreakBefore w:val="0"/>
        <w:widowControl w:val="0"/>
        <w:tabs>
          <w:tab w:val="left" w:pos="135"/>
        </w:tabs>
        <w:overflowPunct/>
        <w:autoSpaceDE/>
        <w:autoSpaceDN/>
        <w:bidi w:val="0"/>
        <w:snapToGrid/>
        <w:spacing w:line="360" w:lineRule="auto"/>
        <w:ind w:left="0" w:right="0" w:firstLine="48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本项目基坑废水</w:t>
      </w:r>
      <w:r>
        <w:rPr>
          <w:rFonts w:hint="default" w:ascii="Times New Roman" w:hAnsi="Times New Roman" w:eastAsia="宋体" w:cs="Times New Roman"/>
          <w:color w:val="auto"/>
          <w:spacing w:val="0"/>
          <w:w w:val="100"/>
          <w:position w:val="0"/>
          <w:sz w:val="24"/>
          <w:szCs w:val="24"/>
          <w:u w:val="none" w:color="auto"/>
          <w:lang w:eastAsia="zh-CN"/>
        </w:rPr>
        <w:t>通过修建沉淀池对废水进行收集沉淀</w:t>
      </w:r>
      <w:r>
        <w:rPr>
          <w:rFonts w:hint="default" w:ascii="Times New Roman" w:hAnsi="Times New Roman" w:eastAsia="宋体" w:cs="Times New Roman"/>
          <w:color w:val="auto"/>
          <w:spacing w:val="0"/>
          <w:w w:val="100"/>
          <w:position w:val="0"/>
          <w:sz w:val="24"/>
          <w:szCs w:val="24"/>
          <w:u w:val="none" w:color="auto"/>
        </w:rPr>
        <w:t>，同时投加絮凝剂静置</w:t>
      </w:r>
      <w:r>
        <w:rPr>
          <w:rFonts w:hint="default" w:ascii="Times New Roman" w:hAnsi="Times New Roman" w:eastAsia="宋体" w:cs="Times New Roman"/>
          <w:color w:val="auto"/>
          <w:spacing w:val="0"/>
          <w:w w:val="100"/>
          <w:position w:val="0"/>
          <w:sz w:val="24"/>
          <w:szCs w:val="24"/>
          <w:u w:val="none" w:color="auto"/>
          <w:lang w:val="en-US" w:eastAsia="zh-CN"/>
        </w:rPr>
        <w:t>4</w:t>
      </w:r>
      <w:r>
        <w:rPr>
          <w:rFonts w:hint="default" w:ascii="Times New Roman" w:hAnsi="Times New Roman" w:eastAsia="Times New Roman" w:cs="Times New Roman"/>
          <w:color w:val="auto"/>
          <w:spacing w:val="0"/>
          <w:w w:val="100"/>
          <w:position w:val="0"/>
          <w:sz w:val="24"/>
          <w:szCs w:val="24"/>
          <w:u w:val="none" w:color="auto"/>
        </w:rPr>
        <w:t>h</w:t>
      </w:r>
      <w:r>
        <w:rPr>
          <w:rFonts w:hint="default" w:ascii="Times New Roman" w:hAnsi="Times New Roman" w:eastAsia="宋体" w:cs="Times New Roman"/>
          <w:color w:val="auto"/>
          <w:spacing w:val="0"/>
          <w:w w:val="100"/>
          <w:position w:val="0"/>
          <w:sz w:val="24"/>
          <w:szCs w:val="24"/>
          <w:u w:val="none" w:color="auto"/>
        </w:rPr>
        <w:t>的处理方法处理后，经处理沉淀处理后上清液</w:t>
      </w:r>
      <w:r>
        <w:rPr>
          <w:rFonts w:hint="default" w:ascii="Times New Roman" w:hAnsi="Times New Roman" w:eastAsia="Times New Roman" w:cs="Times New Roman"/>
          <w:color w:val="auto"/>
          <w:spacing w:val="0"/>
          <w:w w:val="100"/>
          <w:position w:val="0"/>
          <w:sz w:val="24"/>
          <w:szCs w:val="24"/>
          <w:u w:val="none" w:color="auto"/>
        </w:rPr>
        <w:t>SS</w:t>
      </w:r>
      <w:r>
        <w:rPr>
          <w:rFonts w:hint="default" w:ascii="Times New Roman" w:hAnsi="Times New Roman" w:eastAsia="宋体" w:cs="Times New Roman"/>
          <w:color w:val="auto"/>
          <w:spacing w:val="0"/>
          <w:w w:val="100"/>
          <w:position w:val="0"/>
          <w:sz w:val="24"/>
          <w:szCs w:val="24"/>
          <w:u w:val="none" w:color="auto"/>
        </w:rPr>
        <w:t>的浓度降到</w:t>
      </w:r>
      <w:r>
        <w:rPr>
          <w:rFonts w:hint="default" w:ascii="Times New Roman" w:hAnsi="Times New Roman" w:eastAsia="Times New Roman" w:cs="Times New Roman"/>
          <w:color w:val="auto"/>
          <w:spacing w:val="0"/>
          <w:w w:val="100"/>
          <w:position w:val="0"/>
          <w:sz w:val="24"/>
          <w:szCs w:val="24"/>
          <w:u w:val="none" w:color="auto"/>
        </w:rPr>
        <w:t>60mg/L</w:t>
      </w:r>
      <w:r>
        <w:rPr>
          <w:rFonts w:hint="default" w:ascii="Times New Roman" w:hAnsi="Times New Roman" w:eastAsia="宋体" w:cs="Times New Roman"/>
          <w:color w:val="auto"/>
          <w:spacing w:val="0"/>
          <w:w w:val="100"/>
          <w:position w:val="0"/>
          <w:sz w:val="24"/>
          <w:szCs w:val="24"/>
          <w:u w:val="none" w:color="auto"/>
        </w:rPr>
        <w:t>左右，再由水泵抽出，回用于施工道路和施工区内洒水降尘、车辆清洗等，不外排，避免对周边水体产生影响。</w:t>
      </w:r>
    </w:p>
    <w:p w14:paraId="0DFA2125">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）生活污水</w:t>
      </w:r>
    </w:p>
    <w:p w14:paraId="1A3B7D89">
      <w:pPr>
        <w:keepNext w:val="0"/>
        <w:keepLines w:val="0"/>
        <w:pageBreakBefore w:val="0"/>
        <w:widowControl w:val="0"/>
        <w:tabs>
          <w:tab w:val="left" w:pos="135"/>
        </w:tabs>
        <w:overflowPunct/>
        <w:autoSpaceDE/>
        <w:autoSpaceDN/>
        <w:bidi w:val="0"/>
        <w:snapToGrid/>
        <w:spacing w:line="360" w:lineRule="auto"/>
        <w:ind w:left="0" w:right="0" w:firstLine="48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val="en-US" w:eastAsia="zh-CN"/>
        </w:rPr>
        <w:t>本项目施工现场不设置施工营地，也无工地食堂和工地宿舍，施工人员分散租用附近民房，生活污水利用周边已有的生活设施进行处理。因此，本项目施工生活污水不会对周边水体产生较大影响。</w:t>
      </w:r>
    </w:p>
    <w:p w14:paraId="6BD6F695">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对饮用水源的影响分析</w:t>
      </w:r>
    </w:p>
    <w:p w14:paraId="185D6F9E">
      <w:pPr>
        <w:keepNext w:val="0"/>
        <w:keepLines w:val="0"/>
        <w:pageBreakBefore w:val="0"/>
        <w:widowControl w:val="0"/>
        <w:tabs>
          <w:tab w:val="left" w:pos="135"/>
        </w:tabs>
        <w:overflowPunct/>
        <w:autoSpaceDE/>
        <w:autoSpaceDN/>
        <w:bidi w:val="0"/>
        <w:snapToGrid/>
        <w:spacing w:line="360" w:lineRule="auto"/>
        <w:ind w:left="0" w:right="0" w:firstLine="48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三郎堰水厂位于东山镇仙鹅寺村，主要供水水源为东山水库，属于地表水水库水源。华容县东山镇三郎堰水厂农村饮水安全集中供水工程供水范围主要涉及以下几个行政区域：先红村、关山村、天井山村、仙鹅寺村、华容道村、马安村、牌坊村、虚场（居委会）等7个村和1个居委会19489人的饮水问题。水厂通过输水泵输水到沉淀池，再到滤池，经消毒处理后，再到清水池。水厂净水工艺主要为沉淀、过滤和消毒。本供水工程由取水泵房、输水管道、净化设施、清水池及供水管网组成，设计供水规模为2800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3</w:t>
      </w:r>
      <w:r>
        <w:rPr>
          <w:rFonts w:hint="default" w:ascii="Times New Roman" w:hAnsi="Times New Roman" w:eastAsia="宋体" w:cs="Times New Roman"/>
          <w:color w:val="auto"/>
          <w:spacing w:val="0"/>
          <w:w w:val="100"/>
          <w:position w:val="0"/>
          <w:sz w:val="24"/>
          <w:szCs w:val="24"/>
          <w:u w:val="none" w:color="auto"/>
          <w:lang w:val="en-US" w:eastAsia="zh-CN"/>
        </w:rPr>
        <w:t>/d，日供水时间为24h。</w:t>
      </w:r>
    </w:p>
    <w:p w14:paraId="0A907B35">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FF0000"/>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本工程大坝、溢洪道、输水隧洞等主体工程加固不可避免涉及东山水库饮用水水源保护区范围。根据施工组织设计内容，主体工程在枯水期施工，利用输水隧洞导流降低水库水位，创造干地施工条件。三郎堰水厂</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设置浮桥和水泵按需取水，项目施工降低水库水位，不会影响水厂取水。</w:t>
      </w:r>
    </w:p>
    <w:p w14:paraId="251C2D61">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工程施工期为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8个月，</w:t>
      </w:r>
      <w:r>
        <w:rPr>
          <w:rFonts w:hint="default" w:ascii="Times New Roman" w:hAnsi="Times New Roman" w:eastAsia="宋体" w:cs="Times New Roman"/>
          <w:b w:val="0"/>
          <w:bCs w:val="0"/>
          <w:color w:val="auto"/>
          <w:spacing w:val="0"/>
          <w:w w:val="100"/>
          <w:position w:val="0"/>
          <w:sz w:val="24"/>
          <w:szCs w:val="24"/>
          <w:u w:val="none" w:color="auto"/>
        </w:rPr>
        <w:t>工程在建设期间各类污废水均进行处理并回用，严禁向外环境排污，在各处理池正常运行情况下对库区水质不会造成影响。施工期开挖坡面受雨水冲刷产生水土流失，雨季径流中含悬浮物较高的初期雨水若进入</w:t>
      </w:r>
      <w:r>
        <w:rPr>
          <w:rFonts w:hint="default" w:ascii="Times New Roman" w:hAnsi="Times New Roman" w:eastAsia="宋体" w:cs="Times New Roman"/>
          <w:b w:val="0"/>
          <w:bCs w:val="0"/>
          <w:color w:val="auto"/>
          <w:spacing w:val="0"/>
          <w:w w:val="100"/>
          <w:position w:val="0"/>
          <w:sz w:val="24"/>
          <w:szCs w:val="24"/>
          <w:u w:val="none" w:color="auto"/>
          <w:lang w:eastAsia="zh-CN"/>
        </w:rPr>
        <w:t>东山水库</w:t>
      </w:r>
      <w:r>
        <w:rPr>
          <w:rFonts w:hint="default" w:ascii="Times New Roman" w:hAnsi="Times New Roman" w:eastAsia="宋体" w:cs="Times New Roman"/>
          <w:b w:val="0"/>
          <w:bCs w:val="0"/>
          <w:color w:val="auto"/>
          <w:spacing w:val="0"/>
          <w:w w:val="100"/>
          <w:position w:val="0"/>
          <w:sz w:val="24"/>
          <w:szCs w:val="24"/>
          <w:u w:val="none" w:color="auto"/>
        </w:rPr>
        <w:t>，将会对库区水质造成影响。施工期通过做好水土保持措施</w:t>
      </w:r>
      <w:r>
        <w:rPr>
          <w:rFonts w:hint="default" w:ascii="Times New Roman" w:hAnsi="Times New Roman" w:eastAsia="宋体" w:cs="Times New Roman"/>
          <w:b w:val="0"/>
          <w:bCs w:val="0"/>
          <w:color w:val="auto"/>
          <w:spacing w:val="0"/>
          <w:w w:val="100"/>
          <w:position w:val="0"/>
          <w:sz w:val="24"/>
          <w:szCs w:val="24"/>
          <w:u w:val="none" w:color="auto"/>
          <w:lang w:eastAsia="zh-CN"/>
        </w:rPr>
        <w:t>，</w:t>
      </w:r>
      <w:r>
        <w:rPr>
          <w:rFonts w:hint="default" w:ascii="Times New Roman" w:hAnsi="Times New Roman" w:eastAsia="宋体" w:cs="Times New Roman"/>
          <w:b w:val="0"/>
          <w:bCs w:val="0"/>
          <w:color w:val="auto"/>
          <w:spacing w:val="0"/>
          <w:w w:val="100"/>
          <w:position w:val="0"/>
          <w:sz w:val="24"/>
          <w:szCs w:val="24"/>
          <w:u w:val="none" w:color="auto"/>
        </w:rPr>
        <w:t>如基础开挖避开雨天</w:t>
      </w:r>
      <w:r>
        <w:rPr>
          <w:rFonts w:hint="default" w:ascii="Times New Roman" w:hAnsi="Times New Roman" w:eastAsia="宋体" w:cs="Times New Roman"/>
          <w:b w:val="0"/>
          <w:bCs w:val="0"/>
          <w:color w:val="auto"/>
          <w:spacing w:val="0"/>
          <w:w w:val="100"/>
          <w:position w:val="0"/>
          <w:sz w:val="24"/>
          <w:szCs w:val="24"/>
          <w:u w:val="none" w:color="auto"/>
          <w:lang w:eastAsia="zh-CN"/>
        </w:rPr>
        <w:t>，</w:t>
      </w:r>
      <w:r>
        <w:rPr>
          <w:rFonts w:hint="default" w:ascii="Times New Roman" w:hAnsi="Times New Roman" w:eastAsia="宋体" w:cs="Times New Roman"/>
          <w:b w:val="0"/>
          <w:bCs w:val="0"/>
          <w:color w:val="auto"/>
          <w:spacing w:val="0"/>
          <w:w w:val="100"/>
          <w:position w:val="0"/>
          <w:sz w:val="24"/>
          <w:szCs w:val="24"/>
          <w:u w:val="none" w:color="auto"/>
        </w:rPr>
        <w:t>施工开挖面土层及时夯实， 施工开挖边坡在雨季用苫布进行遮盖</w:t>
      </w:r>
      <w:r>
        <w:rPr>
          <w:rFonts w:hint="default" w:ascii="Times New Roman" w:hAnsi="Times New Roman" w:eastAsia="宋体" w:cs="Times New Roman"/>
          <w:b w:val="0"/>
          <w:bCs w:val="0"/>
          <w:color w:val="auto"/>
          <w:spacing w:val="0"/>
          <w:w w:val="100"/>
          <w:position w:val="0"/>
          <w:sz w:val="24"/>
          <w:szCs w:val="24"/>
          <w:u w:val="none" w:color="auto"/>
          <w:lang w:eastAsia="zh-CN"/>
        </w:rPr>
        <w:t>，</w:t>
      </w:r>
      <w:r>
        <w:rPr>
          <w:rFonts w:hint="default" w:ascii="Times New Roman" w:hAnsi="Times New Roman" w:eastAsia="宋体" w:cs="Times New Roman"/>
          <w:b w:val="0"/>
          <w:bCs w:val="0"/>
          <w:color w:val="auto"/>
          <w:spacing w:val="0"/>
          <w:w w:val="100"/>
          <w:position w:val="0"/>
          <w:sz w:val="24"/>
          <w:szCs w:val="24"/>
          <w:u w:val="none" w:color="auto"/>
        </w:rPr>
        <w:t>减少雨水冲刷</w:t>
      </w:r>
      <w:r>
        <w:rPr>
          <w:rFonts w:hint="default" w:ascii="Times New Roman" w:hAnsi="Times New Roman" w:eastAsia="宋体" w:cs="Times New Roman"/>
          <w:b w:val="0"/>
          <w:bCs w:val="0"/>
          <w:color w:val="auto"/>
          <w:spacing w:val="0"/>
          <w:w w:val="100"/>
          <w:position w:val="0"/>
          <w:sz w:val="24"/>
          <w:szCs w:val="24"/>
          <w:u w:val="none" w:color="auto"/>
          <w:lang w:eastAsia="zh-CN"/>
        </w:rPr>
        <w:t>。</w:t>
      </w:r>
      <w:r>
        <w:rPr>
          <w:rFonts w:hint="default" w:ascii="Times New Roman" w:hAnsi="Times New Roman" w:eastAsia="宋体" w:cs="Times New Roman"/>
          <w:b w:val="0"/>
          <w:bCs w:val="0"/>
          <w:color w:val="auto"/>
          <w:spacing w:val="0"/>
          <w:w w:val="100"/>
          <w:position w:val="0"/>
          <w:sz w:val="24"/>
          <w:szCs w:val="24"/>
          <w:u w:val="none" w:color="auto"/>
        </w:rPr>
        <w:t>施工区域周边设置排水沟</w:t>
      </w:r>
      <w:r>
        <w:rPr>
          <w:rFonts w:hint="default" w:ascii="Times New Roman" w:hAnsi="Times New Roman" w:eastAsia="宋体" w:cs="Times New Roman"/>
          <w:b w:val="0"/>
          <w:bCs w:val="0"/>
          <w:color w:val="auto"/>
          <w:spacing w:val="0"/>
          <w:w w:val="100"/>
          <w:position w:val="0"/>
          <w:sz w:val="24"/>
          <w:szCs w:val="24"/>
          <w:u w:val="none" w:color="auto"/>
          <w:lang w:eastAsia="zh-CN"/>
        </w:rPr>
        <w:t>，</w:t>
      </w:r>
      <w:r>
        <w:rPr>
          <w:rFonts w:hint="default" w:ascii="Times New Roman" w:hAnsi="Times New Roman" w:eastAsia="宋体" w:cs="Times New Roman"/>
          <w:b w:val="0"/>
          <w:bCs w:val="0"/>
          <w:color w:val="auto"/>
          <w:spacing w:val="0"/>
          <w:w w:val="100"/>
          <w:position w:val="0"/>
          <w:sz w:val="24"/>
          <w:szCs w:val="24"/>
          <w:u w:val="none" w:color="auto"/>
        </w:rPr>
        <w:t>排水沟出口设置沉淀池，沉淀池出口设置土工布对排水进行过滤，过滤后较清澈的雨水汇入二沉池中回用，可以减轻雨季径流对库区水质的影响。综上所述</w:t>
      </w:r>
      <w:r>
        <w:rPr>
          <w:rFonts w:hint="default" w:ascii="Times New Roman" w:hAnsi="Times New Roman" w:eastAsia="宋体" w:cs="Times New Roman"/>
          <w:b w:val="0"/>
          <w:bCs w:val="0"/>
          <w:color w:val="auto"/>
          <w:spacing w:val="0"/>
          <w:w w:val="100"/>
          <w:position w:val="0"/>
          <w:sz w:val="24"/>
          <w:szCs w:val="24"/>
          <w:u w:val="none" w:color="auto"/>
          <w:lang w:eastAsia="zh-CN"/>
        </w:rPr>
        <w:t>，</w:t>
      </w:r>
      <w:r>
        <w:rPr>
          <w:rFonts w:hint="default" w:ascii="Times New Roman" w:hAnsi="Times New Roman" w:eastAsia="宋体" w:cs="Times New Roman"/>
          <w:b w:val="0"/>
          <w:bCs w:val="0"/>
          <w:color w:val="auto"/>
          <w:spacing w:val="0"/>
          <w:w w:val="100"/>
          <w:position w:val="0"/>
          <w:sz w:val="24"/>
          <w:szCs w:val="24"/>
          <w:u w:val="none" w:color="auto"/>
        </w:rPr>
        <w:t>本项目施工期对供水水质影响不</w:t>
      </w:r>
      <w:r>
        <w:rPr>
          <w:rFonts w:hint="default" w:ascii="Times New Roman" w:hAnsi="Times New Roman" w:eastAsia="宋体" w:cs="Times New Roman"/>
          <w:b w:val="0"/>
          <w:bCs w:val="0"/>
          <w:color w:val="auto"/>
          <w:spacing w:val="0"/>
          <w:w w:val="100"/>
          <w:position w:val="0"/>
          <w:sz w:val="24"/>
          <w:szCs w:val="24"/>
          <w:u w:val="none" w:color="auto"/>
          <w:lang w:eastAsia="zh-CN"/>
        </w:rPr>
        <w:t>大。</w:t>
      </w:r>
      <w:r>
        <w:rPr>
          <w:rFonts w:hint="default" w:ascii="Times New Roman" w:hAnsi="Times New Roman" w:eastAsia="宋体" w:cs="Times New Roman"/>
          <w:color w:val="auto"/>
          <w:spacing w:val="0"/>
          <w:w w:val="100"/>
          <w:position w:val="0"/>
          <w:sz w:val="24"/>
          <w:szCs w:val="24"/>
          <w:u w:val="none" w:color="auto"/>
        </w:rPr>
        <w:t>为了进一步降低</w:t>
      </w:r>
      <w:r>
        <w:rPr>
          <w:rFonts w:hint="default" w:ascii="Times New Roman" w:hAnsi="Times New Roman" w:eastAsia="宋体" w:cs="Times New Roman"/>
          <w:color w:val="auto"/>
          <w:spacing w:val="0"/>
          <w:w w:val="100"/>
          <w:position w:val="0"/>
          <w:sz w:val="24"/>
          <w:szCs w:val="24"/>
          <w:u w:val="none" w:color="auto"/>
          <w:lang w:eastAsia="zh-CN"/>
        </w:rPr>
        <w:t>施工</w:t>
      </w:r>
      <w:r>
        <w:rPr>
          <w:rFonts w:hint="default" w:ascii="Times New Roman" w:hAnsi="Times New Roman" w:eastAsia="宋体" w:cs="Times New Roman"/>
          <w:color w:val="auto"/>
          <w:spacing w:val="0"/>
          <w:w w:val="100"/>
          <w:position w:val="0"/>
          <w:sz w:val="24"/>
          <w:szCs w:val="24"/>
          <w:u w:val="none" w:color="auto"/>
        </w:rPr>
        <w:t>对饮用水影响，严格控制施工范围，做好排水及拦挡，禁止向水体倾倒</w:t>
      </w:r>
      <w:r>
        <w:rPr>
          <w:rFonts w:hint="default" w:ascii="Times New Roman" w:hAnsi="Times New Roman" w:eastAsia="宋体" w:cs="Times New Roman"/>
          <w:color w:val="auto"/>
          <w:spacing w:val="0"/>
          <w:w w:val="100"/>
          <w:position w:val="0"/>
          <w:sz w:val="24"/>
          <w:szCs w:val="24"/>
          <w:u w:val="none" w:color="auto"/>
          <w:lang w:eastAsia="zh-CN"/>
        </w:rPr>
        <w:t>弃土</w:t>
      </w:r>
      <w:r>
        <w:rPr>
          <w:rFonts w:hint="default" w:ascii="Times New Roman" w:hAnsi="Times New Roman" w:eastAsia="宋体" w:cs="Times New Roman"/>
          <w:color w:val="auto"/>
          <w:spacing w:val="0"/>
          <w:w w:val="100"/>
          <w:position w:val="0"/>
          <w:sz w:val="24"/>
          <w:szCs w:val="24"/>
          <w:u w:val="none" w:color="auto"/>
        </w:rPr>
        <w:t>等。经采取有效环保、水保措施，可降低对饮用水保护区影响。</w:t>
      </w:r>
    </w:p>
    <w:p w14:paraId="63BE77F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i w:val="0"/>
          <w:iCs w:val="0"/>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同时，</w:t>
      </w:r>
      <w:r>
        <w:rPr>
          <w:rFonts w:hint="default" w:ascii="Times New Roman" w:hAnsi="Times New Roman" w:eastAsia="宋体" w:cs="Times New Roman"/>
          <w:i w:val="0"/>
          <w:iCs w:val="0"/>
          <w:color w:val="auto"/>
          <w:spacing w:val="0"/>
          <w:w w:val="100"/>
          <w:position w:val="0"/>
          <w:sz w:val="24"/>
          <w:szCs w:val="24"/>
          <w:u w:val="none" w:color="auto"/>
          <w:lang w:val="en-US" w:eastAsia="zh-CN"/>
        </w:rPr>
        <w:t>为保证东山水库除险加固项目施工过程中供水区域的正常供水，在施工期间由华容县人民政府负责保证供水安全，制定施工期供水应急预案，确定应急水源。每天对常规出水指标和重金属指标进行监测，一旦发现超标立即停止供水并启动应急方案，水库各项水质指标恢复正常后方能重新供水。</w:t>
      </w:r>
    </w:p>
    <w:p w14:paraId="676131C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i w:val="0"/>
          <w:iCs w:val="0"/>
          <w:color w:val="auto"/>
          <w:spacing w:val="0"/>
          <w:w w:val="100"/>
          <w:position w:val="0"/>
          <w:sz w:val="24"/>
          <w:szCs w:val="24"/>
          <w:u w:val="none" w:color="auto"/>
          <w:lang w:val="en-US" w:eastAsia="zh-CN"/>
        </w:rPr>
      </w:pPr>
      <w:r>
        <w:rPr>
          <w:rFonts w:hint="default" w:ascii="Times New Roman" w:hAnsi="Times New Roman" w:eastAsia="宋体" w:cs="Times New Roman"/>
          <w:i w:val="0"/>
          <w:iCs w:val="0"/>
          <w:color w:val="auto"/>
          <w:spacing w:val="0"/>
          <w:w w:val="100"/>
          <w:position w:val="0"/>
          <w:sz w:val="24"/>
          <w:szCs w:val="24"/>
          <w:u w:val="none" w:color="auto"/>
          <w:lang w:val="en-US" w:eastAsia="zh-CN"/>
        </w:rPr>
        <w:t>综上，东山水库除险加固工程是一项改善供水设施及保障水库安全的工程， 并不违反《饮用水水源地保护管理条例》相关规定。设计方案以尽量减少环境影响为原则，进一步优化了设计方案。项目在落实好各项环保及水保措施后，可降低项目建设对饮用水保护区影响。</w:t>
      </w:r>
    </w:p>
    <w:p w14:paraId="440985EF">
      <w:pPr>
        <w:pStyle w:val="4"/>
        <w:bidi w:val="0"/>
        <w:rPr>
          <w:rFonts w:hint="default" w:ascii="Times New Roman" w:hAnsi="Times New Roman" w:cs="Times New Roman"/>
          <w:color w:val="auto"/>
        </w:rPr>
      </w:pPr>
      <w:bookmarkStart w:id="279" w:name="_Toc27304"/>
      <w:r>
        <w:rPr>
          <w:rFonts w:hint="default" w:ascii="Times New Roman" w:hAnsi="Times New Roman" w:cs="Times New Roman"/>
          <w:color w:val="auto"/>
          <w:lang w:val="en-US" w:eastAsia="zh-CN"/>
        </w:rPr>
        <w:t>施工期</w:t>
      </w:r>
      <w:r>
        <w:rPr>
          <w:rFonts w:hint="default" w:ascii="Times New Roman" w:hAnsi="Times New Roman" w:cs="Times New Roman"/>
          <w:color w:val="auto"/>
        </w:rPr>
        <w:t>地下水环境影响分析</w:t>
      </w:r>
      <w:bookmarkEnd w:id="279"/>
    </w:p>
    <w:p w14:paraId="32840CA4">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（1）对地下水水位影响</w:t>
      </w:r>
    </w:p>
    <w:p w14:paraId="78E2D93E">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工程区受库水的影响，地下水埋深较浅，一般埋深2.0~5.0m，受季节性变化，年变幅2~3m。</w:t>
      </w:r>
      <w:r>
        <w:rPr>
          <w:rFonts w:hint="default" w:ascii="Times New Roman" w:hAnsi="Times New Roman" w:eastAsia="宋体" w:cs="Times New Roman"/>
          <w:color w:val="auto"/>
          <w:spacing w:val="0"/>
          <w:w w:val="100"/>
          <w:position w:val="0"/>
          <w:sz w:val="24"/>
          <w:szCs w:val="24"/>
          <w:u w:val="none" w:color="auto"/>
        </w:rPr>
        <w:t>区内地下水主要为基岩裂隙水和第四系孔隙水。基岩裂隙水主要赋存于花岗岩风化及构造裂隙中，受大气降水和库水补给，季节性变化小，水量贫乏，排泄于沟谷或河床。第四系孔隙水赋存于第四系残坡积层中，主要受大气降水和库水补给，受季节性影响大，水量丰富，排泄于河床及沟谷。</w:t>
      </w:r>
    </w:p>
    <w:p w14:paraId="3F954C73">
      <w:pPr>
        <w:keepNext w:val="0"/>
        <w:keepLines w:val="0"/>
        <w:pageBreakBefore w:val="0"/>
        <w:widowControl w:val="0"/>
        <w:overflowPunct/>
        <w:autoSpaceDE/>
        <w:autoSpaceDN/>
        <w:bidi w:val="0"/>
        <w:snapToGrid/>
        <w:spacing w:line="360" w:lineRule="auto"/>
        <w:ind w:left="0" w:right="0" w:firstLine="483"/>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坝址区施工产生基坑废水，基坑废水主要为地下渗水，施工排水会造成小范围的地下水水位下降，但施工期较短，工程结束后，随着降雨和周围地下水的补给，很快会达到原来的水位，工程施工对地下水位影响不大。</w:t>
      </w:r>
      <w:r>
        <w:rPr>
          <w:rFonts w:hint="default" w:ascii="Times New Roman" w:hAnsi="Times New Roman" w:eastAsia="宋体" w:cs="Times New Roman"/>
          <w:color w:val="auto"/>
          <w:spacing w:val="0"/>
          <w:w w:val="100"/>
          <w:position w:val="0"/>
          <w:sz w:val="24"/>
          <w:szCs w:val="24"/>
          <w:u w:val="none" w:color="auto"/>
          <w:lang w:val="en-US" w:eastAsia="zh-CN"/>
        </w:rPr>
        <w:t>同时</w:t>
      </w:r>
      <w:r>
        <w:rPr>
          <w:rFonts w:hint="default" w:ascii="Times New Roman" w:hAnsi="Times New Roman" w:eastAsia="宋体" w:cs="Times New Roman"/>
          <w:color w:val="auto"/>
          <w:spacing w:val="0"/>
          <w:w w:val="100"/>
          <w:position w:val="0"/>
          <w:sz w:val="24"/>
          <w:szCs w:val="24"/>
          <w:u w:val="none" w:color="auto"/>
        </w:rPr>
        <w:t>区断层构造不发育，无大的断层切割</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val="en-US" w:eastAsia="zh-CN"/>
        </w:rPr>
        <w:t>不具备库水沿断层向库外渗漏的条件。区域</w:t>
      </w:r>
      <w:r>
        <w:rPr>
          <w:rFonts w:hint="default" w:ascii="Times New Roman" w:hAnsi="Times New Roman" w:eastAsia="宋体" w:cs="Times New Roman"/>
          <w:color w:val="auto"/>
          <w:spacing w:val="0"/>
          <w:w w:val="100"/>
          <w:position w:val="0"/>
          <w:sz w:val="24"/>
          <w:szCs w:val="24"/>
          <w:u w:val="none" w:color="auto"/>
        </w:rPr>
        <w:t>地下水埋深较浅，</w:t>
      </w:r>
      <w:r>
        <w:rPr>
          <w:rFonts w:hint="default" w:ascii="Times New Roman" w:hAnsi="Times New Roman" w:eastAsia="宋体" w:cs="Times New Roman"/>
          <w:color w:val="auto"/>
          <w:spacing w:val="0"/>
          <w:w w:val="100"/>
          <w:position w:val="0"/>
          <w:sz w:val="24"/>
          <w:szCs w:val="24"/>
          <w:u w:val="none" w:color="auto"/>
          <w:lang w:val="en-US" w:eastAsia="zh-CN"/>
        </w:rPr>
        <w:t>施工期控制水位降至50m不会影响库区地下水的补径排条件，对地下水水位影响较小。</w:t>
      </w:r>
    </w:p>
    <w:p w14:paraId="10A3F1CA">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（2）对地下水水质影响</w:t>
      </w:r>
    </w:p>
    <w:p w14:paraId="76C209A1">
      <w:pPr>
        <w:keepNext w:val="0"/>
        <w:keepLines w:val="0"/>
        <w:pageBreakBefore w:val="0"/>
        <w:widowControl w:val="0"/>
        <w:kinsoku/>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项目</w:t>
      </w:r>
      <w:r>
        <w:rPr>
          <w:rFonts w:hint="default" w:ascii="Times New Roman" w:hAnsi="Times New Roman" w:eastAsia="宋体" w:cs="Times New Roman"/>
          <w:caps w:val="0"/>
          <w:smallCaps w:val="0"/>
          <w:color w:val="auto"/>
          <w:spacing w:val="0"/>
          <w:w w:val="100"/>
          <w:kern w:val="0"/>
          <w:position w:val="0"/>
          <w:sz w:val="24"/>
          <w:szCs w:val="24"/>
          <w:u w:val="none" w:color="auto"/>
        </w:rPr>
        <w:t>施工过程对地下水的污染主要是由于工程施工废水以及生活污水渗入地下，可能污染地下水。工程施工期生产废水通过沉淀、隔油等措施处理后回用于施工工艺</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不外排</w:t>
      </w:r>
      <w:r>
        <w:rPr>
          <w:rFonts w:hint="default" w:ascii="Times New Roman" w:hAnsi="Times New Roman" w:eastAsia="宋体" w:cs="Times New Roman"/>
          <w:caps w:val="0"/>
          <w:smallCaps w:val="0"/>
          <w:color w:val="auto"/>
          <w:spacing w:val="0"/>
          <w:w w:val="100"/>
          <w:kern w:val="0"/>
          <w:position w:val="0"/>
          <w:sz w:val="24"/>
          <w:szCs w:val="24"/>
          <w:u w:val="none" w:color="auto"/>
        </w:rPr>
        <w:t>，对区域地下水水质影响不大。</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同时工程区域潜水层为第四系孔隙水，赋存于第四系堆积层孔隙中。</w:t>
      </w:r>
      <w:r>
        <w:rPr>
          <w:rFonts w:hint="default" w:ascii="Times New Roman" w:hAnsi="Times New Roman" w:eastAsia="宋体" w:cs="Times New Roman"/>
          <w:color w:val="auto"/>
          <w:spacing w:val="0"/>
          <w:w w:val="100"/>
          <w:position w:val="0"/>
          <w:sz w:val="24"/>
          <w:szCs w:val="24"/>
          <w:u w:val="none" w:color="auto"/>
          <w:lang w:val="en-US" w:eastAsia="zh-CN"/>
        </w:rPr>
        <w:t>根据</w:t>
      </w:r>
      <w:r>
        <w:rPr>
          <w:rFonts w:hint="default" w:ascii="Times New Roman" w:hAnsi="Times New Roman" w:eastAsia="宋体" w:cs="Times New Roman"/>
          <w:color w:val="auto"/>
          <w:spacing w:val="0"/>
          <w:w w:val="100"/>
          <w:position w:val="0"/>
          <w:sz w:val="24"/>
          <w:szCs w:val="24"/>
          <w:u w:val="none" w:color="auto"/>
        </w:rPr>
        <w:t>勘察工作对坝体进行4段注水试验，收</w:t>
      </w:r>
      <w:r>
        <w:rPr>
          <w:rFonts w:hint="default" w:ascii="Times New Roman" w:hAnsi="Times New Roman" w:eastAsia="宋体" w:cs="Times New Roman"/>
          <w:color w:val="auto"/>
          <w:spacing w:val="0"/>
          <w:w w:val="100"/>
          <w:position w:val="0"/>
          <w:sz w:val="24"/>
          <w:szCs w:val="24"/>
          <w:u w:val="none" w:color="auto"/>
          <w:lang w:val="en-US" w:eastAsia="zh-CN"/>
        </w:rPr>
        <w:t>集</w:t>
      </w:r>
      <w:r>
        <w:rPr>
          <w:rFonts w:hint="default" w:ascii="Times New Roman" w:hAnsi="Times New Roman" w:eastAsia="宋体" w:cs="Times New Roman"/>
          <w:color w:val="auto"/>
          <w:spacing w:val="0"/>
          <w:w w:val="100"/>
          <w:position w:val="0"/>
          <w:sz w:val="24"/>
          <w:szCs w:val="24"/>
          <w:u w:val="none" w:color="auto"/>
        </w:rPr>
        <w:t>2020安全评价钻孔注水试验27段，根据钻孔注水试验可知，坝体填筑土渗透系数为</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K=5.94×10</w:t>
      </w:r>
      <w:r>
        <w:rPr>
          <w:rFonts w:hint="default" w:ascii="Times New Roman" w:hAnsi="Times New Roman" w:eastAsia="宋体" w:cs="Times New Roman"/>
          <w:color w:val="auto"/>
          <w:spacing w:val="0"/>
          <w:w w:val="100"/>
          <w:position w:val="0"/>
          <w:sz w:val="24"/>
          <w:szCs w:val="24"/>
          <w:u w:val="none" w:color="auto"/>
          <w:vertAlign w:val="superscript"/>
        </w:rPr>
        <w:t>-5</w:t>
      </w:r>
      <w:r>
        <w:rPr>
          <w:rFonts w:hint="default" w:ascii="Times New Roman" w:hAnsi="Times New Roman" w:eastAsia="宋体" w:cs="Times New Roman"/>
          <w:color w:val="auto"/>
          <w:spacing w:val="0"/>
          <w:w w:val="100"/>
          <w:position w:val="0"/>
          <w:sz w:val="24"/>
          <w:szCs w:val="24"/>
          <w:u w:val="none" w:color="auto"/>
        </w:rPr>
        <w:t>~1.98×10</w:t>
      </w:r>
      <w:r>
        <w:rPr>
          <w:rFonts w:hint="default" w:ascii="Times New Roman" w:hAnsi="Times New Roman" w:eastAsia="宋体" w:cs="Times New Roman"/>
          <w:color w:val="auto"/>
          <w:spacing w:val="0"/>
          <w:w w:val="100"/>
          <w:position w:val="0"/>
          <w:sz w:val="24"/>
          <w:szCs w:val="24"/>
          <w:u w:val="none" w:color="auto"/>
          <w:vertAlign w:val="superscript"/>
        </w:rPr>
        <w:t>-3</w:t>
      </w:r>
      <w:r>
        <w:rPr>
          <w:rFonts w:hint="default" w:ascii="Times New Roman" w:hAnsi="Times New Roman" w:eastAsia="宋体" w:cs="Times New Roman"/>
          <w:color w:val="auto"/>
          <w:spacing w:val="0"/>
          <w:w w:val="100"/>
          <w:position w:val="0"/>
          <w:sz w:val="24"/>
          <w:szCs w:val="24"/>
          <w:u w:val="none" w:color="auto"/>
        </w:rPr>
        <w:t>cm/s，属弱~中等透水性；坝体与坝基接触带渗透系数K=1.03×10</w:t>
      </w:r>
      <w:r>
        <w:rPr>
          <w:rFonts w:hint="default" w:ascii="Times New Roman" w:hAnsi="Times New Roman" w:eastAsia="宋体" w:cs="Times New Roman"/>
          <w:color w:val="auto"/>
          <w:spacing w:val="0"/>
          <w:w w:val="100"/>
          <w:position w:val="0"/>
          <w:sz w:val="24"/>
          <w:szCs w:val="24"/>
          <w:u w:val="none" w:color="auto"/>
          <w:vertAlign w:val="superscript"/>
        </w:rPr>
        <w:t>-4</w:t>
      </w:r>
      <w:r>
        <w:rPr>
          <w:rFonts w:hint="default" w:ascii="Times New Roman" w:hAnsi="Times New Roman" w:eastAsia="宋体" w:cs="Times New Roman"/>
          <w:color w:val="auto"/>
          <w:spacing w:val="0"/>
          <w:w w:val="100"/>
          <w:position w:val="0"/>
          <w:sz w:val="24"/>
          <w:szCs w:val="24"/>
          <w:u w:val="none" w:color="auto"/>
        </w:rPr>
        <w:t>~3.51×10</w:t>
      </w:r>
      <w:r>
        <w:rPr>
          <w:rFonts w:hint="default" w:ascii="Times New Roman" w:hAnsi="Times New Roman" w:eastAsia="宋体" w:cs="Times New Roman"/>
          <w:color w:val="auto"/>
          <w:spacing w:val="0"/>
          <w:w w:val="100"/>
          <w:position w:val="0"/>
          <w:sz w:val="24"/>
          <w:szCs w:val="24"/>
          <w:u w:val="none" w:color="auto"/>
          <w:vertAlign w:val="superscript"/>
        </w:rPr>
        <w:t>-3</w:t>
      </w:r>
      <w:r>
        <w:rPr>
          <w:rFonts w:hint="default" w:ascii="Times New Roman" w:hAnsi="Times New Roman" w:eastAsia="宋体" w:cs="Times New Roman"/>
          <w:color w:val="auto"/>
          <w:spacing w:val="0"/>
          <w:w w:val="100"/>
          <w:position w:val="0"/>
          <w:sz w:val="24"/>
          <w:szCs w:val="24"/>
          <w:u w:val="none" w:color="auto"/>
        </w:rPr>
        <w:t>cm/s，均值K=9.7×10</w:t>
      </w:r>
      <w:r>
        <w:rPr>
          <w:rFonts w:hint="default" w:ascii="Times New Roman" w:hAnsi="Times New Roman" w:eastAsia="宋体" w:cs="Times New Roman"/>
          <w:color w:val="auto"/>
          <w:spacing w:val="0"/>
          <w:w w:val="100"/>
          <w:position w:val="0"/>
          <w:sz w:val="24"/>
          <w:szCs w:val="24"/>
          <w:u w:val="none" w:color="auto"/>
          <w:vertAlign w:val="superscript"/>
        </w:rPr>
        <w:t>-4</w:t>
      </w:r>
      <w:r>
        <w:rPr>
          <w:rFonts w:hint="default" w:ascii="Times New Roman" w:hAnsi="Times New Roman" w:eastAsia="宋体" w:cs="Times New Roman"/>
          <w:color w:val="auto"/>
          <w:spacing w:val="0"/>
          <w:w w:val="100"/>
          <w:position w:val="0"/>
          <w:sz w:val="24"/>
          <w:szCs w:val="24"/>
          <w:u w:val="none" w:color="auto"/>
        </w:rPr>
        <w:t>cm/s，属中等透水性；摆喷灌浆防渗体渗透系数K=1.39×10</w:t>
      </w:r>
      <w:r>
        <w:rPr>
          <w:rFonts w:hint="default" w:ascii="Times New Roman" w:hAnsi="Times New Roman" w:eastAsia="宋体" w:cs="Times New Roman"/>
          <w:color w:val="auto"/>
          <w:spacing w:val="0"/>
          <w:w w:val="100"/>
          <w:position w:val="0"/>
          <w:sz w:val="24"/>
          <w:szCs w:val="24"/>
          <w:u w:val="none" w:color="auto"/>
          <w:vertAlign w:val="superscript"/>
        </w:rPr>
        <w:t>-7</w:t>
      </w:r>
      <w:r>
        <w:rPr>
          <w:rFonts w:hint="default" w:ascii="Times New Roman" w:hAnsi="Times New Roman" w:eastAsia="宋体" w:cs="Times New Roman"/>
          <w:color w:val="auto"/>
          <w:spacing w:val="0"/>
          <w:w w:val="100"/>
          <w:position w:val="0"/>
          <w:sz w:val="24"/>
          <w:szCs w:val="24"/>
          <w:u w:val="none" w:color="auto"/>
        </w:rPr>
        <w:t>~1.25×10</w:t>
      </w:r>
      <w:r>
        <w:rPr>
          <w:rFonts w:hint="default" w:ascii="Times New Roman" w:hAnsi="Times New Roman" w:eastAsia="宋体" w:cs="Times New Roman"/>
          <w:color w:val="auto"/>
          <w:spacing w:val="0"/>
          <w:w w:val="100"/>
          <w:position w:val="0"/>
          <w:sz w:val="24"/>
          <w:szCs w:val="24"/>
          <w:u w:val="none" w:color="auto"/>
          <w:vertAlign w:val="superscript"/>
        </w:rPr>
        <w:t>-4</w:t>
      </w:r>
      <w:r>
        <w:rPr>
          <w:rFonts w:hint="default" w:ascii="Times New Roman" w:hAnsi="Times New Roman" w:eastAsia="宋体" w:cs="Times New Roman"/>
          <w:color w:val="auto"/>
          <w:spacing w:val="0"/>
          <w:w w:val="100"/>
          <w:position w:val="0"/>
          <w:sz w:val="24"/>
          <w:szCs w:val="24"/>
          <w:u w:val="none" w:color="auto"/>
        </w:rPr>
        <w:t>cm/s，属极微~中等透水性。斜墙渗透系数K=2.7×10</w:t>
      </w:r>
      <w:r>
        <w:rPr>
          <w:rFonts w:hint="default" w:ascii="Times New Roman" w:hAnsi="Times New Roman" w:eastAsia="宋体" w:cs="Times New Roman"/>
          <w:color w:val="auto"/>
          <w:spacing w:val="0"/>
          <w:w w:val="100"/>
          <w:position w:val="0"/>
          <w:sz w:val="24"/>
          <w:szCs w:val="24"/>
          <w:u w:val="none" w:color="auto"/>
          <w:vertAlign w:val="superscript"/>
        </w:rPr>
        <w:t>-6</w:t>
      </w:r>
      <w:r>
        <w:rPr>
          <w:rFonts w:hint="default" w:ascii="Times New Roman" w:hAnsi="Times New Roman" w:eastAsia="宋体" w:cs="Times New Roman"/>
          <w:color w:val="auto"/>
          <w:spacing w:val="0"/>
          <w:w w:val="100"/>
          <w:position w:val="0"/>
          <w:sz w:val="24"/>
          <w:szCs w:val="24"/>
          <w:u w:val="none" w:color="auto"/>
        </w:rPr>
        <w:t>~3.5×10</w:t>
      </w:r>
      <w:r>
        <w:rPr>
          <w:rFonts w:hint="default" w:ascii="Times New Roman" w:hAnsi="Times New Roman" w:eastAsia="宋体" w:cs="Times New Roman"/>
          <w:color w:val="auto"/>
          <w:spacing w:val="0"/>
          <w:w w:val="100"/>
          <w:position w:val="0"/>
          <w:sz w:val="24"/>
          <w:szCs w:val="24"/>
          <w:u w:val="none" w:color="auto"/>
          <w:vertAlign w:val="superscript"/>
        </w:rPr>
        <w:t>-5</w:t>
      </w:r>
      <w:r>
        <w:rPr>
          <w:rFonts w:hint="default" w:ascii="Times New Roman" w:hAnsi="Times New Roman" w:eastAsia="宋体" w:cs="Times New Roman"/>
          <w:color w:val="auto"/>
          <w:spacing w:val="0"/>
          <w:w w:val="100"/>
          <w:position w:val="0"/>
          <w:sz w:val="24"/>
          <w:szCs w:val="24"/>
          <w:u w:val="none" w:color="auto"/>
        </w:rPr>
        <w:t>cm/s，属弱透水性。</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渗透性较弱，施工涉及少量帷幕灌浆对地下水质影响较小。</w:t>
      </w:r>
    </w:p>
    <w:p w14:paraId="3304DF77">
      <w:pPr>
        <w:pStyle w:val="4"/>
        <w:bidi w:val="0"/>
        <w:rPr>
          <w:rFonts w:hint="default" w:ascii="Times New Roman" w:hAnsi="Times New Roman" w:cs="Times New Roman"/>
          <w:color w:val="auto"/>
        </w:rPr>
      </w:pPr>
      <w:bookmarkStart w:id="280" w:name="_Toc3201"/>
      <w:r>
        <w:rPr>
          <w:rFonts w:hint="default" w:ascii="Times New Roman" w:hAnsi="Times New Roman" w:cs="Times New Roman"/>
          <w:color w:val="auto"/>
          <w:lang w:val="en-US" w:eastAsia="zh-CN"/>
        </w:rPr>
        <w:t>施工期</w:t>
      </w:r>
      <w:r>
        <w:rPr>
          <w:rFonts w:hint="default" w:ascii="Times New Roman" w:hAnsi="Times New Roman" w:cs="Times New Roman"/>
          <w:color w:val="auto"/>
        </w:rPr>
        <w:t>声环境影响分析</w:t>
      </w:r>
      <w:bookmarkEnd w:id="280"/>
    </w:p>
    <w:p w14:paraId="5C52AB57">
      <w:pPr>
        <w:keepNext w:val="0"/>
        <w:keepLines w:val="0"/>
        <w:pageBreakBefore w:val="0"/>
        <w:widowControl w:val="0"/>
        <w:kinsoku/>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根据工程分析，施工期噪声源主要为运行中的施工机械、车辆。施工机械包括土石方机械、运输机械、灌浆设备等，车辆包括推土机和自卸汽车等。水库施工活动产生的噪声大致可分为固定点源噪声和流动噪声两大类。固定点源噪声主要是施工区噪声源，流动噪声主要是运输车辆交通噪声。主体工程基础开挖具有定时、瞬时、受控性强等特点</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交通噪声主要是车辆运输时的引擎声和喇叭声，具有源强较大、流动性等特点。</w:t>
      </w:r>
      <w:r>
        <w:rPr>
          <w:rFonts w:hint="default" w:ascii="Times New Roman" w:hAnsi="Times New Roman" w:eastAsia="宋体" w:cs="Times New Roman"/>
          <w:color w:val="auto"/>
          <w:spacing w:val="0"/>
          <w:w w:val="100"/>
          <w:position w:val="0"/>
          <w:sz w:val="24"/>
          <w:szCs w:val="24"/>
          <w:u w:val="none" w:color="auto"/>
          <w:lang w:val="en-US" w:eastAsia="zh-CN"/>
        </w:rPr>
        <w:t>施工期主要机械设备噪声值一般在80dB（A）～100dB（A）之间，经消声减振、围挡阻隔等措施后，削减量可达5～10dB（A）。施工噪声随施工活动的结束而消失。</w:t>
      </w:r>
    </w:p>
    <w:p w14:paraId="47D69D94">
      <w:pPr>
        <w:spacing w:line="213" w:lineRule="auto"/>
        <w:ind w:left="2721"/>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 xml:space="preserve">表 </w:t>
      </w:r>
      <w:r>
        <w:rPr>
          <w:rFonts w:hint="default" w:ascii="Times New Roman" w:hAnsi="Times New Roman" w:eastAsia="宋体" w:cs="Times New Roman"/>
          <w:b/>
          <w:bCs/>
          <w:color w:val="auto"/>
          <w:spacing w:val="0"/>
          <w:w w:val="100"/>
          <w:position w:val="0"/>
          <w:sz w:val="21"/>
          <w:szCs w:val="21"/>
          <w:u w:val="none" w:color="auto"/>
          <w:lang w:val="en-US" w:eastAsia="zh-CN"/>
        </w:rPr>
        <w:t>4.2-3</w:t>
      </w:r>
      <w:r>
        <w:rPr>
          <w:rFonts w:hint="default" w:ascii="Times New Roman" w:hAnsi="Times New Roman" w:eastAsia="Times New Roman" w:cs="Times New Roman"/>
          <w:b/>
          <w:bCs/>
          <w:color w:val="auto"/>
          <w:spacing w:val="0"/>
          <w:w w:val="100"/>
          <w:position w:val="0"/>
          <w:sz w:val="21"/>
          <w:szCs w:val="21"/>
          <w:u w:val="none" w:color="auto"/>
        </w:rPr>
        <w:t xml:space="preserve">   </w:t>
      </w:r>
      <w:r>
        <w:rPr>
          <w:rFonts w:hint="default" w:ascii="Times New Roman" w:hAnsi="Times New Roman" w:eastAsia="宋体" w:cs="Times New Roman"/>
          <w:b/>
          <w:bCs/>
          <w:color w:val="auto"/>
          <w:spacing w:val="0"/>
          <w:w w:val="100"/>
          <w:position w:val="0"/>
          <w:sz w:val="21"/>
          <w:szCs w:val="21"/>
          <w:u w:val="none" w:color="auto"/>
        </w:rPr>
        <w:t>主要施工机械噪声值统计表</w:t>
      </w:r>
    </w:p>
    <w:tbl>
      <w:tblPr>
        <w:tblStyle w:val="39"/>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667"/>
        <w:gridCol w:w="1605"/>
        <w:gridCol w:w="712"/>
        <w:gridCol w:w="720"/>
        <w:gridCol w:w="1725"/>
        <w:gridCol w:w="1523"/>
        <w:gridCol w:w="1564"/>
      </w:tblGrid>
      <w:tr w14:paraId="3EA588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53327236">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序号</w:t>
            </w:r>
          </w:p>
        </w:tc>
        <w:tc>
          <w:tcPr>
            <w:tcW w:w="1605" w:type="dxa"/>
            <w:tcBorders>
              <w:tl2br w:val="nil"/>
              <w:tr2bl w:val="nil"/>
            </w:tcBorders>
            <w:shd w:val="clear" w:color="auto" w:fill="auto"/>
            <w:noWrap/>
            <w:vAlign w:val="center"/>
          </w:tcPr>
          <w:p w14:paraId="2004CC2D">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机械设备名称</w:t>
            </w:r>
          </w:p>
        </w:tc>
        <w:tc>
          <w:tcPr>
            <w:tcW w:w="712" w:type="dxa"/>
            <w:tcBorders>
              <w:tl2br w:val="nil"/>
              <w:tr2bl w:val="nil"/>
            </w:tcBorders>
            <w:shd w:val="clear" w:color="auto" w:fill="auto"/>
            <w:noWrap/>
            <w:vAlign w:val="center"/>
          </w:tcPr>
          <w:p w14:paraId="1AA79231">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单位</w:t>
            </w:r>
          </w:p>
        </w:tc>
        <w:tc>
          <w:tcPr>
            <w:tcW w:w="720" w:type="dxa"/>
            <w:tcBorders>
              <w:tl2br w:val="nil"/>
              <w:tr2bl w:val="nil"/>
            </w:tcBorders>
            <w:shd w:val="clear" w:color="auto" w:fill="auto"/>
            <w:noWrap/>
            <w:vAlign w:val="center"/>
          </w:tcPr>
          <w:p w14:paraId="4BDAC2CE">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数量</w:t>
            </w:r>
          </w:p>
        </w:tc>
        <w:tc>
          <w:tcPr>
            <w:tcW w:w="1725" w:type="dxa"/>
            <w:tcBorders>
              <w:tl2br w:val="nil"/>
              <w:tr2bl w:val="nil"/>
            </w:tcBorders>
            <w:shd w:val="clear" w:color="auto" w:fill="auto"/>
            <w:noWrap/>
            <w:vAlign w:val="center"/>
          </w:tcPr>
          <w:p w14:paraId="699A5221">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kern w:val="0"/>
                <w:sz w:val="21"/>
                <w:szCs w:val="21"/>
                <w:u w:val="none"/>
                <w:lang w:val="en-US" w:eastAsia="zh-CN" w:bidi="ar"/>
              </w:rPr>
            </w:pPr>
            <w:r>
              <w:rPr>
                <w:rFonts w:hint="default" w:ascii="Times New Roman" w:hAnsi="Times New Roman" w:eastAsia="宋体" w:cs="Times New Roman"/>
                <w:b/>
                <w:bCs/>
                <w:i w:val="0"/>
                <w:iCs w:val="0"/>
                <w:color w:val="000000"/>
                <w:kern w:val="0"/>
                <w:sz w:val="21"/>
                <w:szCs w:val="21"/>
                <w:u w:val="none"/>
                <w:lang w:val="en-US" w:eastAsia="zh-CN" w:bidi="ar"/>
              </w:rPr>
              <w:t>噪声源强</w:t>
            </w:r>
            <w:r>
              <w:rPr>
                <w:rStyle w:val="72"/>
                <w:rFonts w:hint="default" w:ascii="Times New Roman" w:hAnsi="Times New Roman" w:eastAsia="宋体" w:cs="Times New Roman"/>
                <w:b/>
                <w:bCs/>
                <w:caps w:val="0"/>
                <w:smallCaps w:val="0"/>
                <w:color w:val="auto"/>
                <w:spacing w:val="0"/>
                <w:w w:val="100"/>
                <w:position w:val="0"/>
                <w:sz w:val="21"/>
                <w:szCs w:val="21"/>
                <w:u w:val="none" w:color="auto"/>
              </w:rPr>
              <w:t>dB（A）</w:t>
            </w:r>
          </w:p>
        </w:tc>
        <w:tc>
          <w:tcPr>
            <w:tcW w:w="1523" w:type="dxa"/>
            <w:tcBorders>
              <w:tl2br w:val="nil"/>
              <w:tr2bl w:val="nil"/>
            </w:tcBorders>
            <w:shd w:val="clear" w:color="auto" w:fill="auto"/>
            <w:noWrap/>
            <w:vAlign w:val="center"/>
          </w:tcPr>
          <w:p w14:paraId="18508019">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kern w:val="0"/>
                <w:sz w:val="21"/>
                <w:szCs w:val="21"/>
                <w:u w:val="none"/>
                <w:lang w:val="en-US" w:eastAsia="zh-CN" w:bidi="ar"/>
              </w:rPr>
            </w:pPr>
            <w:r>
              <w:rPr>
                <w:rFonts w:hint="default" w:ascii="Times New Roman" w:hAnsi="Times New Roman" w:eastAsia="宋体" w:cs="Times New Roman"/>
                <w:b/>
                <w:bCs/>
                <w:i w:val="0"/>
                <w:iCs w:val="0"/>
                <w:color w:val="000000"/>
                <w:kern w:val="0"/>
                <w:sz w:val="21"/>
                <w:szCs w:val="21"/>
                <w:u w:val="none"/>
                <w:lang w:val="en-US" w:eastAsia="zh-CN" w:bidi="ar"/>
              </w:rPr>
              <w:t>声源控制措施</w:t>
            </w:r>
          </w:p>
        </w:tc>
        <w:tc>
          <w:tcPr>
            <w:tcW w:w="1564" w:type="dxa"/>
            <w:tcBorders>
              <w:tl2br w:val="nil"/>
              <w:tr2bl w:val="nil"/>
            </w:tcBorders>
            <w:shd w:val="clear" w:color="auto" w:fill="auto"/>
            <w:noWrap/>
            <w:vAlign w:val="center"/>
          </w:tcPr>
          <w:p w14:paraId="6AEA2985">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000000"/>
                <w:kern w:val="0"/>
                <w:sz w:val="21"/>
                <w:szCs w:val="21"/>
                <w:u w:val="none"/>
                <w:lang w:val="en-US" w:eastAsia="zh-CN" w:bidi="ar"/>
              </w:rPr>
            </w:pPr>
            <w:r>
              <w:rPr>
                <w:rFonts w:hint="default" w:ascii="Times New Roman" w:hAnsi="Times New Roman" w:eastAsia="宋体" w:cs="Times New Roman"/>
                <w:b/>
                <w:bCs/>
                <w:i w:val="0"/>
                <w:iCs w:val="0"/>
                <w:color w:val="000000"/>
                <w:kern w:val="0"/>
                <w:sz w:val="21"/>
                <w:szCs w:val="21"/>
                <w:u w:val="none"/>
                <w:lang w:val="en-US" w:eastAsia="zh-CN" w:bidi="ar"/>
              </w:rPr>
              <w:t>采取措施后噪声源强</w:t>
            </w:r>
            <w:r>
              <w:rPr>
                <w:rStyle w:val="72"/>
                <w:rFonts w:hint="default" w:ascii="Times New Roman" w:hAnsi="Times New Roman" w:eastAsia="宋体" w:cs="Times New Roman"/>
                <w:b/>
                <w:bCs/>
                <w:caps w:val="0"/>
                <w:smallCaps w:val="0"/>
                <w:color w:val="auto"/>
                <w:spacing w:val="0"/>
                <w:w w:val="100"/>
                <w:position w:val="0"/>
                <w:sz w:val="21"/>
                <w:szCs w:val="21"/>
                <w:u w:val="none" w:color="auto"/>
              </w:rPr>
              <w:t>dB（A）</w:t>
            </w:r>
          </w:p>
        </w:tc>
      </w:tr>
      <w:tr w14:paraId="47AE3D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7D53172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605" w:type="dxa"/>
            <w:tcBorders>
              <w:tl2br w:val="nil"/>
              <w:tr2bl w:val="nil"/>
            </w:tcBorders>
            <w:shd w:val="clear" w:color="auto" w:fill="auto"/>
            <w:noWrap/>
            <w:vAlign w:val="center"/>
          </w:tcPr>
          <w:p w14:paraId="28EC380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反铲挖掘机</w:t>
            </w:r>
          </w:p>
        </w:tc>
        <w:tc>
          <w:tcPr>
            <w:tcW w:w="712" w:type="dxa"/>
            <w:tcBorders>
              <w:tl2br w:val="nil"/>
              <w:tr2bl w:val="nil"/>
            </w:tcBorders>
            <w:shd w:val="clear" w:color="auto" w:fill="auto"/>
            <w:noWrap/>
            <w:vAlign w:val="center"/>
          </w:tcPr>
          <w:p w14:paraId="66A8314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720" w:type="dxa"/>
            <w:tcBorders>
              <w:tl2br w:val="nil"/>
              <w:tr2bl w:val="nil"/>
            </w:tcBorders>
            <w:shd w:val="clear" w:color="auto" w:fill="auto"/>
            <w:noWrap/>
            <w:vAlign w:val="center"/>
          </w:tcPr>
          <w:p w14:paraId="41D9FF6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725" w:type="dxa"/>
            <w:tcBorders>
              <w:tl2br w:val="nil"/>
              <w:tr2bl w:val="nil"/>
            </w:tcBorders>
            <w:shd w:val="clear" w:color="auto" w:fill="auto"/>
            <w:noWrap/>
            <w:vAlign w:val="center"/>
          </w:tcPr>
          <w:p w14:paraId="2D0A21C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1523" w:type="dxa"/>
            <w:vMerge w:val="restart"/>
            <w:tcBorders>
              <w:tl2br w:val="nil"/>
              <w:tr2bl w:val="nil"/>
            </w:tcBorders>
            <w:shd w:val="clear" w:color="auto" w:fill="auto"/>
            <w:noWrap/>
            <w:vAlign w:val="center"/>
          </w:tcPr>
          <w:p w14:paraId="2657611C">
            <w:pPr>
              <w:keepNext w:val="0"/>
              <w:keepLines w:val="0"/>
              <w:widowControl/>
              <w:suppressLineNumbers w:val="0"/>
              <w:jc w:val="left"/>
              <w:rPr>
                <w:rFonts w:hint="default" w:ascii="Times New Roman" w:hAnsi="Times New Roman" w:cs="Times New Roman"/>
              </w:rPr>
            </w:pPr>
            <w:r>
              <w:rPr>
                <w:rFonts w:hint="default" w:ascii="Times New Roman" w:hAnsi="Times New Roman" w:eastAsia="宋体" w:cs="Times New Roman"/>
                <w:color w:val="000000"/>
                <w:kern w:val="0"/>
                <w:sz w:val="20"/>
                <w:szCs w:val="20"/>
                <w:lang w:val="en-US" w:eastAsia="zh-CN" w:bidi="ar"/>
              </w:rPr>
              <w:t xml:space="preserve">优先采用低噪声设备、绿化吸 </w:t>
            </w:r>
          </w:p>
          <w:p w14:paraId="7432435B">
            <w:pPr>
              <w:keepNext w:val="0"/>
              <w:keepLines w:val="0"/>
              <w:widowControl/>
              <w:suppressLineNumbers w:val="0"/>
              <w:jc w:val="left"/>
              <w:rPr>
                <w:rFonts w:hint="default" w:ascii="Times New Roman" w:hAnsi="Times New Roman" w:cs="Times New Roman"/>
                <w:lang w:val="en-US"/>
              </w:rPr>
            </w:pPr>
            <w:r>
              <w:rPr>
                <w:rFonts w:hint="default" w:ascii="Times New Roman" w:hAnsi="Times New Roman" w:eastAsia="宋体" w:cs="Times New Roman"/>
                <w:color w:val="000000"/>
                <w:kern w:val="0"/>
                <w:sz w:val="20"/>
                <w:szCs w:val="20"/>
                <w:lang w:val="en-US" w:eastAsia="zh-CN" w:bidi="ar"/>
              </w:rPr>
              <w:t>声、临时隔声屏障、距离衰减、合理安排施工时间，合理布置施工机械</w:t>
            </w:r>
          </w:p>
          <w:p w14:paraId="43C4A03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2D4665D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r>
      <w:tr w14:paraId="1FD14B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0A4FE52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605" w:type="dxa"/>
            <w:tcBorders>
              <w:tl2br w:val="nil"/>
              <w:tr2bl w:val="nil"/>
            </w:tcBorders>
            <w:shd w:val="clear" w:color="auto" w:fill="auto"/>
            <w:noWrap/>
            <w:vAlign w:val="center"/>
          </w:tcPr>
          <w:p w14:paraId="334927C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推土机</w:t>
            </w:r>
          </w:p>
        </w:tc>
        <w:tc>
          <w:tcPr>
            <w:tcW w:w="712" w:type="dxa"/>
            <w:tcBorders>
              <w:tl2br w:val="nil"/>
              <w:tr2bl w:val="nil"/>
            </w:tcBorders>
            <w:shd w:val="clear" w:color="auto" w:fill="auto"/>
            <w:noWrap/>
            <w:vAlign w:val="center"/>
          </w:tcPr>
          <w:p w14:paraId="2E4D537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720" w:type="dxa"/>
            <w:tcBorders>
              <w:tl2br w:val="nil"/>
              <w:tr2bl w:val="nil"/>
            </w:tcBorders>
            <w:shd w:val="clear" w:color="auto" w:fill="auto"/>
            <w:noWrap/>
            <w:vAlign w:val="center"/>
          </w:tcPr>
          <w:p w14:paraId="39869DC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25" w:type="dxa"/>
            <w:tcBorders>
              <w:tl2br w:val="nil"/>
              <w:tr2bl w:val="nil"/>
            </w:tcBorders>
            <w:shd w:val="clear" w:color="auto" w:fill="auto"/>
            <w:noWrap/>
            <w:vAlign w:val="center"/>
          </w:tcPr>
          <w:p w14:paraId="1CD5A19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1523" w:type="dxa"/>
            <w:vMerge w:val="continue"/>
            <w:tcBorders>
              <w:tl2br w:val="nil"/>
              <w:tr2bl w:val="nil"/>
            </w:tcBorders>
            <w:shd w:val="clear" w:color="auto" w:fill="auto"/>
            <w:noWrap/>
            <w:vAlign w:val="center"/>
          </w:tcPr>
          <w:p w14:paraId="1AF76CB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00F7A32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r>
      <w:tr w14:paraId="0D0018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3AE3C9E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605" w:type="dxa"/>
            <w:tcBorders>
              <w:tl2br w:val="nil"/>
              <w:tr2bl w:val="nil"/>
            </w:tcBorders>
            <w:shd w:val="clear" w:color="auto" w:fill="auto"/>
            <w:noWrap/>
            <w:vAlign w:val="center"/>
          </w:tcPr>
          <w:p w14:paraId="3353A87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蛙式打夯机</w:t>
            </w:r>
          </w:p>
        </w:tc>
        <w:tc>
          <w:tcPr>
            <w:tcW w:w="712" w:type="dxa"/>
            <w:tcBorders>
              <w:tl2br w:val="nil"/>
              <w:tr2bl w:val="nil"/>
            </w:tcBorders>
            <w:shd w:val="clear" w:color="auto" w:fill="auto"/>
            <w:noWrap/>
            <w:vAlign w:val="center"/>
          </w:tcPr>
          <w:p w14:paraId="47C86F0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720" w:type="dxa"/>
            <w:tcBorders>
              <w:tl2br w:val="nil"/>
              <w:tr2bl w:val="nil"/>
            </w:tcBorders>
            <w:shd w:val="clear" w:color="auto" w:fill="auto"/>
            <w:noWrap/>
            <w:vAlign w:val="center"/>
          </w:tcPr>
          <w:p w14:paraId="1D914A1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725" w:type="dxa"/>
            <w:tcBorders>
              <w:tl2br w:val="nil"/>
              <w:tr2bl w:val="nil"/>
            </w:tcBorders>
            <w:shd w:val="clear" w:color="auto" w:fill="auto"/>
            <w:noWrap/>
            <w:vAlign w:val="center"/>
          </w:tcPr>
          <w:p w14:paraId="2C47D6B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1523" w:type="dxa"/>
            <w:vMerge w:val="continue"/>
            <w:tcBorders>
              <w:tl2br w:val="nil"/>
              <w:tr2bl w:val="nil"/>
            </w:tcBorders>
            <w:shd w:val="clear" w:color="auto" w:fill="auto"/>
            <w:noWrap/>
            <w:vAlign w:val="center"/>
          </w:tcPr>
          <w:p w14:paraId="2F8938D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4AC91D1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75</w:t>
            </w:r>
          </w:p>
        </w:tc>
      </w:tr>
      <w:tr w14:paraId="1064CB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6B77F8B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605" w:type="dxa"/>
            <w:tcBorders>
              <w:tl2br w:val="nil"/>
              <w:tr2bl w:val="nil"/>
            </w:tcBorders>
            <w:shd w:val="clear" w:color="auto" w:fill="auto"/>
            <w:noWrap/>
            <w:vAlign w:val="center"/>
          </w:tcPr>
          <w:p w14:paraId="6104911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手风钻</w:t>
            </w:r>
          </w:p>
        </w:tc>
        <w:tc>
          <w:tcPr>
            <w:tcW w:w="712" w:type="dxa"/>
            <w:tcBorders>
              <w:tl2br w:val="nil"/>
              <w:tr2bl w:val="nil"/>
            </w:tcBorders>
            <w:shd w:val="clear" w:color="auto" w:fill="auto"/>
            <w:noWrap/>
            <w:vAlign w:val="center"/>
          </w:tcPr>
          <w:p w14:paraId="15F9752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把</w:t>
            </w:r>
          </w:p>
        </w:tc>
        <w:tc>
          <w:tcPr>
            <w:tcW w:w="720" w:type="dxa"/>
            <w:tcBorders>
              <w:tl2br w:val="nil"/>
              <w:tr2bl w:val="nil"/>
            </w:tcBorders>
            <w:shd w:val="clear" w:color="auto" w:fill="auto"/>
            <w:noWrap/>
            <w:vAlign w:val="center"/>
          </w:tcPr>
          <w:p w14:paraId="3575D27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25" w:type="dxa"/>
            <w:tcBorders>
              <w:tl2br w:val="nil"/>
              <w:tr2bl w:val="nil"/>
            </w:tcBorders>
            <w:shd w:val="clear" w:color="auto" w:fill="auto"/>
            <w:noWrap/>
            <w:vAlign w:val="center"/>
          </w:tcPr>
          <w:p w14:paraId="294EC43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c>
          <w:tcPr>
            <w:tcW w:w="1523" w:type="dxa"/>
            <w:vMerge w:val="continue"/>
            <w:tcBorders>
              <w:tl2br w:val="nil"/>
              <w:tr2bl w:val="nil"/>
            </w:tcBorders>
            <w:shd w:val="clear" w:color="auto" w:fill="auto"/>
            <w:noWrap/>
            <w:vAlign w:val="center"/>
          </w:tcPr>
          <w:p w14:paraId="1432B13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66261D0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r>
      <w:tr w14:paraId="4B9A62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41F3056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605" w:type="dxa"/>
            <w:tcBorders>
              <w:tl2br w:val="nil"/>
              <w:tr2bl w:val="nil"/>
            </w:tcBorders>
            <w:shd w:val="clear" w:color="auto" w:fill="auto"/>
            <w:noWrap/>
            <w:vAlign w:val="center"/>
          </w:tcPr>
          <w:p w14:paraId="677201F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潜孔钻</w:t>
            </w:r>
          </w:p>
        </w:tc>
        <w:tc>
          <w:tcPr>
            <w:tcW w:w="712" w:type="dxa"/>
            <w:tcBorders>
              <w:tl2br w:val="nil"/>
              <w:tr2bl w:val="nil"/>
            </w:tcBorders>
            <w:shd w:val="clear" w:color="auto" w:fill="auto"/>
            <w:noWrap/>
            <w:vAlign w:val="center"/>
          </w:tcPr>
          <w:p w14:paraId="0557299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720" w:type="dxa"/>
            <w:tcBorders>
              <w:tl2br w:val="nil"/>
              <w:tr2bl w:val="nil"/>
            </w:tcBorders>
            <w:shd w:val="clear" w:color="auto" w:fill="auto"/>
            <w:noWrap/>
            <w:vAlign w:val="center"/>
          </w:tcPr>
          <w:p w14:paraId="1DD7CD3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25" w:type="dxa"/>
            <w:tcBorders>
              <w:tl2br w:val="nil"/>
              <w:tr2bl w:val="nil"/>
            </w:tcBorders>
            <w:shd w:val="clear" w:color="auto" w:fill="auto"/>
            <w:noWrap/>
            <w:vAlign w:val="center"/>
          </w:tcPr>
          <w:p w14:paraId="2B119CA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c>
          <w:tcPr>
            <w:tcW w:w="1523" w:type="dxa"/>
            <w:vMerge w:val="continue"/>
            <w:tcBorders>
              <w:tl2br w:val="nil"/>
              <w:tr2bl w:val="nil"/>
            </w:tcBorders>
            <w:shd w:val="clear" w:color="auto" w:fill="auto"/>
            <w:noWrap/>
            <w:vAlign w:val="center"/>
          </w:tcPr>
          <w:p w14:paraId="35D3765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2EB9D84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r>
      <w:tr w14:paraId="70171A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3487CF4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1605" w:type="dxa"/>
            <w:tcBorders>
              <w:tl2br w:val="nil"/>
              <w:tr2bl w:val="nil"/>
            </w:tcBorders>
            <w:shd w:val="clear" w:color="auto" w:fill="auto"/>
            <w:noWrap/>
            <w:vAlign w:val="center"/>
          </w:tcPr>
          <w:p w14:paraId="6FCE378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振动碾</w:t>
            </w:r>
          </w:p>
        </w:tc>
        <w:tc>
          <w:tcPr>
            <w:tcW w:w="712" w:type="dxa"/>
            <w:tcBorders>
              <w:tl2br w:val="nil"/>
              <w:tr2bl w:val="nil"/>
            </w:tcBorders>
            <w:shd w:val="clear" w:color="auto" w:fill="auto"/>
            <w:noWrap/>
            <w:vAlign w:val="center"/>
          </w:tcPr>
          <w:p w14:paraId="0E5E379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720" w:type="dxa"/>
            <w:tcBorders>
              <w:tl2br w:val="nil"/>
              <w:tr2bl w:val="nil"/>
            </w:tcBorders>
            <w:shd w:val="clear" w:color="auto" w:fill="auto"/>
            <w:noWrap/>
            <w:vAlign w:val="center"/>
          </w:tcPr>
          <w:p w14:paraId="2DD60C3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25" w:type="dxa"/>
            <w:tcBorders>
              <w:tl2br w:val="nil"/>
              <w:tr2bl w:val="nil"/>
            </w:tcBorders>
            <w:shd w:val="clear" w:color="auto" w:fill="auto"/>
            <w:noWrap/>
            <w:vAlign w:val="center"/>
          </w:tcPr>
          <w:p w14:paraId="7194BD6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c>
          <w:tcPr>
            <w:tcW w:w="1523" w:type="dxa"/>
            <w:vMerge w:val="continue"/>
            <w:tcBorders>
              <w:tl2br w:val="nil"/>
              <w:tr2bl w:val="nil"/>
            </w:tcBorders>
            <w:shd w:val="clear" w:color="auto" w:fill="auto"/>
            <w:noWrap/>
            <w:vAlign w:val="center"/>
          </w:tcPr>
          <w:p w14:paraId="155F46D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2D42D51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r>
      <w:tr w14:paraId="5C8D7D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0B1AD40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605" w:type="dxa"/>
            <w:tcBorders>
              <w:tl2br w:val="nil"/>
              <w:tr2bl w:val="nil"/>
            </w:tcBorders>
            <w:shd w:val="clear" w:color="auto" w:fill="auto"/>
            <w:noWrap/>
            <w:vAlign w:val="center"/>
          </w:tcPr>
          <w:p w14:paraId="7690855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自卸汽车</w:t>
            </w:r>
          </w:p>
        </w:tc>
        <w:tc>
          <w:tcPr>
            <w:tcW w:w="712" w:type="dxa"/>
            <w:tcBorders>
              <w:tl2br w:val="nil"/>
              <w:tr2bl w:val="nil"/>
            </w:tcBorders>
            <w:shd w:val="clear" w:color="auto" w:fill="auto"/>
            <w:noWrap/>
            <w:vAlign w:val="center"/>
          </w:tcPr>
          <w:p w14:paraId="1FA9A99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720" w:type="dxa"/>
            <w:tcBorders>
              <w:tl2br w:val="nil"/>
              <w:tr2bl w:val="nil"/>
            </w:tcBorders>
            <w:shd w:val="clear" w:color="auto" w:fill="auto"/>
            <w:noWrap/>
            <w:vAlign w:val="center"/>
          </w:tcPr>
          <w:p w14:paraId="2FCD909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725" w:type="dxa"/>
            <w:tcBorders>
              <w:tl2br w:val="nil"/>
              <w:tr2bl w:val="nil"/>
            </w:tcBorders>
            <w:shd w:val="clear" w:color="auto" w:fill="auto"/>
            <w:noWrap/>
            <w:vAlign w:val="center"/>
          </w:tcPr>
          <w:p w14:paraId="203CE07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1523" w:type="dxa"/>
            <w:vMerge w:val="continue"/>
            <w:tcBorders>
              <w:tl2br w:val="nil"/>
              <w:tr2bl w:val="nil"/>
            </w:tcBorders>
            <w:shd w:val="clear" w:color="auto" w:fill="auto"/>
            <w:noWrap/>
            <w:vAlign w:val="center"/>
          </w:tcPr>
          <w:p w14:paraId="11FEEB6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311CA09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r>
      <w:tr w14:paraId="0E035FD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2F33F11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8</w:t>
            </w:r>
          </w:p>
        </w:tc>
        <w:tc>
          <w:tcPr>
            <w:tcW w:w="1605" w:type="dxa"/>
            <w:tcBorders>
              <w:tl2br w:val="nil"/>
              <w:tr2bl w:val="nil"/>
            </w:tcBorders>
            <w:shd w:val="clear" w:color="auto" w:fill="auto"/>
            <w:noWrap/>
            <w:vAlign w:val="center"/>
          </w:tcPr>
          <w:p w14:paraId="6D83D62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装载机</w:t>
            </w:r>
          </w:p>
        </w:tc>
        <w:tc>
          <w:tcPr>
            <w:tcW w:w="712" w:type="dxa"/>
            <w:tcBorders>
              <w:tl2br w:val="nil"/>
              <w:tr2bl w:val="nil"/>
            </w:tcBorders>
            <w:shd w:val="clear" w:color="auto" w:fill="auto"/>
            <w:noWrap/>
            <w:vAlign w:val="center"/>
          </w:tcPr>
          <w:p w14:paraId="5D98B9D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720" w:type="dxa"/>
            <w:tcBorders>
              <w:tl2br w:val="nil"/>
              <w:tr2bl w:val="nil"/>
            </w:tcBorders>
            <w:shd w:val="clear" w:color="auto" w:fill="auto"/>
            <w:noWrap/>
            <w:vAlign w:val="center"/>
          </w:tcPr>
          <w:p w14:paraId="700437F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25" w:type="dxa"/>
            <w:tcBorders>
              <w:tl2br w:val="nil"/>
              <w:tr2bl w:val="nil"/>
            </w:tcBorders>
            <w:shd w:val="clear" w:color="auto" w:fill="auto"/>
            <w:noWrap/>
            <w:vAlign w:val="center"/>
          </w:tcPr>
          <w:p w14:paraId="58E718D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1523" w:type="dxa"/>
            <w:vMerge w:val="continue"/>
            <w:tcBorders>
              <w:tl2br w:val="nil"/>
              <w:tr2bl w:val="nil"/>
            </w:tcBorders>
            <w:shd w:val="clear" w:color="auto" w:fill="auto"/>
            <w:noWrap/>
            <w:vAlign w:val="center"/>
          </w:tcPr>
          <w:p w14:paraId="52CBCB5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4DECDF9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r>
      <w:tr w14:paraId="219A77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407AB7A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9</w:t>
            </w:r>
          </w:p>
        </w:tc>
        <w:tc>
          <w:tcPr>
            <w:tcW w:w="1605" w:type="dxa"/>
            <w:tcBorders>
              <w:tl2br w:val="nil"/>
              <w:tr2bl w:val="nil"/>
            </w:tcBorders>
            <w:shd w:val="clear" w:color="auto" w:fill="auto"/>
            <w:noWrap/>
            <w:vAlign w:val="center"/>
          </w:tcPr>
          <w:p w14:paraId="446272A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砼拌和机</w:t>
            </w:r>
          </w:p>
        </w:tc>
        <w:tc>
          <w:tcPr>
            <w:tcW w:w="712" w:type="dxa"/>
            <w:tcBorders>
              <w:tl2br w:val="nil"/>
              <w:tr2bl w:val="nil"/>
            </w:tcBorders>
            <w:shd w:val="clear" w:color="auto" w:fill="auto"/>
            <w:noWrap/>
            <w:vAlign w:val="center"/>
          </w:tcPr>
          <w:p w14:paraId="167BFC4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720" w:type="dxa"/>
            <w:tcBorders>
              <w:tl2br w:val="nil"/>
              <w:tr2bl w:val="nil"/>
            </w:tcBorders>
            <w:shd w:val="clear" w:color="auto" w:fill="auto"/>
            <w:noWrap/>
            <w:vAlign w:val="center"/>
          </w:tcPr>
          <w:p w14:paraId="3019DEB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25" w:type="dxa"/>
            <w:tcBorders>
              <w:tl2br w:val="nil"/>
              <w:tr2bl w:val="nil"/>
            </w:tcBorders>
            <w:shd w:val="clear" w:color="auto" w:fill="auto"/>
            <w:noWrap/>
            <w:vAlign w:val="center"/>
          </w:tcPr>
          <w:p w14:paraId="1A32F91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c>
          <w:tcPr>
            <w:tcW w:w="1523" w:type="dxa"/>
            <w:vMerge w:val="continue"/>
            <w:tcBorders>
              <w:tl2br w:val="nil"/>
              <w:tr2bl w:val="nil"/>
            </w:tcBorders>
            <w:shd w:val="clear" w:color="auto" w:fill="auto"/>
            <w:noWrap/>
            <w:vAlign w:val="center"/>
          </w:tcPr>
          <w:p w14:paraId="372E018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73340E8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r>
      <w:tr w14:paraId="04B03BA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1E7A658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10</w:t>
            </w:r>
          </w:p>
        </w:tc>
        <w:tc>
          <w:tcPr>
            <w:tcW w:w="1605" w:type="dxa"/>
            <w:tcBorders>
              <w:tl2br w:val="nil"/>
              <w:tr2bl w:val="nil"/>
            </w:tcBorders>
            <w:shd w:val="clear" w:color="auto" w:fill="auto"/>
            <w:noWrap/>
            <w:vAlign w:val="center"/>
          </w:tcPr>
          <w:p w14:paraId="630256E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卷扬机</w:t>
            </w:r>
          </w:p>
        </w:tc>
        <w:tc>
          <w:tcPr>
            <w:tcW w:w="712" w:type="dxa"/>
            <w:tcBorders>
              <w:tl2br w:val="nil"/>
              <w:tr2bl w:val="nil"/>
            </w:tcBorders>
            <w:shd w:val="clear" w:color="auto" w:fill="auto"/>
            <w:noWrap/>
            <w:vAlign w:val="center"/>
          </w:tcPr>
          <w:p w14:paraId="38A45C0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720" w:type="dxa"/>
            <w:tcBorders>
              <w:tl2br w:val="nil"/>
              <w:tr2bl w:val="nil"/>
            </w:tcBorders>
            <w:shd w:val="clear" w:color="auto" w:fill="auto"/>
            <w:noWrap/>
            <w:vAlign w:val="center"/>
          </w:tcPr>
          <w:p w14:paraId="23052D7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25" w:type="dxa"/>
            <w:tcBorders>
              <w:tl2br w:val="nil"/>
              <w:tr2bl w:val="nil"/>
            </w:tcBorders>
            <w:shd w:val="clear" w:color="auto" w:fill="auto"/>
            <w:noWrap/>
            <w:vAlign w:val="center"/>
          </w:tcPr>
          <w:p w14:paraId="3A7FB4F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c>
          <w:tcPr>
            <w:tcW w:w="1523" w:type="dxa"/>
            <w:vMerge w:val="continue"/>
            <w:tcBorders>
              <w:tl2br w:val="nil"/>
              <w:tr2bl w:val="nil"/>
            </w:tcBorders>
            <w:shd w:val="clear" w:color="auto" w:fill="auto"/>
            <w:noWrap/>
            <w:vAlign w:val="center"/>
          </w:tcPr>
          <w:p w14:paraId="408769D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24BEF75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r>
      <w:tr w14:paraId="796166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2959844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11</w:t>
            </w:r>
          </w:p>
        </w:tc>
        <w:tc>
          <w:tcPr>
            <w:tcW w:w="1605" w:type="dxa"/>
            <w:tcBorders>
              <w:tl2br w:val="nil"/>
              <w:tr2bl w:val="nil"/>
            </w:tcBorders>
            <w:shd w:val="clear" w:color="auto" w:fill="auto"/>
            <w:noWrap/>
            <w:vAlign w:val="center"/>
          </w:tcPr>
          <w:p w14:paraId="191F5B9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地质钻</w:t>
            </w:r>
          </w:p>
        </w:tc>
        <w:tc>
          <w:tcPr>
            <w:tcW w:w="712" w:type="dxa"/>
            <w:tcBorders>
              <w:tl2br w:val="nil"/>
              <w:tr2bl w:val="nil"/>
            </w:tcBorders>
            <w:shd w:val="clear" w:color="auto" w:fill="auto"/>
            <w:noWrap/>
            <w:vAlign w:val="center"/>
          </w:tcPr>
          <w:p w14:paraId="4A0296F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720" w:type="dxa"/>
            <w:tcBorders>
              <w:tl2br w:val="nil"/>
              <w:tr2bl w:val="nil"/>
            </w:tcBorders>
            <w:shd w:val="clear" w:color="auto" w:fill="auto"/>
            <w:noWrap/>
            <w:vAlign w:val="center"/>
          </w:tcPr>
          <w:p w14:paraId="40AEB72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725" w:type="dxa"/>
            <w:tcBorders>
              <w:tl2br w:val="nil"/>
              <w:tr2bl w:val="nil"/>
            </w:tcBorders>
            <w:shd w:val="clear" w:color="auto" w:fill="auto"/>
            <w:noWrap/>
            <w:vAlign w:val="center"/>
          </w:tcPr>
          <w:p w14:paraId="3F1A71B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c>
          <w:tcPr>
            <w:tcW w:w="1523" w:type="dxa"/>
            <w:vMerge w:val="continue"/>
            <w:tcBorders>
              <w:tl2br w:val="nil"/>
              <w:tr2bl w:val="nil"/>
            </w:tcBorders>
            <w:shd w:val="clear" w:color="auto" w:fill="auto"/>
            <w:noWrap/>
            <w:vAlign w:val="center"/>
          </w:tcPr>
          <w:p w14:paraId="6078019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6785BDF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r>
      <w:tr w14:paraId="7AB22E8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4A301ED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12</w:t>
            </w:r>
          </w:p>
        </w:tc>
        <w:tc>
          <w:tcPr>
            <w:tcW w:w="1605" w:type="dxa"/>
            <w:tcBorders>
              <w:tl2br w:val="nil"/>
              <w:tr2bl w:val="nil"/>
            </w:tcBorders>
            <w:shd w:val="clear" w:color="auto" w:fill="auto"/>
            <w:noWrap/>
            <w:vAlign w:val="center"/>
          </w:tcPr>
          <w:p w14:paraId="024505B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灰浆搅拌机</w:t>
            </w:r>
          </w:p>
        </w:tc>
        <w:tc>
          <w:tcPr>
            <w:tcW w:w="712" w:type="dxa"/>
            <w:tcBorders>
              <w:tl2br w:val="nil"/>
              <w:tr2bl w:val="nil"/>
            </w:tcBorders>
            <w:shd w:val="clear" w:color="auto" w:fill="auto"/>
            <w:noWrap/>
            <w:vAlign w:val="center"/>
          </w:tcPr>
          <w:p w14:paraId="43EE9D6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720" w:type="dxa"/>
            <w:tcBorders>
              <w:tl2br w:val="nil"/>
              <w:tr2bl w:val="nil"/>
            </w:tcBorders>
            <w:shd w:val="clear" w:color="auto" w:fill="auto"/>
            <w:noWrap/>
            <w:vAlign w:val="center"/>
          </w:tcPr>
          <w:p w14:paraId="31C1AB5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25" w:type="dxa"/>
            <w:tcBorders>
              <w:tl2br w:val="nil"/>
              <w:tr2bl w:val="nil"/>
            </w:tcBorders>
            <w:shd w:val="clear" w:color="auto" w:fill="auto"/>
            <w:noWrap/>
            <w:vAlign w:val="center"/>
          </w:tcPr>
          <w:p w14:paraId="66E2F89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c>
          <w:tcPr>
            <w:tcW w:w="1523" w:type="dxa"/>
            <w:vMerge w:val="continue"/>
            <w:tcBorders>
              <w:tl2br w:val="nil"/>
              <w:tr2bl w:val="nil"/>
            </w:tcBorders>
            <w:shd w:val="clear" w:color="auto" w:fill="auto"/>
            <w:noWrap/>
            <w:vAlign w:val="center"/>
          </w:tcPr>
          <w:p w14:paraId="2EA5359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4B41DC7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r>
      <w:tr w14:paraId="3292A8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3DF17E3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13</w:t>
            </w:r>
          </w:p>
        </w:tc>
        <w:tc>
          <w:tcPr>
            <w:tcW w:w="1605" w:type="dxa"/>
            <w:tcBorders>
              <w:tl2br w:val="nil"/>
              <w:tr2bl w:val="nil"/>
            </w:tcBorders>
            <w:shd w:val="clear" w:color="auto" w:fill="auto"/>
            <w:noWrap/>
            <w:vAlign w:val="center"/>
          </w:tcPr>
          <w:p w14:paraId="235349F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灌浆泵</w:t>
            </w:r>
          </w:p>
        </w:tc>
        <w:tc>
          <w:tcPr>
            <w:tcW w:w="712" w:type="dxa"/>
            <w:tcBorders>
              <w:tl2br w:val="nil"/>
              <w:tr2bl w:val="nil"/>
            </w:tcBorders>
            <w:shd w:val="clear" w:color="auto" w:fill="auto"/>
            <w:noWrap/>
            <w:vAlign w:val="center"/>
          </w:tcPr>
          <w:p w14:paraId="59E4650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720" w:type="dxa"/>
            <w:tcBorders>
              <w:tl2br w:val="nil"/>
              <w:tr2bl w:val="nil"/>
            </w:tcBorders>
            <w:shd w:val="clear" w:color="auto" w:fill="auto"/>
            <w:noWrap/>
            <w:vAlign w:val="center"/>
          </w:tcPr>
          <w:p w14:paraId="11513E1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25" w:type="dxa"/>
            <w:tcBorders>
              <w:tl2br w:val="nil"/>
              <w:tr2bl w:val="nil"/>
            </w:tcBorders>
            <w:shd w:val="clear" w:color="auto" w:fill="auto"/>
            <w:noWrap/>
            <w:vAlign w:val="center"/>
          </w:tcPr>
          <w:p w14:paraId="10701AF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c>
          <w:tcPr>
            <w:tcW w:w="1523" w:type="dxa"/>
            <w:vMerge w:val="continue"/>
            <w:tcBorders>
              <w:tl2br w:val="nil"/>
              <w:tr2bl w:val="nil"/>
            </w:tcBorders>
            <w:shd w:val="clear" w:color="auto" w:fill="auto"/>
            <w:noWrap/>
            <w:vAlign w:val="center"/>
          </w:tcPr>
          <w:p w14:paraId="3F50DAD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354D846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r>
      <w:tr w14:paraId="12722FC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124AD24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14</w:t>
            </w:r>
          </w:p>
        </w:tc>
        <w:tc>
          <w:tcPr>
            <w:tcW w:w="1605" w:type="dxa"/>
            <w:tcBorders>
              <w:tl2br w:val="nil"/>
              <w:tr2bl w:val="nil"/>
            </w:tcBorders>
            <w:shd w:val="clear" w:color="auto" w:fill="auto"/>
            <w:noWrap/>
            <w:vAlign w:val="center"/>
          </w:tcPr>
          <w:p w14:paraId="44908E7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冲击钻机</w:t>
            </w:r>
          </w:p>
        </w:tc>
        <w:tc>
          <w:tcPr>
            <w:tcW w:w="712" w:type="dxa"/>
            <w:tcBorders>
              <w:tl2br w:val="nil"/>
              <w:tr2bl w:val="nil"/>
            </w:tcBorders>
            <w:shd w:val="clear" w:color="auto" w:fill="auto"/>
            <w:noWrap/>
            <w:vAlign w:val="center"/>
          </w:tcPr>
          <w:p w14:paraId="2DE16E5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720" w:type="dxa"/>
            <w:tcBorders>
              <w:tl2br w:val="nil"/>
              <w:tr2bl w:val="nil"/>
            </w:tcBorders>
            <w:shd w:val="clear" w:color="auto" w:fill="auto"/>
            <w:noWrap/>
            <w:vAlign w:val="center"/>
          </w:tcPr>
          <w:p w14:paraId="4BA6FDC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25" w:type="dxa"/>
            <w:tcBorders>
              <w:tl2br w:val="nil"/>
              <w:tr2bl w:val="nil"/>
            </w:tcBorders>
            <w:shd w:val="clear" w:color="auto" w:fill="auto"/>
            <w:noWrap/>
            <w:vAlign w:val="center"/>
          </w:tcPr>
          <w:p w14:paraId="5F98466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90</w:t>
            </w:r>
          </w:p>
        </w:tc>
        <w:tc>
          <w:tcPr>
            <w:tcW w:w="1523" w:type="dxa"/>
            <w:vMerge w:val="continue"/>
            <w:tcBorders>
              <w:tl2br w:val="nil"/>
              <w:tr2bl w:val="nil"/>
            </w:tcBorders>
            <w:shd w:val="clear" w:color="auto" w:fill="auto"/>
            <w:noWrap/>
            <w:vAlign w:val="center"/>
          </w:tcPr>
          <w:p w14:paraId="6C15776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6386189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r>
      <w:tr w14:paraId="3C900A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0041CAB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15</w:t>
            </w:r>
          </w:p>
        </w:tc>
        <w:tc>
          <w:tcPr>
            <w:tcW w:w="1605" w:type="dxa"/>
            <w:tcBorders>
              <w:tl2br w:val="nil"/>
              <w:tr2bl w:val="nil"/>
            </w:tcBorders>
            <w:shd w:val="clear" w:color="auto" w:fill="auto"/>
            <w:noWrap/>
            <w:vAlign w:val="center"/>
          </w:tcPr>
          <w:p w14:paraId="3DE9CB9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汽车吊</w:t>
            </w:r>
          </w:p>
        </w:tc>
        <w:tc>
          <w:tcPr>
            <w:tcW w:w="712" w:type="dxa"/>
            <w:tcBorders>
              <w:tl2br w:val="nil"/>
              <w:tr2bl w:val="nil"/>
            </w:tcBorders>
            <w:shd w:val="clear" w:color="auto" w:fill="auto"/>
            <w:noWrap/>
            <w:vAlign w:val="center"/>
          </w:tcPr>
          <w:p w14:paraId="1FA9EFD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720" w:type="dxa"/>
            <w:tcBorders>
              <w:tl2br w:val="nil"/>
              <w:tr2bl w:val="nil"/>
            </w:tcBorders>
            <w:shd w:val="clear" w:color="auto" w:fill="auto"/>
            <w:noWrap/>
            <w:vAlign w:val="center"/>
          </w:tcPr>
          <w:p w14:paraId="78F2891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725" w:type="dxa"/>
            <w:tcBorders>
              <w:tl2br w:val="nil"/>
              <w:tr2bl w:val="nil"/>
            </w:tcBorders>
            <w:shd w:val="clear" w:color="auto" w:fill="auto"/>
            <w:noWrap/>
            <w:vAlign w:val="center"/>
          </w:tcPr>
          <w:p w14:paraId="031A8A7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1523" w:type="dxa"/>
            <w:vMerge w:val="continue"/>
            <w:tcBorders>
              <w:tl2br w:val="nil"/>
              <w:tr2bl w:val="nil"/>
            </w:tcBorders>
            <w:shd w:val="clear" w:color="auto" w:fill="auto"/>
            <w:noWrap/>
            <w:vAlign w:val="center"/>
          </w:tcPr>
          <w:p w14:paraId="6822C04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5CAEC44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75</w:t>
            </w:r>
          </w:p>
        </w:tc>
      </w:tr>
      <w:tr w14:paraId="236EC1A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66FA541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16</w:t>
            </w:r>
          </w:p>
        </w:tc>
        <w:tc>
          <w:tcPr>
            <w:tcW w:w="1605" w:type="dxa"/>
            <w:tcBorders>
              <w:tl2br w:val="nil"/>
              <w:tr2bl w:val="nil"/>
            </w:tcBorders>
            <w:shd w:val="clear" w:color="auto" w:fill="auto"/>
            <w:noWrap/>
            <w:vAlign w:val="center"/>
          </w:tcPr>
          <w:p w14:paraId="78A5BB6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水泵</w:t>
            </w:r>
          </w:p>
        </w:tc>
        <w:tc>
          <w:tcPr>
            <w:tcW w:w="712" w:type="dxa"/>
            <w:tcBorders>
              <w:tl2br w:val="nil"/>
              <w:tr2bl w:val="nil"/>
            </w:tcBorders>
            <w:shd w:val="clear" w:color="auto" w:fill="auto"/>
            <w:noWrap/>
            <w:vAlign w:val="center"/>
          </w:tcPr>
          <w:p w14:paraId="612AFD3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720" w:type="dxa"/>
            <w:tcBorders>
              <w:tl2br w:val="nil"/>
              <w:tr2bl w:val="nil"/>
            </w:tcBorders>
            <w:shd w:val="clear" w:color="auto" w:fill="auto"/>
            <w:noWrap/>
            <w:vAlign w:val="center"/>
          </w:tcPr>
          <w:p w14:paraId="72DD9A0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725" w:type="dxa"/>
            <w:tcBorders>
              <w:tl2br w:val="nil"/>
              <w:tr2bl w:val="nil"/>
            </w:tcBorders>
            <w:shd w:val="clear" w:color="auto" w:fill="auto"/>
            <w:noWrap/>
            <w:vAlign w:val="center"/>
          </w:tcPr>
          <w:p w14:paraId="5309B9D2">
            <w:pPr>
              <w:keepNext w:val="0"/>
              <w:keepLines w:val="0"/>
              <w:widowControl/>
              <w:suppressLineNumbers w:val="0"/>
              <w:jc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1523" w:type="dxa"/>
            <w:vMerge w:val="continue"/>
            <w:tcBorders>
              <w:tl2br w:val="nil"/>
              <w:tr2bl w:val="nil"/>
            </w:tcBorders>
            <w:shd w:val="clear" w:color="auto" w:fill="auto"/>
            <w:noWrap/>
            <w:vAlign w:val="center"/>
          </w:tcPr>
          <w:p w14:paraId="13FE778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16B28C7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r>
      <w:tr w14:paraId="631FB7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67" w:type="dxa"/>
            <w:tcBorders>
              <w:tl2br w:val="nil"/>
              <w:tr2bl w:val="nil"/>
            </w:tcBorders>
            <w:shd w:val="clear" w:color="auto" w:fill="auto"/>
            <w:noWrap/>
            <w:vAlign w:val="center"/>
          </w:tcPr>
          <w:p w14:paraId="3C2D020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17</w:t>
            </w:r>
          </w:p>
        </w:tc>
        <w:tc>
          <w:tcPr>
            <w:tcW w:w="1605" w:type="dxa"/>
            <w:tcBorders>
              <w:tl2br w:val="nil"/>
              <w:tr2bl w:val="nil"/>
            </w:tcBorders>
            <w:shd w:val="clear" w:color="auto" w:fill="auto"/>
            <w:noWrap/>
            <w:vAlign w:val="center"/>
          </w:tcPr>
          <w:p w14:paraId="1B89F8E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空压机</w:t>
            </w:r>
          </w:p>
        </w:tc>
        <w:tc>
          <w:tcPr>
            <w:tcW w:w="712" w:type="dxa"/>
            <w:tcBorders>
              <w:tl2br w:val="nil"/>
              <w:tr2bl w:val="nil"/>
            </w:tcBorders>
            <w:shd w:val="clear" w:color="auto" w:fill="auto"/>
            <w:noWrap/>
            <w:vAlign w:val="center"/>
          </w:tcPr>
          <w:p w14:paraId="27C3C54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720" w:type="dxa"/>
            <w:tcBorders>
              <w:tl2br w:val="nil"/>
              <w:tr2bl w:val="nil"/>
            </w:tcBorders>
            <w:shd w:val="clear" w:color="auto" w:fill="auto"/>
            <w:noWrap/>
            <w:vAlign w:val="center"/>
          </w:tcPr>
          <w:p w14:paraId="4A3CFB0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725" w:type="dxa"/>
            <w:tcBorders>
              <w:tl2br w:val="nil"/>
              <w:tr2bl w:val="nil"/>
            </w:tcBorders>
            <w:shd w:val="clear" w:color="auto" w:fill="auto"/>
            <w:noWrap/>
            <w:vAlign w:val="center"/>
          </w:tcPr>
          <w:p w14:paraId="3B2B340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85</w:t>
            </w:r>
          </w:p>
        </w:tc>
        <w:tc>
          <w:tcPr>
            <w:tcW w:w="1523" w:type="dxa"/>
            <w:vMerge w:val="continue"/>
            <w:tcBorders>
              <w:tl2br w:val="nil"/>
              <w:tr2bl w:val="nil"/>
            </w:tcBorders>
            <w:shd w:val="clear" w:color="auto" w:fill="auto"/>
            <w:noWrap/>
            <w:vAlign w:val="center"/>
          </w:tcPr>
          <w:p w14:paraId="5322EC5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1564" w:type="dxa"/>
            <w:tcBorders>
              <w:tl2br w:val="nil"/>
              <w:tr2bl w:val="nil"/>
            </w:tcBorders>
            <w:shd w:val="clear" w:color="auto" w:fill="auto"/>
            <w:noWrap/>
            <w:vAlign w:val="center"/>
          </w:tcPr>
          <w:p w14:paraId="183697B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r>
    </w:tbl>
    <w:p w14:paraId="14A4C4E0">
      <w:pPr>
        <w:pStyle w:val="5"/>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施工</w:t>
      </w:r>
      <w:r>
        <w:rPr>
          <w:rFonts w:hint="default" w:ascii="Times New Roman" w:hAnsi="Times New Roman" w:cs="Times New Roman"/>
          <w:color w:val="auto"/>
        </w:rPr>
        <w:t>噪声影响</w:t>
      </w:r>
      <w:r>
        <w:rPr>
          <w:rFonts w:hint="default" w:ascii="Times New Roman" w:hAnsi="Times New Roman" w:cs="Times New Roman"/>
          <w:color w:val="auto"/>
          <w:lang w:eastAsia="zh-CN"/>
        </w:rPr>
        <w:t>分析</w:t>
      </w:r>
    </w:p>
    <w:p w14:paraId="10B680F3">
      <w:pPr>
        <w:spacing w:before="178" w:line="218" w:lineRule="auto"/>
        <w:ind w:left="488"/>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①预测模式</w:t>
      </w:r>
    </w:p>
    <w:p w14:paraId="56CE9582">
      <w:pPr>
        <w:spacing w:before="185" w:line="359" w:lineRule="auto"/>
        <w:ind w:left="8" w:firstLine="480"/>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根据《环境影响评价技术导则 声环境》(</w:t>
      </w:r>
      <w:r>
        <w:rPr>
          <w:rFonts w:hint="default" w:ascii="Times New Roman" w:hAnsi="Times New Roman" w:eastAsia="Times New Roman" w:cs="Times New Roman"/>
          <w:color w:val="auto"/>
          <w:spacing w:val="0"/>
          <w:w w:val="100"/>
          <w:position w:val="0"/>
          <w:sz w:val="24"/>
          <w:szCs w:val="24"/>
          <w:u w:val="none" w:color="auto"/>
        </w:rPr>
        <w:t>HJ2.4-20</w:t>
      </w:r>
      <w:r>
        <w:rPr>
          <w:rFonts w:hint="default" w:ascii="Times New Roman" w:hAnsi="Times New Roman" w:eastAsia="宋体" w:cs="Times New Roman"/>
          <w:color w:val="auto"/>
          <w:spacing w:val="0"/>
          <w:w w:val="100"/>
          <w:position w:val="0"/>
          <w:sz w:val="24"/>
          <w:szCs w:val="24"/>
          <w:u w:val="none" w:color="auto"/>
          <w:lang w:val="en-US" w:eastAsia="zh-CN"/>
        </w:rPr>
        <w:t>21</w:t>
      </w:r>
      <w:r>
        <w:rPr>
          <w:rFonts w:hint="default" w:ascii="Times New Roman" w:hAnsi="Times New Roman" w:eastAsia="宋体" w:cs="Times New Roman"/>
          <w:color w:val="auto"/>
          <w:spacing w:val="0"/>
          <w:w w:val="100"/>
          <w:position w:val="0"/>
          <w:sz w:val="24"/>
          <w:szCs w:val="24"/>
          <w:u w:val="none" w:color="auto"/>
        </w:rPr>
        <w:t>) ，户外声传播衰减包括几何</w:t>
      </w:r>
      <w:r>
        <w:rPr>
          <w:rFonts w:hint="default" w:ascii="Times New Roman" w:hAnsi="Times New Roman" w:eastAsia="宋体" w:cs="Times New Roman"/>
          <w:color w:val="auto"/>
          <w:spacing w:val="0"/>
          <w:w w:val="100"/>
          <w:position w:val="0"/>
          <w:sz w:val="24"/>
          <w:szCs w:val="24"/>
          <w:u w:val="none" w:color="auto"/>
          <w:lang w:eastAsia="zh-CN"/>
        </w:rPr>
        <w:t>发</w:t>
      </w:r>
      <w:r>
        <w:rPr>
          <w:rFonts w:hint="default" w:ascii="Times New Roman" w:hAnsi="Times New Roman" w:eastAsia="宋体" w:cs="Times New Roman"/>
          <w:color w:val="auto"/>
          <w:spacing w:val="0"/>
          <w:w w:val="100"/>
          <w:position w:val="0"/>
          <w:sz w:val="24"/>
          <w:szCs w:val="24"/>
          <w:u w:val="none" w:color="auto"/>
        </w:rPr>
        <w:t>散、大气吸收、地面效应、屏障屏蔽及其他多方面效应引起的衰减。此处根据项目特点及实际情况，同时考虑最不利条件，拟只考虑几何发散引起的衰减。</w:t>
      </w:r>
    </w:p>
    <w:p w14:paraId="6F7DC932">
      <w:pPr>
        <w:spacing w:line="219" w:lineRule="auto"/>
        <w:ind w:left="485"/>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Times New Roman" w:cs="Times New Roman"/>
          <w:b/>
          <w:bCs/>
          <w:color w:val="auto"/>
          <w:spacing w:val="0"/>
          <w:w w:val="100"/>
          <w:position w:val="0"/>
          <w:sz w:val="24"/>
          <w:szCs w:val="24"/>
          <w:u w:val="none" w:color="auto"/>
        </w:rPr>
        <w:t>Ⅰ</w:t>
      </w:r>
      <w:r>
        <w:rPr>
          <w:rFonts w:hint="default" w:ascii="Times New Roman" w:hAnsi="Times New Roman" w:eastAsia="宋体" w:cs="Times New Roman"/>
          <w:color w:val="auto"/>
          <w:spacing w:val="0"/>
          <w:w w:val="100"/>
          <w:position w:val="0"/>
          <w:sz w:val="24"/>
          <w:szCs w:val="24"/>
          <w:u w:val="none" w:color="auto"/>
        </w:rPr>
        <w:t>、单个点源对预测点的声级计算</w:t>
      </w:r>
    </w:p>
    <w:p w14:paraId="2F8CF292">
      <w:pPr>
        <w:spacing w:before="146" w:line="780" w:lineRule="exact"/>
        <w:ind w:firstLine="420"/>
        <w:textAlignment w:val="center"/>
        <w:rPr>
          <w:rFonts w:hint="default" w:ascii="Times New Roman" w:hAnsi="Times New Roman"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rPr>
        <w:drawing>
          <wp:inline distT="0" distB="0" distL="114300" distR="114300">
            <wp:extent cx="3682365" cy="495300"/>
            <wp:effectExtent l="0" t="0" r="13335" b="0"/>
            <wp:docPr id="5" name="图片 8"/>
            <wp:cNvGraphicFramePr/>
            <a:graphic xmlns:a="http://schemas.openxmlformats.org/drawingml/2006/main">
              <a:graphicData uri="http://schemas.openxmlformats.org/drawingml/2006/picture">
                <pic:pic xmlns:pic="http://schemas.openxmlformats.org/drawingml/2006/picture">
                  <pic:nvPicPr>
                    <pic:cNvPr id="5" name="图片 8"/>
                    <pic:cNvPicPr/>
                  </pic:nvPicPr>
                  <pic:blipFill>
                    <a:blip r:embed="rId68">
                      <a:lum bright="-12000" contrast="24000"/>
                    </a:blip>
                    <a:stretch>
                      <a:fillRect/>
                    </a:stretch>
                  </pic:blipFill>
                  <pic:spPr>
                    <a:xfrm>
                      <a:off x="0" y="0"/>
                      <a:ext cx="3682365" cy="495300"/>
                    </a:xfrm>
                    <a:prstGeom prst="rect">
                      <a:avLst/>
                    </a:prstGeom>
                    <a:noFill/>
                    <a:ln>
                      <a:noFill/>
                    </a:ln>
                  </pic:spPr>
                </pic:pic>
              </a:graphicData>
            </a:graphic>
          </wp:inline>
        </w:drawing>
      </w:r>
    </w:p>
    <w:p w14:paraId="6368B23D">
      <w:pPr>
        <w:spacing w:before="173" w:line="211" w:lineRule="auto"/>
        <w:ind w:left="494"/>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 xml:space="preserve">式中：  </w:t>
      </w:r>
      <w:r>
        <w:rPr>
          <w:rFonts w:hint="default" w:ascii="Times New Roman" w:hAnsi="Times New Roman" w:eastAsia="Times New Roman" w:cs="Times New Roman"/>
          <w:color w:val="auto"/>
          <w:spacing w:val="0"/>
          <w:w w:val="100"/>
          <w:position w:val="0"/>
          <w:sz w:val="24"/>
          <w:szCs w:val="24"/>
          <w:u w:val="none" w:color="auto"/>
        </w:rPr>
        <w:t>LA(r)</w:t>
      </w:r>
      <w:r>
        <w:rPr>
          <w:rFonts w:hint="default" w:ascii="Times New Roman" w:hAnsi="Times New Roman" w:eastAsia="宋体" w:cs="Times New Roman"/>
          <w:color w:val="auto"/>
          <w:spacing w:val="0"/>
          <w:w w:val="100"/>
          <w:position w:val="0"/>
          <w:sz w:val="24"/>
          <w:szCs w:val="24"/>
          <w:u w:val="none" w:color="auto"/>
        </w:rPr>
        <w:t>—距声源</w:t>
      </w:r>
      <w:r>
        <w:rPr>
          <w:rFonts w:hint="default" w:ascii="Times New Roman" w:hAnsi="Times New Roman" w:eastAsia="Times New Roman" w:cs="Times New Roman"/>
          <w:color w:val="auto"/>
          <w:spacing w:val="0"/>
          <w:w w:val="100"/>
          <w:position w:val="0"/>
          <w:sz w:val="24"/>
          <w:szCs w:val="24"/>
          <w:u w:val="none" w:color="auto"/>
        </w:rPr>
        <w:t>r</w:t>
      </w:r>
      <w:r>
        <w:rPr>
          <w:rFonts w:hint="default" w:ascii="Times New Roman" w:hAnsi="Times New Roman" w:eastAsia="宋体" w:cs="Times New Roman"/>
          <w:color w:val="auto"/>
          <w:spacing w:val="0"/>
          <w:w w:val="100"/>
          <w:position w:val="0"/>
          <w:sz w:val="24"/>
          <w:szCs w:val="24"/>
          <w:u w:val="none" w:color="auto"/>
        </w:rPr>
        <w:t>处的</w:t>
      </w:r>
      <w:r>
        <w:rPr>
          <w:rFonts w:hint="default" w:ascii="Times New Roman" w:hAnsi="Times New Roman" w:eastAsia="Times New Roman" w:cs="Times New Roman"/>
          <w:color w:val="auto"/>
          <w:spacing w:val="0"/>
          <w:w w:val="100"/>
          <w:position w:val="0"/>
          <w:sz w:val="24"/>
          <w:szCs w:val="24"/>
          <w:u w:val="none" w:color="auto"/>
        </w:rPr>
        <w:t>A</w:t>
      </w:r>
      <w:r>
        <w:rPr>
          <w:rFonts w:hint="default" w:ascii="Times New Roman" w:hAnsi="Times New Roman" w:eastAsia="宋体" w:cs="Times New Roman"/>
          <w:color w:val="auto"/>
          <w:spacing w:val="0"/>
          <w:w w:val="100"/>
          <w:position w:val="0"/>
          <w:sz w:val="24"/>
          <w:szCs w:val="24"/>
          <w:u w:val="none" w:color="auto"/>
        </w:rPr>
        <w:t xml:space="preserve">声级， </w:t>
      </w:r>
      <w:r>
        <w:rPr>
          <w:rFonts w:hint="default" w:ascii="Times New Roman" w:hAnsi="Times New Roman" w:eastAsia="Times New Roman" w:cs="Times New Roman"/>
          <w:color w:val="auto"/>
          <w:spacing w:val="0"/>
          <w:w w:val="100"/>
          <w:position w:val="0"/>
          <w:sz w:val="24"/>
          <w:szCs w:val="24"/>
          <w:u w:val="none" w:color="auto"/>
        </w:rPr>
        <w:t>dB(A)</w:t>
      </w:r>
      <w:r>
        <w:rPr>
          <w:rFonts w:hint="default" w:ascii="Times New Roman" w:hAnsi="Times New Roman" w:eastAsia="宋体" w:cs="Times New Roman"/>
          <w:color w:val="auto"/>
          <w:spacing w:val="0"/>
          <w:w w:val="100"/>
          <w:position w:val="0"/>
          <w:sz w:val="24"/>
          <w:szCs w:val="24"/>
          <w:u w:val="none" w:color="auto"/>
        </w:rPr>
        <w:t>；</w:t>
      </w:r>
    </w:p>
    <w:p w14:paraId="7A03FA72">
      <w:pPr>
        <w:spacing w:before="147" w:line="511" w:lineRule="exact"/>
        <w:ind w:left="1324"/>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Times New Roman" w:cs="Times New Roman"/>
          <w:color w:val="auto"/>
          <w:spacing w:val="0"/>
          <w:w w:val="100"/>
          <w:position w:val="0"/>
          <w:sz w:val="24"/>
          <w:szCs w:val="24"/>
          <w:u w:val="none" w:color="auto"/>
        </w:rPr>
        <w:t>LA(r</w:t>
      </w:r>
      <w:r>
        <w:rPr>
          <w:rFonts w:hint="default" w:ascii="Times New Roman" w:hAnsi="Times New Roman" w:eastAsia="Times New Roman" w:cs="Times New Roman"/>
          <w:color w:val="auto"/>
          <w:spacing w:val="0"/>
          <w:w w:val="100"/>
          <w:position w:val="0"/>
          <w:sz w:val="15"/>
          <w:szCs w:val="15"/>
          <w:u w:val="none" w:color="auto"/>
        </w:rPr>
        <w:t xml:space="preserve">0 </w:t>
      </w:r>
      <w:r>
        <w:rPr>
          <w:rFonts w:hint="default" w:ascii="Times New Roman" w:hAnsi="Times New Roman" w:eastAsia="Times New Roman" w:cs="Times New Roman"/>
          <w:color w:val="auto"/>
          <w:spacing w:val="0"/>
          <w:w w:val="100"/>
          <w:position w:val="0"/>
          <w:sz w:val="24"/>
          <w:szCs w:val="24"/>
          <w:u w:val="none" w:color="auto"/>
        </w:rPr>
        <w:t xml:space="preserve">)  </w:t>
      </w:r>
      <w:r>
        <w:rPr>
          <w:rFonts w:hint="default" w:ascii="Times New Roman" w:hAnsi="Times New Roman" w:eastAsia="宋体" w:cs="Times New Roman"/>
          <w:color w:val="auto"/>
          <w:spacing w:val="0"/>
          <w:w w:val="100"/>
          <w:position w:val="0"/>
          <w:sz w:val="24"/>
          <w:szCs w:val="24"/>
          <w:u w:val="none" w:color="auto"/>
        </w:rPr>
        <w:t>—参考位置</w:t>
      </w:r>
      <w:r>
        <w:rPr>
          <w:rFonts w:hint="default" w:ascii="Times New Roman" w:hAnsi="Times New Roman" w:eastAsia="Times New Roman" w:cs="Times New Roman"/>
          <w:color w:val="auto"/>
          <w:spacing w:val="0"/>
          <w:w w:val="100"/>
          <w:position w:val="0"/>
          <w:sz w:val="24"/>
          <w:szCs w:val="24"/>
          <w:u w:val="none" w:color="auto"/>
        </w:rPr>
        <w:t>r</w:t>
      </w:r>
      <w:r>
        <w:rPr>
          <w:rFonts w:hint="default" w:ascii="Times New Roman" w:hAnsi="Times New Roman" w:eastAsia="Times New Roman" w:cs="Times New Roman"/>
          <w:color w:val="auto"/>
          <w:spacing w:val="0"/>
          <w:w w:val="100"/>
          <w:position w:val="0"/>
          <w:sz w:val="15"/>
          <w:szCs w:val="15"/>
          <w:u w:val="none" w:color="auto"/>
        </w:rPr>
        <w:t>0</w:t>
      </w:r>
      <w:r>
        <w:rPr>
          <w:rFonts w:hint="default" w:ascii="Times New Roman" w:hAnsi="Times New Roman" w:eastAsia="宋体" w:cs="Times New Roman"/>
          <w:color w:val="auto"/>
          <w:spacing w:val="0"/>
          <w:w w:val="100"/>
          <w:position w:val="0"/>
          <w:sz w:val="24"/>
          <w:szCs w:val="24"/>
          <w:u w:val="none" w:color="auto"/>
        </w:rPr>
        <w:t>处的</w:t>
      </w:r>
      <w:r>
        <w:rPr>
          <w:rFonts w:hint="default" w:ascii="Times New Roman" w:hAnsi="Times New Roman" w:eastAsia="Times New Roman" w:cs="Times New Roman"/>
          <w:color w:val="auto"/>
          <w:spacing w:val="0"/>
          <w:w w:val="100"/>
          <w:position w:val="0"/>
          <w:sz w:val="24"/>
          <w:szCs w:val="24"/>
          <w:u w:val="none" w:color="auto"/>
        </w:rPr>
        <w:t>A</w:t>
      </w:r>
      <w:r>
        <w:rPr>
          <w:rFonts w:hint="default" w:ascii="Times New Roman" w:hAnsi="Times New Roman" w:eastAsia="宋体" w:cs="Times New Roman"/>
          <w:color w:val="auto"/>
          <w:spacing w:val="0"/>
          <w:w w:val="100"/>
          <w:position w:val="0"/>
          <w:sz w:val="24"/>
          <w:szCs w:val="24"/>
          <w:u w:val="none" w:color="auto"/>
        </w:rPr>
        <w:t xml:space="preserve">声级， </w:t>
      </w:r>
      <w:r>
        <w:rPr>
          <w:rFonts w:hint="default" w:ascii="Times New Roman" w:hAnsi="Times New Roman" w:eastAsia="Times New Roman" w:cs="Times New Roman"/>
          <w:color w:val="auto"/>
          <w:spacing w:val="0"/>
          <w:w w:val="100"/>
          <w:position w:val="0"/>
          <w:sz w:val="24"/>
          <w:szCs w:val="24"/>
          <w:u w:val="none" w:color="auto"/>
        </w:rPr>
        <w:t>dB(A)</w:t>
      </w:r>
      <w:r>
        <w:rPr>
          <w:rFonts w:hint="default" w:ascii="Times New Roman" w:hAnsi="Times New Roman" w:eastAsia="宋体" w:cs="Times New Roman"/>
          <w:color w:val="auto"/>
          <w:spacing w:val="0"/>
          <w:w w:val="100"/>
          <w:position w:val="0"/>
          <w:sz w:val="24"/>
          <w:szCs w:val="24"/>
          <w:u w:val="none" w:color="auto"/>
        </w:rPr>
        <w:t>；</w:t>
      </w:r>
    </w:p>
    <w:p w14:paraId="06B2B327">
      <w:pPr>
        <w:spacing w:line="238" w:lineRule="auto"/>
        <w:ind w:left="1441"/>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Times New Roman" w:cs="Times New Roman"/>
          <w:color w:val="auto"/>
          <w:spacing w:val="0"/>
          <w:w w:val="100"/>
          <w:position w:val="0"/>
          <w:sz w:val="24"/>
          <w:szCs w:val="24"/>
          <w:u w:val="none" w:color="auto"/>
        </w:rPr>
        <w:t xml:space="preserve">r  </w:t>
      </w:r>
      <w:r>
        <w:rPr>
          <w:rFonts w:hint="default" w:ascii="Times New Roman" w:hAnsi="Times New Roman" w:eastAsia="宋体" w:cs="Times New Roman"/>
          <w:color w:val="auto"/>
          <w:spacing w:val="0"/>
          <w:w w:val="100"/>
          <w:position w:val="0"/>
          <w:sz w:val="24"/>
          <w:szCs w:val="24"/>
          <w:u w:val="none" w:color="auto"/>
        </w:rPr>
        <w:t>—预测点距离声源的距离；</w:t>
      </w:r>
    </w:p>
    <w:p w14:paraId="0EDA53AA">
      <w:pPr>
        <w:spacing w:before="159" w:line="229" w:lineRule="auto"/>
        <w:ind w:left="1441"/>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Times New Roman" w:cs="Times New Roman"/>
          <w:color w:val="auto"/>
          <w:spacing w:val="0"/>
          <w:w w:val="100"/>
          <w:position w:val="0"/>
          <w:sz w:val="24"/>
          <w:szCs w:val="24"/>
          <w:u w:val="none" w:color="auto"/>
        </w:rPr>
        <w:t>r</w:t>
      </w:r>
      <w:r>
        <w:rPr>
          <w:rFonts w:hint="default" w:ascii="Times New Roman" w:hAnsi="Times New Roman" w:eastAsia="Times New Roman" w:cs="Times New Roman"/>
          <w:color w:val="auto"/>
          <w:spacing w:val="0"/>
          <w:w w:val="100"/>
          <w:position w:val="0"/>
          <w:sz w:val="15"/>
          <w:szCs w:val="15"/>
          <w:u w:val="none" w:color="auto"/>
        </w:rPr>
        <w:t>0</w:t>
      </w:r>
      <w:r>
        <w:rPr>
          <w:rFonts w:hint="default" w:ascii="Times New Roman" w:hAnsi="Times New Roman" w:eastAsia="宋体" w:cs="Times New Roman"/>
          <w:color w:val="auto"/>
          <w:spacing w:val="0"/>
          <w:w w:val="100"/>
          <w:position w:val="0"/>
          <w:sz w:val="24"/>
          <w:szCs w:val="24"/>
          <w:u w:val="none" w:color="auto"/>
        </w:rPr>
        <w:t>—参考位置距离声源的距离；</w:t>
      </w:r>
    </w:p>
    <w:p w14:paraId="1421F5FA">
      <w:pPr>
        <w:spacing w:before="169" w:line="211" w:lineRule="auto"/>
        <w:ind w:left="1497"/>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Δ</w:t>
      </w:r>
      <w:r>
        <w:rPr>
          <w:rFonts w:hint="default" w:ascii="Times New Roman" w:hAnsi="Times New Roman" w:eastAsia="Times New Roman" w:cs="Times New Roman"/>
          <w:color w:val="auto"/>
          <w:spacing w:val="0"/>
          <w:w w:val="100"/>
          <w:position w:val="0"/>
          <w:sz w:val="24"/>
          <w:szCs w:val="24"/>
          <w:u w:val="none" w:color="auto"/>
        </w:rPr>
        <w:t>L —</w:t>
      </w:r>
      <w:r>
        <w:rPr>
          <w:rFonts w:hint="default" w:ascii="Times New Roman" w:hAnsi="Times New Roman" w:eastAsia="宋体" w:cs="Times New Roman"/>
          <w:color w:val="auto"/>
          <w:spacing w:val="0"/>
          <w:w w:val="100"/>
          <w:position w:val="0"/>
          <w:sz w:val="24"/>
          <w:szCs w:val="24"/>
          <w:u w:val="none" w:color="auto"/>
        </w:rPr>
        <w:t xml:space="preserve">声屏障等引起的噪声衰减量， </w:t>
      </w:r>
      <w:r>
        <w:rPr>
          <w:rFonts w:hint="default" w:ascii="Times New Roman" w:hAnsi="Times New Roman" w:eastAsia="Times New Roman" w:cs="Times New Roman"/>
          <w:color w:val="auto"/>
          <w:spacing w:val="0"/>
          <w:w w:val="100"/>
          <w:position w:val="0"/>
          <w:sz w:val="24"/>
          <w:szCs w:val="24"/>
          <w:u w:val="none" w:color="auto"/>
        </w:rPr>
        <w:t>dB(A)</w:t>
      </w:r>
      <w:r>
        <w:rPr>
          <w:rFonts w:hint="default" w:ascii="Times New Roman" w:hAnsi="Times New Roman" w:eastAsia="宋体" w:cs="Times New Roman"/>
          <w:color w:val="auto"/>
          <w:spacing w:val="0"/>
          <w:w w:val="100"/>
          <w:position w:val="0"/>
          <w:sz w:val="24"/>
          <w:szCs w:val="24"/>
          <w:u w:val="none" w:color="auto"/>
        </w:rPr>
        <w:t>。</w:t>
      </w:r>
    </w:p>
    <w:p w14:paraId="789C8974">
      <w:pPr>
        <w:spacing w:before="192" w:line="220" w:lineRule="auto"/>
        <w:ind w:left="485"/>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Times New Roman" w:cs="Times New Roman"/>
          <w:b/>
          <w:bCs/>
          <w:color w:val="auto"/>
          <w:spacing w:val="0"/>
          <w:w w:val="100"/>
          <w:position w:val="0"/>
          <w:sz w:val="24"/>
          <w:szCs w:val="24"/>
          <w:u w:val="none" w:color="auto"/>
        </w:rPr>
        <w:t>Ⅱ</w:t>
      </w:r>
      <w:r>
        <w:rPr>
          <w:rFonts w:hint="default" w:ascii="Times New Roman" w:hAnsi="Times New Roman" w:eastAsia="宋体" w:cs="Times New Roman"/>
          <w:color w:val="auto"/>
          <w:spacing w:val="0"/>
          <w:w w:val="100"/>
          <w:position w:val="0"/>
          <w:sz w:val="24"/>
          <w:szCs w:val="24"/>
          <w:u w:val="none" w:color="auto"/>
        </w:rPr>
        <w:t>、多个点源对预测点的声级叠加计算</w:t>
      </w:r>
    </w:p>
    <w:p w14:paraId="58AA59C2">
      <w:pPr>
        <w:spacing w:before="146" w:line="744" w:lineRule="exact"/>
        <w:ind w:firstLine="420"/>
        <w:textAlignment w:val="center"/>
        <w:rPr>
          <w:rFonts w:hint="default" w:ascii="Times New Roman" w:hAnsi="Times New Roman"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rPr>
        <w:drawing>
          <wp:inline distT="0" distB="0" distL="114300" distR="114300">
            <wp:extent cx="2049780" cy="469265"/>
            <wp:effectExtent l="0" t="0" r="0" b="0"/>
            <wp:docPr id="13" name="图片 9"/>
            <wp:cNvGraphicFramePr/>
            <a:graphic xmlns:a="http://schemas.openxmlformats.org/drawingml/2006/main">
              <a:graphicData uri="http://schemas.openxmlformats.org/drawingml/2006/picture">
                <pic:pic xmlns:pic="http://schemas.openxmlformats.org/drawingml/2006/picture">
                  <pic:nvPicPr>
                    <pic:cNvPr id="13" name="图片 9"/>
                    <pic:cNvPicPr/>
                  </pic:nvPicPr>
                  <pic:blipFill>
                    <a:blip r:embed="rId69">
                      <a:lum bright="-12000" contrast="24000"/>
                    </a:blip>
                    <a:srcRect l="-2509" t="672"/>
                    <a:stretch>
                      <a:fillRect/>
                    </a:stretch>
                  </pic:blipFill>
                  <pic:spPr>
                    <a:xfrm>
                      <a:off x="0" y="0"/>
                      <a:ext cx="2049780" cy="469265"/>
                    </a:xfrm>
                    <a:prstGeom prst="rect">
                      <a:avLst/>
                    </a:prstGeom>
                    <a:noFill/>
                    <a:ln>
                      <a:noFill/>
                    </a:ln>
                  </pic:spPr>
                </pic:pic>
              </a:graphicData>
            </a:graphic>
          </wp:inline>
        </w:drawing>
      </w:r>
    </w:p>
    <w:p w14:paraId="50E35241">
      <w:pPr>
        <w:spacing w:before="173" w:line="211" w:lineRule="auto"/>
        <w:ind w:left="494"/>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 xml:space="preserve">式中：  </w:t>
      </w:r>
      <w:r>
        <w:rPr>
          <w:rFonts w:hint="default" w:ascii="Times New Roman" w:hAnsi="Times New Roman" w:eastAsia="Times New Roman" w:cs="Times New Roman"/>
          <w:color w:val="auto"/>
          <w:spacing w:val="0"/>
          <w:w w:val="100"/>
          <w:position w:val="0"/>
          <w:sz w:val="24"/>
          <w:szCs w:val="24"/>
          <w:u w:val="none" w:color="auto"/>
        </w:rPr>
        <w:t>L</w:t>
      </w:r>
      <w:r>
        <w:rPr>
          <w:rFonts w:hint="default" w:ascii="Times New Roman" w:hAnsi="Times New Roman" w:eastAsia="Times New Roman" w:cs="Times New Roman"/>
          <w:color w:val="auto"/>
          <w:spacing w:val="0"/>
          <w:w w:val="100"/>
          <w:position w:val="0"/>
          <w:sz w:val="15"/>
          <w:szCs w:val="15"/>
          <w:u w:val="none" w:color="auto"/>
        </w:rPr>
        <w:t xml:space="preserve">eq </w:t>
      </w:r>
      <w:r>
        <w:rPr>
          <w:rFonts w:hint="default" w:ascii="Times New Roman" w:hAnsi="Times New Roman" w:eastAsia="宋体" w:cs="Times New Roman"/>
          <w:color w:val="auto"/>
          <w:spacing w:val="0"/>
          <w:w w:val="100"/>
          <w:position w:val="0"/>
          <w:sz w:val="12"/>
          <w:szCs w:val="12"/>
          <w:u w:val="none" w:color="auto"/>
        </w:rPr>
        <w:t xml:space="preserve">(总) </w:t>
      </w:r>
      <w:r>
        <w:rPr>
          <w:rFonts w:hint="default" w:ascii="Times New Roman" w:hAnsi="Times New Roman" w:eastAsia="宋体" w:cs="Times New Roman"/>
          <w:color w:val="auto"/>
          <w:spacing w:val="0"/>
          <w:w w:val="100"/>
          <w:position w:val="0"/>
          <w:sz w:val="24"/>
          <w:szCs w:val="24"/>
          <w:u w:val="none" w:color="auto"/>
        </w:rPr>
        <w:t xml:space="preserve">—建设项目在预测点的等效声级贡献值， </w:t>
      </w:r>
      <w:r>
        <w:rPr>
          <w:rFonts w:hint="default" w:ascii="Times New Roman" w:hAnsi="Times New Roman" w:eastAsia="Times New Roman" w:cs="Times New Roman"/>
          <w:color w:val="auto"/>
          <w:spacing w:val="0"/>
          <w:w w:val="100"/>
          <w:position w:val="0"/>
          <w:sz w:val="24"/>
          <w:szCs w:val="24"/>
          <w:u w:val="none" w:color="auto"/>
        </w:rPr>
        <w:t>dB(A)</w:t>
      </w:r>
      <w:r>
        <w:rPr>
          <w:rFonts w:hint="default" w:ascii="Times New Roman" w:hAnsi="Times New Roman" w:eastAsia="宋体" w:cs="Times New Roman"/>
          <w:color w:val="auto"/>
          <w:spacing w:val="0"/>
          <w:w w:val="100"/>
          <w:position w:val="0"/>
          <w:sz w:val="24"/>
          <w:szCs w:val="24"/>
          <w:u w:val="none" w:color="auto"/>
        </w:rPr>
        <w:t>；</w:t>
      </w:r>
    </w:p>
    <w:p w14:paraId="1B49303C">
      <w:pPr>
        <w:spacing w:before="148" w:line="323" w:lineRule="exact"/>
        <w:ind w:left="1444"/>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Times New Roman" w:cs="Times New Roman"/>
          <w:color w:val="auto"/>
          <w:spacing w:val="0"/>
          <w:w w:val="100"/>
          <w:position w:val="0"/>
          <w:sz w:val="24"/>
          <w:szCs w:val="24"/>
          <w:u w:val="none" w:color="auto"/>
        </w:rPr>
        <w:t>L</w:t>
      </w:r>
      <w:r>
        <w:rPr>
          <w:rFonts w:hint="default" w:ascii="Times New Roman" w:hAnsi="Times New Roman" w:eastAsia="Times New Roman" w:cs="Times New Roman"/>
          <w:color w:val="auto"/>
          <w:spacing w:val="0"/>
          <w:w w:val="100"/>
          <w:position w:val="0"/>
          <w:sz w:val="15"/>
          <w:szCs w:val="15"/>
          <w:u w:val="none" w:color="auto"/>
        </w:rPr>
        <w:t xml:space="preserve">epi   </w:t>
      </w:r>
      <w:r>
        <w:rPr>
          <w:rFonts w:hint="default" w:ascii="Times New Roman" w:hAnsi="Times New Roman" w:eastAsia="宋体" w:cs="Times New Roman"/>
          <w:color w:val="auto"/>
          <w:spacing w:val="0"/>
          <w:w w:val="100"/>
          <w:position w:val="0"/>
          <w:sz w:val="24"/>
          <w:szCs w:val="24"/>
          <w:u w:val="none" w:color="auto"/>
        </w:rPr>
        <w:t xml:space="preserve">—第 </w:t>
      </w:r>
      <w:r>
        <w:rPr>
          <w:rFonts w:hint="default" w:ascii="Times New Roman" w:hAnsi="Times New Roman" w:eastAsia="Times New Roman" w:cs="Times New Roman"/>
          <w:color w:val="auto"/>
          <w:spacing w:val="0"/>
          <w:w w:val="100"/>
          <w:position w:val="0"/>
          <w:sz w:val="24"/>
          <w:szCs w:val="24"/>
          <w:u w:val="none" w:color="auto"/>
        </w:rPr>
        <w:t xml:space="preserve">i  </w:t>
      </w:r>
      <w:r>
        <w:rPr>
          <w:rFonts w:hint="default" w:ascii="Times New Roman" w:hAnsi="Times New Roman" w:eastAsia="宋体" w:cs="Times New Roman"/>
          <w:color w:val="auto"/>
          <w:spacing w:val="0"/>
          <w:w w:val="100"/>
          <w:position w:val="0"/>
          <w:sz w:val="24"/>
          <w:szCs w:val="24"/>
          <w:u w:val="none" w:color="auto"/>
        </w:rPr>
        <w:t xml:space="preserve">个声源在预测点产生的 </w:t>
      </w:r>
      <w:r>
        <w:rPr>
          <w:rFonts w:hint="default" w:ascii="Times New Roman" w:hAnsi="Times New Roman" w:eastAsia="Times New Roman" w:cs="Times New Roman"/>
          <w:color w:val="auto"/>
          <w:spacing w:val="0"/>
          <w:w w:val="100"/>
          <w:position w:val="0"/>
          <w:sz w:val="24"/>
          <w:szCs w:val="24"/>
          <w:u w:val="none" w:color="auto"/>
        </w:rPr>
        <w:t xml:space="preserve">A  </w:t>
      </w:r>
      <w:r>
        <w:rPr>
          <w:rFonts w:hint="default" w:ascii="Times New Roman" w:hAnsi="Times New Roman" w:eastAsia="宋体" w:cs="Times New Roman"/>
          <w:color w:val="auto"/>
          <w:spacing w:val="0"/>
          <w:w w:val="100"/>
          <w:position w:val="0"/>
          <w:sz w:val="24"/>
          <w:szCs w:val="24"/>
          <w:u w:val="none" w:color="auto"/>
        </w:rPr>
        <w:t xml:space="preserve">声级， </w:t>
      </w:r>
      <w:r>
        <w:rPr>
          <w:rFonts w:hint="default" w:ascii="Times New Roman" w:hAnsi="Times New Roman" w:eastAsia="Times New Roman" w:cs="Times New Roman"/>
          <w:color w:val="auto"/>
          <w:spacing w:val="0"/>
          <w:w w:val="100"/>
          <w:position w:val="0"/>
          <w:sz w:val="24"/>
          <w:szCs w:val="24"/>
          <w:u w:val="none" w:color="auto"/>
        </w:rPr>
        <w:t>dB(A)</w:t>
      </w:r>
      <w:r>
        <w:rPr>
          <w:rFonts w:hint="default" w:ascii="Times New Roman" w:hAnsi="Times New Roman" w:eastAsia="宋体" w:cs="Times New Roman"/>
          <w:color w:val="auto"/>
          <w:spacing w:val="0"/>
          <w:w w:val="100"/>
          <w:position w:val="0"/>
          <w:sz w:val="24"/>
          <w:szCs w:val="24"/>
          <w:u w:val="none" w:color="auto"/>
        </w:rPr>
        <w:t>；</w:t>
      </w:r>
    </w:p>
    <w:p w14:paraId="668A90AC">
      <w:pPr>
        <w:spacing w:before="192" w:line="220" w:lineRule="auto"/>
        <w:ind w:left="485"/>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III、预测点昼、夜间噪声预测值计算</w:t>
      </w:r>
    </w:p>
    <w:p w14:paraId="030709A8">
      <w:pPr>
        <w:spacing w:before="147" w:line="661" w:lineRule="exact"/>
        <w:ind w:firstLine="420"/>
        <w:textAlignment w:val="center"/>
        <w:rPr>
          <w:rFonts w:hint="default" w:ascii="Times New Roman" w:hAnsi="Times New Roman"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rPr>
        <w:drawing>
          <wp:inline distT="0" distB="0" distL="114300" distR="114300">
            <wp:extent cx="2042160" cy="419735"/>
            <wp:effectExtent l="0" t="0" r="15240" b="18415"/>
            <wp:docPr id="15" name="图片 10"/>
            <wp:cNvGraphicFramePr/>
            <a:graphic xmlns:a="http://schemas.openxmlformats.org/drawingml/2006/main">
              <a:graphicData uri="http://schemas.openxmlformats.org/drawingml/2006/picture">
                <pic:pic xmlns:pic="http://schemas.openxmlformats.org/drawingml/2006/picture">
                  <pic:nvPicPr>
                    <pic:cNvPr id="15" name="图片 10"/>
                    <pic:cNvPicPr/>
                  </pic:nvPicPr>
                  <pic:blipFill>
                    <a:blip r:embed="rId70">
                      <a:lum bright="-12000" contrast="24000"/>
                    </a:blip>
                    <a:stretch>
                      <a:fillRect/>
                    </a:stretch>
                  </pic:blipFill>
                  <pic:spPr>
                    <a:xfrm>
                      <a:off x="0" y="0"/>
                      <a:ext cx="2042160" cy="419735"/>
                    </a:xfrm>
                    <a:prstGeom prst="rect">
                      <a:avLst/>
                    </a:prstGeom>
                    <a:noFill/>
                    <a:ln>
                      <a:noFill/>
                    </a:ln>
                  </pic:spPr>
                </pic:pic>
              </a:graphicData>
            </a:graphic>
          </wp:inline>
        </w:drawing>
      </w:r>
    </w:p>
    <w:p w14:paraId="6668FE40">
      <w:pPr>
        <w:spacing w:before="171" w:line="218" w:lineRule="auto"/>
        <w:ind w:left="487"/>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②预测结果及分析</w:t>
      </w:r>
    </w:p>
    <w:p w14:paraId="3393411D">
      <w:pPr>
        <w:spacing w:before="187" w:line="363" w:lineRule="auto"/>
        <w:ind w:left="8" w:firstLine="480"/>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rPr>
        <w:t>根据上述预测公式</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施工机械噪声在不考虑遮挡情况下，预测施工期主要施工机械满负荷运行时噪声影响程度和影响范围。根据施工机械种类及其源强，按照前述预测方法进行预测，各施工机械单独运行时噪声影响预测结果见表</w:t>
      </w:r>
      <w:r>
        <w:rPr>
          <w:rFonts w:hint="default" w:ascii="Times New Roman" w:hAnsi="Times New Roman" w:eastAsia="宋体" w:cs="Times New Roman"/>
          <w:color w:val="auto"/>
          <w:spacing w:val="0"/>
          <w:w w:val="100"/>
          <w:position w:val="0"/>
          <w:sz w:val="24"/>
          <w:szCs w:val="24"/>
          <w:u w:val="none" w:color="auto"/>
          <w:lang w:val="en-US" w:eastAsia="zh-CN"/>
        </w:rPr>
        <w:t>4.1-7</w:t>
      </w:r>
      <w:r>
        <w:rPr>
          <w:rFonts w:hint="default" w:ascii="Times New Roman" w:hAnsi="Times New Roman" w:eastAsia="宋体" w:cs="Times New Roman"/>
          <w:color w:val="auto"/>
          <w:spacing w:val="0"/>
          <w:w w:val="100"/>
          <w:position w:val="0"/>
          <w:sz w:val="24"/>
          <w:szCs w:val="24"/>
          <w:u w:val="none" w:color="auto"/>
        </w:rPr>
        <w:t>，多种施工活动同时作业的噪声叠加影响预测结果见表</w:t>
      </w:r>
      <w:r>
        <w:rPr>
          <w:rFonts w:hint="default" w:ascii="Times New Roman" w:hAnsi="Times New Roman" w:eastAsia="宋体" w:cs="Times New Roman"/>
          <w:color w:val="auto"/>
          <w:spacing w:val="0"/>
          <w:w w:val="100"/>
          <w:position w:val="0"/>
          <w:sz w:val="24"/>
          <w:szCs w:val="24"/>
          <w:u w:val="none" w:color="auto"/>
          <w:lang w:val="en-US" w:eastAsia="zh-CN"/>
        </w:rPr>
        <w:t>4.1-8</w:t>
      </w:r>
      <w:r>
        <w:rPr>
          <w:rFonts w:hint="default" w:ascii="Times New Roman" w:hAnsi="Times New Roman" w:eastAsia="宋体" w:cs="Times New Roman"/>
          <w:color w:val="auto"/>
          <w:spacing w:val="0"/>
          <w:w w:val="100"/>
          <w:position w:val="0"/>
          <w:sz w:val="24"/>
          <w:szCs w:val="24"/>
          <w:u w:val="none" w:color="auto"/>
          <w:lang w:eastAsia="zh-CN"/>
        </w:rPr>
        <w:t>。</w:t>
      </w:r>
    </w:p>
    <w:p w14:paraId="18AB95AF">
      <w:pPr>
        <w:spacing w:before="68" w:line="212" w:lineRule="auto"/>
        <w:ind w:left="1705"/>
        <w:rPr>
          <w:rFonts w:hint="default" w:ascii="Times New Roman" w:hAnsi="Times New Roman" w:cs="Times New Roman"/>
          <w:color w:val="FF0000"/>
          <w:spacing w:val="0"/>
          <w:w w:val="100"/>
          <w:position w:val="0"/>
          <w:sz w:val="2"/>
          <w:u w:val="none" w:color="auto"/>
        </w:rPr>
      </w:pPr>
      <w:r>
        <w:rPr>
          <w:rFonts w:hint="default" w:ascii="Times New Roman" w:hAnsi="Times New Roman" w:eastAsia="宋体" w:cs="Times New Roman"/>
          <w:b/>
          <w:bCs/>
          <w:color w:val="auto"/>
          <w:spacing w:val="0"/>
          <w:w w:val="100"/>
          <w:position w:val="0"/>
          <w:sz w:val="21"/>
          <w:szCs w:val="21"/>
          <w:u w:val="none" w:color="auto"/>
        </w:rPr>
        <w:t>表</w:t>
      </w:r>
      <w:r>
        <w:rPr>
          <w:rFonts w:hint="default" w:ascii="Times New Roman" w:hAnsi="Times New Roman" w:eastAsia="宋体" w:cs="Times New Roman"/>
          <w:b/>
          <w:bCs/>
          <w:color w:val="auto"/>
          <w:spacing w:val="0"/>
          <w:w w:val="100"/>
          <w:position w:val="0"/>
          <w:sz w:val="21"/>
          <w:szCs w:val="21"/>
          <w:u w:val="none" w:color="auto"/>
          <w:lang w:val="en-US" w:eastAsia="zh-CN"/>
        </w:rPr>
        <w:t>4.2-4</w:t>
      </w:r>
      <w:r>
        <w:rPr>
          <w:rFonts w:hint="default" w:ascii="Times New Roman" w:hAnsi="Times New Roman" w:eastAsia="Times New Roman" w:cs="Times New Roman"/>
          <w:b/>
          <w:bCs/>
          <w:color w:val="auto"/>
          <w:spacing w:val="0"/>
          <w:w w:val="100"/>
          <w:position w:val="0"/>
          <w:sz w:val="21"/>
          <w:szCs w:val="21"/>
          <w:u w:val="none" w:color="auto"/>
        </w:rPr>
        <w:t xml:space="preserve"> </w:t>
      </w:r>
      <w:r>
        <w:rPr>
          <w:rFonts w:hint="default" w:ascii="Times New Roman" w:hAnsi="Times New Roman" w:eastAsia="宋体" w:cs="Times New Roman"/>
          <w:b/>
          <w:bCs/>
          <w:color w:val="auto"/>
          <w:spacing w:val="0"/>
          <w:w w:val="100"/>
          <w:position w:val="0"/>
          <w:sz w:val="21"/>
          <w:szCs w:val="21"/>
          <w:u w:val="none" w:color="auto"/>
        </w:rPr>
        <w:t xml:space="preserve">各施工机械单独运行时噪声影响预测    单位 </w:t>
      </w:r>
      <w:r>
        <w:rPr>
          <w:rFonts w:hint="default" w:ascii="Times New Roman" w:hAnsi="Times New Roman" w:eastAsia="Times New Roman" w:cs="Times New Roman"/>
          <w:b/>
          <w:bCs/>
          <w:color w:val="auto"/>
          <w:spacing w:val="0"/>
          <w:w w:val="100"/>
          <w:position w:val="0"/>
          <w:sz w:val="21"/>
          <w:szCs w:val="21"/>
          <w:u w:val="none" w:color="auto"/>
        </w:rPr>
        <w:t>dB(A)</w:t>
      </w:r>
    </w:p>
    <w:tbl>
      <w:tblPr>
        <w:tblStyle w:val="95"/>
        <w:tblW w:w="501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382"/>
        <w:gridCol w:w="914"/>
        <w:gridCol w:w="603"/>
        <w:gridCol w:w="601"/>
        <w:gridCol w:w="575"/>
        <w:gridCol w:w="720"/>
        <w:gridCol w:w="647"/>
        <w:gridCol w:w="599"/>
        <w:gridCol w:w="741"/>
        <w:gridCol w:w="613"/>
        <w:gridCol w:w="497"/>
        <w:gridCol w:w="468"/>
      </w:tblGrid>
      <w:tr w14:paraId="2C2E9E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vMerge w:val="restart"/>
            <w:tcBorders>
              <w:tl2br w:val="nil"/>
              <w:tr2bl w:val="nil"/>
            </w:tcBorders>
            <w:noWrap w:val="0"/>
            <w:vAlign w:val="center"/>
          </w:tcPr>
          <w:p w14:paraId="533DA542">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p w14:paraId="13ECC40D">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名   称</w:t>
            </w:r>
          </w:p>
        </w:tc>
        <w:tc>
          <w:tcPr>
            <w:tcW w:w="911" w:type="dxa"/>
            <w:vMerge w:val="restart"/>
            <w:tcBorders>
              <w:tl2br w:val="nil"/>
              <w:tr2bl w:val="nil"/>
            </w:tcBorders>
            <w:noWrap w:val="0"/>
            <w:vAlign w:val="center"/>
          </w:tcPr>
          <w:p w14:paraId="0207BDD5">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1m</w:t>
            </w:r>
            <w:r>
              <w:rPr>
                <w:rFonts w:hint="default" w:ascii="Times New Roman" w:hAnsi="Times New Roman" w:eastAsia="宋体" w:cs="Times New Roman"/>
                <w:color w:val="auto"/>
                <w:spacing w:val="0"/>
                <w:w w:val="100"/>
                <w:position w:val="0"/>
                <w:sz w:val="21"/>
                <w:szCs w:val="21"/>
                <w:u w:val="none" w:color="auto"/>
              </w:rPr>
              <w:t xml:space="preserve">源强 </w:t>
            </w:r>
            <w:r>
              <w:rPr>
                <w:rFonts w:hint="default" w:ascii="Times New Roman" w:hAnsi="Times New Roman" w:eastAsia="Times New Roman" w:cs="Times New Roman"/>
                <w:color w:val="auto"/>
                <w:spacing w:val="0"/>
                <w:w w:val="100"/>
                <w:position w:val="0"/>
                <w:sz w:val="21"/>
                <w:szCs w:val="21"/>
                <w:u w:val="none" w:color="auto"/>
              </w:rPr>
              <w:t>dB(A)</w:t>
            </w:r>
          </w:p>
        </w:tc>
        <w:tc>
          <w:tcPr>
            <w:tcW w:w="3732" w:type="dxa"/>
            <w:gridSpan w:val="6"/>
            <w:tcBorders>
              <w:tl2br w:val="nil"/>
              <w:tr2bl w:val="nil"/>
            </w:tcBorders>
            <w:noWrap w:val="0"/>
            <w:vAlign w:val="center"/>
          </w:tcPr>
          <w:p w14:paraId="5D9545EB">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距噪声源距离</w:t>
            </w:r>
            <w:r>
              <w:rPr>
                <w:rFonts w:hint="default" w:ascii="Times New Roman" w:hAnsi="Times New Roman" w:eastAsia="Times New Roman" w:cs="Times New Roman"/>
                <w:color w:val="auto"/>
                <w:spacing w:val="0"/>
                <w:w w:val="100"/>
                <w:position w:val="0"/>
                <w:sz w:val="21"/>
                <w:szCs w:val="21"/>
                <w:u w:val="none" w:color="auto"/>
              </w:rPr>
              <w:t>/m</w:t>
            </w:r>
          </w:p>
        </w:tc>
        <w:tc>
          <w:tcPr>
            <w:tcW w:w="1349" w:type="dxa"/>
            <w:gridSpan w:val="2"/>
            <w:tcBorders>
              <w:tl2br w:val="nil"/>
              <w:tr2bl w:val="nil"/>
            </w:tcBorders>
            <w:noWrap w:val="0"/>
            <w:vAlign w:val="center"/>
          </w:tcPr>
          <w:p w14:paraId="061C1204">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 xml:space="preserve">达标距离 </w:t>
            </w:r>
            <w:r>
              <w:rPr>
                <w:rFonts w:hint="default" w:ascii="Times New Roman" w:hAnsi="Times New Roman" w:eastAsia="Times New Roman" w:cs="Times New Roman"/>
                <w:color w:val="auto"/>
                <w:spacing w:val="0"/>
                <w:w w:val="100"/>
                <w:position w:val="0"/>
                <w:sz w:val="21"/>
                <w:szCs w:val="21"/>
                <w:u w:val="none" w:color="auto"/>
              </w:rPr>
              <w:t>m</w:t>
            </w:r>
          </w:p>
        </w:tc>
        <w:tc>
          <w:tcPr>
            <w:tcW w:w="961" w:type="dxa"/>
            <w:gridSpan w:val="2"/>
            <w:tcBorders>
              <w:tl2br w:val="nil"/>
              <w:tr2bl w:val="nil"/>
            </w:tcBorders>
            <w:noWrap w:val="0"/>
            <w:vAlign w:val="center"/>
          </w:tcPr>
          <w:p w14:paraId="6A41A471">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标准值</w:t>
            </w:r>
          </w:p>
        </w:tc>
      </w:tr>
      <w:tr w14:paraId="54B99C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vMerge w:val="continue"/>
            <w:tcBorders>
              <w:tl2br w:val="nil"/>
              <w:tr2bl w:val="nil"/>
            </w:tcBorders>
            <w:noWrap w:val="0"/>
            <w:vAlign w:val="center"/>
          </w:tcPr>
          <w:p w14:paraId="24EBB238">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911" w:type="dxa"/>
            <w:vMerge w:val="continue"/>
            <w:tcBorders>
              <w:tl2br w:val="nil"/>
              <w:tr2bl w:val="nil"/>
            </w:tcBorders>
            <w:noWrap w:val="0"/>
            <w:vAlign w:val="center"/>
          </w:tcPr>
          <w:p w14:paraId="5277E083">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601" w:type="dxa"/>
            <w:tcBorders>
              <w:tl2br w:val="nil"/>
              <w:tr2bl w:val="nil"/>
            </w:tcBorders>
            <w:noWrap w:val="0"/>
            <w:vAlign w:val="center"/>
          </w:tcPr>
          <w:p w14:paraId="4D91DE32">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5m</w:t>
            </w:r>
          </w:p>
        </w:tc>
        <w:tc>
          <w:tcPr>
            <w:tcW w:w="599" w:type="dxa"/>
            <w:tcBorders>
              <w:tl2br w:val="nil"/>
              <w:tr2bl w:val="nil"/>
            </w:tcBorders>
            <w:noWrap w:val="0"/>
            <w:vAlign w:val="center"/>
          </w:tcPr>
          <w:p w14:paraId="4D9E46BF">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10m</w:t>
            </w:r>
          </w:p>
        </w:tc>
        <w:tc>
          <w:tcPr>
            <w:tcW w:w="573" w:type="dxa"/>
            <w:tcBorders>
              <w:tl2br w:val="nil"/>
              <w:tr2bl w:val="nil"/>
            </w:tcBorders>
            <w:noWrap w:val="0"/>
            <w:vAlign w:val="center"/>
          </w:tcPr>
          <w:p w14:paraId="4B94399E">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50m</w:t>
            </w:r>
          </w:p>
        </w:tc>
        <w:tc>
          <w:tcPr>
            <w:tcW w:w="717" w:type="dxa"/>
            <w:tcBorders>
              <w:tl2br w:val="nil"/>
              <w:tr2bl w:val="nil"/>
            </w:tcBorders>
            <w:noWrap w:val="0"/>
            <w:vAlign w:val="center"/>
          </w:tcPr>
          <w:p w14:paraId="497085F5">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100m</w:t>
            </w:r>
          </w:p>
        </w:tc>
        <w:tc>
          <w:tcPr>
            <w:tcW w:w="645" w:type="dxa"/>
            <w:tcBorders>
              <w:tl2br w:val="nil"/>
              <w:tr2bl w:val="nil"/>
            </w:tcBorders>
            <w:noWrap w:val="0"/>
            <w:vAlign w:val="center"/>
          </w:tcPr>
          <w:p w14:paraId="78759D9F">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150m</w:t>
            </w:r>
          </w:p>
        </w:tc>
        <w:tc>
          <w:tcPr>
            <w:tcW w:w="597" w:type="dxa"/>
            <w:tcBorders>
              <w:tl2br w:val="nil"/>
              <w:tr2bl w:val="nil"/>
            </w:tcBorders>
            <w:noWrap w:val="0"/>
            <w:vAlign w:val="center"/>
          </w:tcPr>
          <w:p w14:paraId="7666E76F">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200m</w:t>
            </w:r>
          </w:p>
        </w:tc>
        <w:tc>
          <w:tcPr>
            <w:tcW w:w="738" w:type="dxa"/>
            <w:tcBorders>
              <w:tl2br w:val="nil"/>
              <w:tr2bl w:val="nil"/>
            </w:tcBorders>
            <w:noWrap w:val="0"/>
            <w:vAlign w:val="center"/>
          </w:tcPr>
          <w:p w14:paraId="4E5F5C9A">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昼间</w:t>
            </w:r>
          </w:p>
        </w:tc>
        <w:tc>
          <w:tcPr>
            <w:tcW w:w="611" w:type="dxa"/>
            <w:tcBorders>
              <w:tl2br w:val="nil"/>
              <w:tr2bl w:val="nil"/>
            </w:tcBorders>
            <w:noWrap w:val="0"/>
            <w:vAlign w:val="center"/>
          </w:tcPr>
          <w:p w14:paraId="42739603">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夜间</w:t>
            </w:r>
          </w:p>
        </w:tc>
        <w:tc>
          <w:tcPr>
            <w:tcW w:w="495" w:type="dxa"/>
            <w:tcBorders>
              <w:tl2br w:val="nil"/>
              <w:tr2bl w:val="nil"/>
            </w:tcBorders>
            <w:noWrap w:val="0"/>
            <w:vAlign w:val="center"/>
          </w:tcPr>
          <w:p w14:paraId="5425CE3F">
            <w:pPr>
              <w:keepNext w:val="0"/>
              <w:keepLines w:val="0"/>
              <w:pageBreakBefore w:val="0"/>
              <w:kinsoku/>
              <w:wordWrap/>
              <w:overflowPunct/>
              <w:topLinePunct w:val="0"/>
              <w:autoSpaceDE/>
              <w:autoSpaceDN/>
              <w:bidi w:val="0"/>
              <w:adjustRightInd/>
              <w:snapToGrid/>
              <w:spacing w:line="240" w:lineRule="auto"/>
              <w:ind w:left="0" w:leftChars="0" w:right="0" w:rightChars="0"/>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昼间</w:t>
            </w:r>
          </w:p>
        </w:tc>
        <w:tc>
          <w:tcPr>
            <w:tcW w:w="466" w:type="dxa"/>
            <w:tcBorders>
              <w:tl2br w:val="nil"/>
              <w:tr2bl w:val="nil"/>
            </w:tcBorders>
            <w:noWrap w:val="0"/>
            <w:vAlign w:val="center"/>
          </w:tcPr>
          <w:p w14:paraId="7AB74BCA">
            <w:pPr>
              <w:keepNext w:val="0"/>
              <w:keepLines w:val="0"/>
              <w:pageBreakBefore w:val="0"/>
              <w:kinsoku/>
              <w:wordWrap/>
              <w:overflowPunct/>
              <w:topLinePunct w:val="0"/>
              <w:autoSpaceDE/>
              <w:autoSpaceDN/>
              <w:bidi w:val="0"/>
              <w:adjustRightInd/>
              <w:snapToGrid/>
              <w:spacing w:line="240" w:lineRule="auto"/>
              <w:ind w:left="0" w:leftChars="0" w:right="0" w:rightChars="0"/>
              <w:jc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夜间</w:t>
            </w:r>
          </w:p>
        </w:tc>
      </w:tr>
      <w:tr w14:paraId="082628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tcBorders>
              <w:tl2br w:val="nil"/>
              <w:tr2bl w:val="nil"/>
            </w:tcBorders>
            <w:noWrap w:val="0"/>
            <w:vAlign w:val="center"/>
          </w:tcPr>
          <w:p w14:paraId="68C00726">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反铲挖掘机</w:t>
            </w:r>
          </w:p>
        </w:tc>
        <w:tc>
          <w:tcPr>
            <w:tcW w:w="911" w:type="dxa"/>
            <w:tcBorders>
              <w:tl2br w:val="nil"/>
              <w:tr2bl w:val="nil"/>
            </w:tcBorders>
            <w:noWrap w:val="0"/>
            <w:vAlign w:val="center"/>
          </w:tcPr>
          <w:p w14:paraId="32234873">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85</w:t>
            </w:r>
          </w:p>
        </w:tc>
        <w:tc>
          <w:tcPr>
            <w:tcW w:w="601" w:type="dxa"/>
            <w:tcBorders>
              <w:tl2br w:val="nil"/>
              <w:tr2bl w:val="nil"/>
            </w:tcBorders>
            <w:noWrap w:val="0"/>
            <w:vAlign w:val="center"/>
          </w:tcPr>
          <w:p w14:paraId="4D759C82">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kern w:val="2"/>
                <w:position w:val="0"/>
                <w:sz w:val="21"/>
                <w:szCs w:val="21"/>
                <w:u w:val="none" w:color="auto"/>
                <w:lang w:val="en-US" w:eastAsia="zh-CN" w:bidi="ar-SA"/>
              </w:rPr>
            </w:pPr>
            <w:r>
              <w:rPr>
                <w:rFonts w:hint="default" w:ascii="Times New Roman" w:hAnsi="Times New Roman" w:eastAsia="Times New Roman" w:cs="Times New Roman"/>
                <w:color w:val="auto"/>
                <w:spacing w:val="0"/>
                <w:w w:val="100"/>
                <w:position w:val="0"/>
                <w:sz w:val="21"/>
                <w:szCs w:val="21"/>
                <w:u w:val="none" w:color="auto"/>
              </w:rPr>
              <w:t>72</w:t>
            </w:r>
          </w:p>
        </w:tc>
        <w:tc>
          <w:tcPr>
            <w:tcW w:w="599" w:type="dxa"/>
            <w:tcBorders>
              <w:tl2br w:val="nil"/>
              <w:tr2bl w:val="nil"/>
            </w:tcBorders>
            <w:noWrap w:val="0"/>
            <w:vAlign w:val="center"/>
          </w:tcPr>
          <w:p w14:paraId="705AAB0B">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kern w:val="2"/>
                <w:position w:val="0"/>
                <w:sz w:val="21"/>
                <w:szCs w:val="21"/>
                <w:u w:val="none" w:color="auto"/>
                <w:lang w:val="en-US" w:eastAsia="zh-CN" w:bidi="ar-SA"/>
              </w:rPr>
            </w:pPr>
            <w:r>
              <w:rPr>
                <w:rFonts w:hint="default" w:ascii="Times New Roman" w:hAnsi="Times New Roman" w:eastAsia="Times New Roman" w:cs="Times New Roman"/>
                <w:color w:val="auto"/>
                <w:spacing w:val="0"/>
                <w:w w:val="100"/>
                <w:position w:val="0"/>
                <w:sz w:val="21"/>
                <w:szCs w:val="21"/>
                <w:u w:val="none" w:color="auto"/>
              </w:rPr>
              <w:t>65</w:t>
            </w:r>
          </w:p>
        </w:tc>
        <w:tc>
          <w:tcPr>
            <w:tcW w:w="573" w:type="dxa"/>
            <w:tcBorders>
              <w:tl2br w:val="nil"/>
              <w:tr2bl w:val="nil"/>
            </w:tcBorders>
            <w:noWrap w:val="0"/>
            <w:vAlign w:val="center"/>
          </w:tcPr>
          <w:p w14:paraId="363E2CED">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kern w:val="2"/>
                <w:position w:val="0"/>
                <w:sz w:val="21"/>
                <w:szCs w:val="21"/>
                <w:u w:val="none" w:color="auto"/>
                <w:lang w:val="en-US" w:eastAsia="zh-CN" w:bidi="ar-SA"/>
              </w:rPr>
            </w:pPr>
            <w:r>
              <w:rPr>
                <w:rFonts w:hint="default" w:ascii="Times New Roman" w:hAnsi="Times New Roman" w:eastAsia="Times New Roman" w:cs="Times New Roman"/>
                <w:color w:val="auto"/>
                <w:spacing w:val="0"/>
                <w:w w:val="100"/>
                <w:position w:val="0"/>
                <w:sz w:val="21"/>
                <w:szCs w:val="21"/>
                <w:u w:val="none" w:color="auto"/>
              </w:rPr>
              <w:t>52</w:t>
            </w:r>
          </w:p>
        </w:tc>
        <w:tc>
          <w:tcPr>
            <w:tcW w:w="717" w:type="dxa"/>
            <w:tcBorders>
              <w:tl2br w:val="nil"/>
              <w:tr2bl w:val="nil"/>
            </w:tcBorders>
            <w:noWrap w:val="0"/>
            <w:vAlign w:val="center"/>
          </w:tcPr>
          <w:p w14:paraId="4263E22A">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kern w:val="2"/>
                <w:position w:val="0"/>
                <w:sz w:val="21"/>
                <w:szCs w:val="21"/>
                <w:u w:val="none" w:color="auto"/>
                <w:lang w:val="en-US" w:eastAsia="zh-CN" w:bidi="ar-SA"/>
              </w:rPr>
            </w:pPr>
            <w:r>
              <w:rPr>
                <w:rFonts w:hint="default" w:ascii="Times New Roman" w:hAnsi="Times New Roman" w:eastAsia="Times New Roman" w:cs="Times New Roman"/>
                <w:color w:val="auto"/>
                <w:spacing w:val="0"/>
                <w:w w:val="100"/>
                <w:position w:val="0"/>
                <w:sz w:val="21"/>
                <w:szCs w:val="21"/>
                <w:u w:val="none" w:color="auto"/>
              </w:rPr>
              <w:t>46</w:t>
            </w:r>
          </w:p>
        </w:tc>
        <w:tc>
          <w:tcPr>
            <w:tcW w:w="645" w:type="dxa"/>
            <w:tcBorders>
              <w:tl2br w:val="nil"/>
              <w:tr2bl w:val="nil"/>
            </w:tcBorders>
            <w:noWrap w:val="0"/>
            <w:vAlign w:val="center"/>
          </w:tcPr>
          <w:p w14:paraId="2DE90777">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kern w:val="2"/>
                <w:position w:val="0"/>
                <w:sz w:val="21"/>
                <w:szCs w:val="21"/>
                <w:u w:val="none" w:color="auto"/>
                <w:lang w:val="en-US" w:eastAsia="zh-CN" w:bidi="ar-SA"/>
              </w:rPr>
            </w:pPr>
            <w:r>
              <w:rPr>
                <w:rFonts w:hint="default" w:ascii="Times New Roman" w:hAnsi="Times New Roman" w:eastAsia="Times New Roman" w:cs="Times New Roman"/>
                <w:color w:val="auto"/>
                <w:spacing w:val="0"/>
                <w:w w:val="100"/>
                <w:position w:val="0"/>
                <w:sz w:val="21"/>
                <w:szCs w:val="21"/>
                <w:u w:val="none" w:color="auto"/>
              </w:rPr>
              <w:t>42.5</w:t>
            </w:r>
          </w:p>
        </w:tc>
        <w:tc>
          <w:tcPr>
            <w:tcW w:w="597" w:type="dxa"/>
            <w:tcBorders>
              <w:tl2br w:val="nil"/>
              <w:tr2bl w:val="nil"/>
            </w:tcBorders>
            <w:noWrap w:val="0"/>
            <w:vAlign w:val="center"/>
          </w:tcPr>
          <w:p w14:paraId="6C0FD648">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kern w:val="2"/>
                <w:position w:val="0"/>
                <w:sz w:val="21"/>
                <w:szCs w:val="21"/>
                <w:u w:val="none" w:color="auto"/>
                <w:lang w:val="en-US" w:eastAsia="zh-CN" w:bidi="ar-SA"/>
              </w:rPr>
            </w:pPr>
            <w:r>
              <w:rPr>
                <w:rFonts w:hint="default" w:ascii="Times New Roman" w:hAnsi="Times New Roman" w:eastAsia="Times New Roman" w:cs="Times New Roman"/>
                <w:color w:val="auto"/>
                <w:spacing w:val="0"/>
                <w:w w:val="100"/>
                <w:position w:val="0"/>
                <w:sz w:val="21"/>
                <w:szCs w:val="21"/>
                <w:u w:val="none" w:color="auto"/>
              </w:rPr>
              <w:t>40</w:t>
            </w:r>
          </w:p>
        </w:tc>
        <w:tc>
          <w:tcPr>
            <w:tcW w:w="738" w:type="dxa"/>
            <w:tcBorders>
              <w:tl2br w:val="nil"/>
              <w:tr2bl w:val="nil"/>
            </w:tcBorders>
            <w:noWrap w:val="0"/>
            <w:vAlign w:val="center"/>
          </w:tcPr>
          <w:p w14:paraId="14B15286">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kern w:val="2"/>
                <w:position w:val="0"/>
                <w:sz w:val="21"/>
                <w:szCs w:val="21"/>
                <w:u w:val="none" w:color="auto"/>
                <w:lang w:val="en-US" w:eastAsia="zh-CN" w:bidi="ar-SA"/>
              </w:rPr>
            </w:pPr>
            <w:r>
              <w:rPr>
                <w:rFonts w:hint="default" w:ascii="Times New Roman" w:hAnsi="Times New Roman" w:eastAsia="Times New Roman" w:cs="Times New Roman"/>
                <w:color w:val="auto"/>
                <w:spacing w:val="0"/>
                <w:w w:val="100"/>
                <w:position w:val="0"/>
                <w:sz w:val="21"/>
                <w:szCs w:val="21"/>
                <w:u w:val="none" w:color="auto"/>
              </w:rPr>
              <w:t>24</w:t>
            </w:r>
          </w:p>
        </w:tc>
        <w:tc>
          <w:tcPr>
            <w:tcW w:w="611" w:type="dxa"/>
            <w:tcBorders>
              <w:tl2br w:val="nil"/>
              <w:tr2bl w:val="nil"/>
            </w:tcBorders>
            <w:noWrap w:val="0"/>
            <w:vAlign w:val="center"/>
          </w:tcPr>
          <w:p w14:paraId="6073C131">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kern w:val="2"/>
                <w:position w:val="0"/>
                <w:sz w:val="21"/>
                <w:szCs w:val="21"/>
                <w:u w:val="none" w:color="auto"/>
                <w:lang w:val="en-US" w:eastAsia="zh-CN" w:bidi="ar-SA"/>
              </w:rPr>
            </w:pPr>
            <w:r>
              <w:rPr>
                <w:rFonts w:hint="default" w:ascii="Times New Roman" w:hAnsi="Times New Roman" w:eastAsia="Times New Roman" w:cs="Times New Roman"/>
                <w:color w:val="auto"/>
                <w:spacing w:val="0"/>
                <w:w w:val="100"/>
                <w:position w:val="0"/>
                <w:sz w:val="21"/>
                <w:szCs w:val="21"/>
                <w:u w:val="none" w:color="auto"/>
              </w:rPr>
              <w:t>76</w:t>
            </w:r>
          </w:p>
        </w:tc>
        <w:tc>
          <w:tcPr>
            <w:tcW w:w="495" w:type="dxa"/>
            <w:vMerge w:val="restart"/>
            <w:tcBorders>
              <w:tl2br w:val="nil"/>
              <w:tr2bl w:val="nil"/>
            </w:tcBorders>
            <w:noWrap w:val="0"/>
            <w:vAlign w:val="center"/>
          </w:tcPr>
          <w:p w14:paraId="3E8EB944">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p w14:paraId="61757F29">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70</w:t>
            </w:r>
          </w:p>
        </w:tc>
        <w:tc>
          <w:tcPr>
            <w:tcW w:w="466" w:type="dxa"/>
            <w:vMerge w:val="restart"/>
            <w:tcBorders>
              <w:tl2br w:val="nil"/>
              <w:tr2bl w:val="nil"/>
            </w:tcBorders>
            <w:noWrap w:val="0"/>
            <w:vAlign w:val="center"/>
          </w:tcPr>
          <w:p w14:paraId="0C893287">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p w14:paraId="10218C96">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55</w:t>
            </w:r>
          </w:p>
        </w:tc>
      </w:tr>
      <w:tr w14:paraId="72410E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tcBorders>
              <w:tl2br w:val="nil"/>
              <w:tr2bl w:val="nil"/>
            </w:tcBorders>
            <w:noWrap w:val="0"/>
            <w:vAlign w:val="center"/>
          </w:tcPr>
          <w:p w14:paraId="3E15C023">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推土机</w:t>
            </w:r>
          </w:p>
        </w:tc>
        <w:tc>
          <w:tcPr>
            <w:tcW w:w="911" w:type="dxa"/>
            <w:tcBorders>
              <w:tl2br w:val="nil"/>
              <w:tr2bl w:val="nil"/>
            </w:tcBorders>
            <w:noWrap w:val="0"/>
            <w:vAlign w:val="center"/>
          </w:tcPr>
          <w:p w14:paraId="4424F02D">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85</w:t>
            </w:r>
          </w:p>
        </w:tc>
        <w:tc>
          <w:tcPr>
            <w:tcW w:w="601" w:type="dxa"/>
            <w:tcBorders>
              <w:tl2br w:val="nil"/>
              <w:tr2bl w:val="nil"/>
            </w:tcBorders>
            <w:noWrap w:val="0"/>
            <w:vAlign w:val="center"/>
          </w:tcPr>
          <w:p w14:paraId="3F6302ED">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72</w:t>
            </w:r>
          </w:p>
        </w:tc>
        <w:tc>
          <w:tcPr>
            <w:tcW w:w="599" w:type="dxa"/>
            <w:tcBorders>
              <w:tl2br w:val="nil"/>
              <w:tr2bl w:val="nil"/>
            </w:tcBorders>
            <w:noWrap w:val="0"/>
            <w:vAlign w:val="center"/>
          </w:tcPr>
          <w:p w14:paraId="066A30F5">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65</w:t>
            </w:r>
          </w:p>
        </w:tc>
        <w:tc>
          <w:tcPr>
            <w:tcW w:w="573" w:type="dxa"/>
            <w:tcBorders>
              <w:tl2br w:val="nil"/>
              <w:tr2bl w:val="nil"/>
            </w:tcBorders>
            <w:noWrap w:val="0"/>
            <w:vAlign w:val="center"/>
          </w:tcPr>
          <w:p w14:paraId="078F4D5F">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52</w:t>
            </w:r>
          </w:p>
        </w:tc>
        <w:tc>
          <w:tcPr>
            <w:tcW w:w="717" w:type="dxa"/>
            <w:tcBorders>
              <w:tl2br w:val="nil"/>
              <w:tr2bl w:val="nil"/>
            </w:tcBorders>
            <w:noWrap w:val="0"/>
            <w:vAlign w:val="center"/>
          </w:tcPr>
          <w:p w14:paraId="463A8626">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46</w:t>
            </w:r>
          </w:p>
        </w:tc>
        <w:tc>
          <w:tcPr>
            <w:tcW w:w="645" w:type="dxa"/>
            <w:tcBorders>
              <w:tl2br w:val="nil"/>
              <w:tr2bl w:val="nil"/>
            </w:tcBorders>
            <w:noWrap w:val="0"/>
            <w:vAlign w:val="center"/>
          </w:tcPr>
          <w:p w14:paraId="23AEFC77">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42.5</w:t>
            </w:r>
          </w:p>
        </w:tc>
        <w:tc>
          <w:tcPr>
            <w:tcW w:w="597" w:type="dxa"/>
            <w:tcBorders>
              <w:tl2br w:val="nil"/>
              <w:tr2bl w:val="nil"/>
            </w:tcBorders>
            <w:noWrap w:val="0"/>
            <w:vAlign w:val="center"/>
          </w:tcPr>
          <w:p w14:paraId="2E4E6C16">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40</w:t>
            </w:r>
          </w:p>
        </w:tc>
        <w:tc>
          <w:tcPr>
            <w:tcW w:w="738" w:type="dxa"/>
            <w:tcBorders>
              <w:tl2br w:val="nil"/>
              <w:tr2bl w:val="nil"/>
            </w:tcBorders>
            <w:noWrap w:val="0"/>
            <w:vAlign w:val="center"/>
          </w:tcPr>
          <w:p w14:paraId="3384EE7F">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24</w:t>
            </w:r>
          </w:p>
        </w:tc>
        <w:tc>
          <w:tcPr>
            <w:tcW w:w="611" w:type="dxa"/>
            <w:tcBorders>
              <w:tl2br w:val="nil"/>
              <w:tr2bl w:val="nil"/>
            </w:tcBorders>
            <w:noWrap w:val="0"/>
            <w:vAlign w:val="center"/>
          </w:tcPr>
          <w:p w14:paraId="4B83CBAB">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76</w:t>
            </w:r>
          </w:p>
        </w:tc>
        <w:tc>
          <w:tcPr>
            <w:tcW w:w="495" w:type="dxa"/>
            <w:vMerge w:val="continue"/>
            <w:tcBorders>
              <w:tl2br w:val="nil"/>
              <w:tr2bl w:val="nil"/>
            </w:tcBorders>
            <w:noWrap w:val="0"/>
            <w:vAlign w:val="center"/>
          </w:tcPr>
          <w:p w14:paraId="3FFEFFE9">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466" w:type="dxa"/>
            <w:vMerge w:val="continue"/>
            <w:tcBorders>
              <w:tl2br w:val="nil"/>
              <w:tr2bl w:val="nil"/>
            </w:tcBorders>
            <w:noWrap w:val="0"/>
            <w:vAlign w:val="center"/>
          </w:tcPr>
          <w:p w14:paraId="3A8D1C00">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r>
      <w:tr w14:paraId="42F1E5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tcBorders>
              <w:tl2br w:val="nil"/>
              <w:tr2bl w:val="nil"/>
            </w:tcBorders>
            <w:noWrap w:val="0"/>
            <w:vAlign w:val="center"/>
          </w:tcPr>
          <w:p w14:paraId="63ED718C">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蛙式打夯机</w:t>
            </w:r>
          </w:p>
        </w:tc>
        <w:tc>
          <w:tcPr>
            <w:tcW w:w="911" w:type="dxa"/>
            <w:tcBorders>
              <w:tl2br w:val="nil"/>
              <w:tr2bl w:val="nil"/>
            </w:tcBorders>
            <w:noWrap w:val="0"/>
            <w:vAlign w:val="center"/>
          </w:tcPr>
          <w:p w14:paraId="325D3E71">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80</w:t>
            </w:r>
          </w:p>
        </w:tc>
        <w:tc>
          <w:tcPr>
            <w:tcW w:w="601" w:type="dxa"/>
            <w:tcBorders>
              <w:tl2br w:val="nil"/>
              <w:tr2bl w:val="nil"/>
            </w:tcBorders>
            <w:noWrap w:val="0"/>
            <w:vAlign w:val="center"/>
          </w:tcPr>
          <w:p w14:paraId="21B771E0">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68</w:t>
            </w:r>
          </w:p>
        </w:tc>
        <w:tc>
          <w:tcPr>
            <w:tcW w:w="599" w:type="dxa"/>
            <w:tcBorders>
              <w:tl2br w:val="nil"/>
              <w:tr2bl w:val="nil"/>
            </w:tcBorders>
            <w:noWrap w:val="0"/>
            <w:vAlign w:val="center"/>
          </w:tcPr>
          <w:p w14:paraId="79FA09D3">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57</w:t>
            </w:r>
          </w:p>
        </w:tc>
        <w:tc>
          <w:tcPr>
            <w:tcW w:w="573" w:type="dxa"/>
            <w:tcBorders>
              <w:tl2br w:val="nil"/>
              <w:tr2bl w:val="nil"/>
            </w:tcBorders>
            <w:noWrap w:val="0"/>
            <w:vAlign w:val="center"/>
          </w:tcPr>
          <w:p w14:paraId="74DF1E39">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51</w:t>
            </w:r>
          </w:p>
        </w:tc>
        <w:tc>
          <w:tcPr>
            <w:tcW w:w="717" w:type="dxa"/>
            <w:tcBorders>
              <w:tl2br w:val="nil"/>
              <w:tr2bl w:val="nil"/>
            </w:tcBorders>
            <w:noWrap w:val="0"/>
            <w:vAlign w:val="center"/>
          </w:tcPr>
          <w:p w14:paraId="389B08FE">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44</w:t>
            </w:r>
          </w:p>
        </w:tc>
        <w:tc>
          <w:tcPr>
            <w:tcW w:w="645" w:type="dxa"/>
            <w:tcBorders>
              <w:tl2br w:val="nil"/>
              <w:tr2bl w:val="nil"/>
            </w:tcBorders>
            <w:noWrap w:val="0"/>
            <w:vAlign w:val="center"/>
          </w:tcPr>
          <w:p w14:paraId="1E2CE908">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39</w:t>
            </w:r>
          </w:p>
        </w:tc>
        <w:tc>
          <w:tcPr>
            <w:tcW w:w="597" w:type="dxa"/>
            <w:tcBorders>
              <w:tl2br w:val="nil"/>
              <w:tr2bl w:val="nil"/>
            </w:tcBorders>
            <w:noWrap w:val="0"/>
            <w:vAlign w:val="center"/>
          </w:tcPr>
          <w:p w14:paraId="71181285">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33</w:t>
            </w:r>
          </w:p>
        </w:tc>
        <w:tc>
          <w:tcPr>
            <w:tcW w:w="738" w:type="dxa"/>
            <w:tcBorders>
              <w:tl2br w:val="nil"/>
              <w:tr2bl w:val="nil"/>
            </w:tcBorders>
            <w:noWrap w:val="0"/>
            <w:vAlign w:val="center"/>
          </w:tcPr>
          <w:p w14:paraId="0073D616">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19</w:t>
            </w:r>
          </w:p>
        </w:tc>
        <w:tc>
          <w:tcPr>
            <w:tcW w:w="611" w:type="dxa"/>
            <w:tcBorders>
              <w:tl2br w:val="nil"/>
              <w:tr2bl w:val="nil"/>
            </w:tcBorders>
            <w:noWrap w:val="0"/>
            <w:vAlign w:val="center"/>
          </w:tcPr>
          <w:p w14:paraId="17DE2839">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63</w:t>
            </w:r>
          </w:p>
        </w:tc>
        <w:tc>
          <w:tcPr>
            <w:tcW w:w="495" w:type="dxa"/>
            <w:vMerge w:val="continue"/>
            <w:tcBorders>
              <w:tl2br w:val="nil"/>
              <w:tr2bl w:val="nil"/>
            </w:tcBorders>
            <w:noWrap w:val="0"/>
            <w:vAlign w:val="center"/>
          </w:tcPr>
          <w:p w14:paraId="1B1A50A0">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466" w:type="dxa"/>
            <w:vMerge w:val="continue"/>
            <w:tcBorders>
              <w:tl2br w:val="nil"/>
              <w:tr2bl w:val="nil"/>
            </w:tcBorders>
            <w:noWrap w:val="0"/>
            <w:vAlign w:val="center"/>
          </w:tcPr>
          <w:p w14:paraId="6B067566">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r>
      <w:tr w14:paraId="6355AC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tcBorders>
              <w:tl2br w:val="nil"/>
              <w:tr2bl w:val="nil"/>
            </w:tcBorders>
            <w:noWrap w:val="0"/>
            <w:vAlign w:val="center"/>
          </w:tcPr>
          <w:p w14:paraId="7585622C">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手风钻</w:t>
            </w:r>
          </w:p>
        </w:tc>
        <w:tc>
          <w:tcPr>
            <w:tcW w:w="911" w:type="dxa"/>
            <w:tcBorders>
              <w:tl2br w:val="nil"/>
              <w:tr2bl w:val="nil"/>
            </w:tcBorders>
            <w:noWrap w:val="0"/>
            <w:vAlign w:val="center"/>
          </w:tcPr>
          <w:p w14:paraId="4D2FB4EF">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90</w:t>
            </w:r>
          </w:p>
        </w:tc>
        <w:tc>
          <w:tcPr>
            <w:tcW w:w="601" w:type="dxa"/>
            <w:tcBorders>
              <w:tl2br w:val="nil"/>
              <w:tr2bl w:val="nil"/>
            </w:tcBorders>
            <w:noWrap w:val="0"/>
            <w:vAlign w:val="center"/>
          </w:tcPr>
          <w:p w14:paraId="24829601">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81</w:t>
            </w:r>
          </w:p>
        </w:tc>
        <w:tc>
          <w:tcPr>
            <w:tcW w:w="599" w:type="dxa"/>
            <w:tcBorders>
              <w:tl2br w:val="nil"/>
              <w:tr2bl w:val="nil"/>
            </w:tcBorders>
            <w:noWrap w:val="0"/>
            <w:vAlign w:val="center"/>
          </w:tcPr>
          <w:p w14:paraId="51DD75A6">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70</w:t>
            </w:r>
          </w:p>
        </w:tc>
        <w:tc>
          <w:tcPr>
            <w:tcW w:w="573" w:type="dxa"/>
            <w:tcBorders>
              <w:tl2br w:val="nil"/>
              <w:tr2bl w:val="nil"/>
            </w:tcBorders>
            <w:noWrap w:val="0"/>
            <w:vAlign w:val="center"/>
          </w:tcPr>
          <w:p w14:paraId="42A57178">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56</w:t>
            </w:r>
          </w:p>
        </w:tc>
        <w:tc>
          <w:tcPr>
            <w:tcW w:w="717" w:type="dxa"/>
            <w:tcBorders>
              <w:tl2br w:val="nil"/>
              <w:tr2bl w:val="nil"/>
            </w:tcBorders>
            <w:noWrap w:val="0"/>
            <w:vAlign w:val="center"/>
          </w:tcPr>
          <w:p w14:paraId="223E9C65">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50</w:t>
            </w:r>
          </w:p>
        </w:tc>
        <w:tc>
          <w:tcPr>
            <w:tcW w:w="645" w:type="dxa"/>
            <w:tcBorders>
              <w:tl2br w:val="nil"/>
              <w:tr2bl w:val="nil"/>
            </w:tcBorders>
            <w:noWrap w:val="0"/>
            <w:vAlign w:val="center"/>
          </w:tcPr>
          <w:p w14:paraId="6D36BB10">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46.5</w:t>
            </w:r>
          </w:p>
        </w:tc>
        <w:tc>
          <w:tcPr>
            <w:tcW w:w="597" w:type="dxa"/>
            <w:tcBorders>
              <w:tl2br w:val="nil"/>
              <w:tr2bl w:val="nil"/>
            </w:tcBorders>
            <w:noWrap w:val="0"/>
            <w:vAlign w:val="center"/>
          </w:tcPr>
          <w:p w14:paraId="06B593D5">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44</w:t>
            </w:r>
          </w:p>
        </w:tc>
        <w:tc>
          <w:tcPr>
            <w:tcW w:w="738" w:type="dxa"/>
            <w:tcBorders>
              <w:tl2br w:val="nil"/>
              <w:tr2bl w:val="nil"/>
            </w:tcBorders>
            <w:noWrap w:val="0"/>
            <w:vAlign w:val="center"/>
          </w:tcPr>
          <w:p w14:paraId="3057D88C">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32</w:t>
            </w:r>
          </w:p>
        </w:tc>
        <w:tc>
          <w:tcPr>
            <w:tcW w:w="611" w:type="dxa"/>
            <w:tcBorders>
              <w:tl2br w:val="nil"/>
              <w:tr2bl w:val="nil"/>
            </w:tcBorders>
            <w:noWrap w:val="0"/>
            <w:vAlign w:val="center"/>
          </w:tcPr>
          <w:p w14:paraId="7DA54916">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100</w:t>
            </w:r>
          </w:p>
        </w:tc>
        <w:tc>
          <w:tcPr>
            <w:tcW w:w="495" w:type="dxa"/>
            <w:vMerge w:val="continue"/>
            <w:tcBorders>
              <w:tl2br w:val="nil"/>
              <w:tr2bl w:val="nil"/>
            </w:tcBorders>
            <w:noWrap w:val="0"/>
            <w:vAlign w:val="center"/>
          </w:tcPr>
          <w:p w14:paraId="6523129B">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466" w:type="dxa"/>
            <w:vMerge w:val="continue"/>
            <w:tcBorders>
              <w:tl2br w:val="nil"/>
              <w:tr2bl w:val="nil"/>
            </w:tcBorders>
            <w:noWrap w:val="0"/>
            <w:vAlign w:val="center"/>
          </w:tcPr>
          <w:p w14:paraId="357FBDAB">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r>
      <w:tr w14:paraId="2794E1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tcBorders>
              <w:tl2br w:val="nil"/>
              <w:tr2bl w:val="nil"/>
            </w:tcBorders>
            <w:noWrap w:val="0"/>
            <w:vAlign w:val="center"/>
          </w:tcPr>
          <w:p w14:paraId="483C6F88">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潜孔钻</w:t>
            </w:r>
          </w:p>
        </w:tc>
        <w:tc>
          <w:tcPr>
            <w:tcW w:w="911" w:type="dxa"/>
            <w:tcBorders>
              <w:tl2br w:val="nil"/>
              <w:tr2bl w:val="nil"/>
            </w:tcBorders>
            <w:noWrap w:val="0"/>
            <w:vAlign w:val="center"/>
          </w:tcPr>
          <w:p w14:paraId="03C5A8B8">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90</w:t>
            </w:r>
          </w:p>
        </w:tc>
        <w:tc>
          <w:tcPr>
            <w:tcW w:w="601" w:type="dxa"/>
            <w:tcBorders>
              <w:tl2br w:val="nil"/>
              <w:tr2bl w:val="nil"/>
            </w:tcBorders>
            <w:noWrap w:val="0"/>
            <w:vAlign w:val="center"/>
          </w:tcPr>
          <w:p w14:paraId="20C424DB">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81</w:t>
            </w:r>
          </w:p>
        </w:tc>
        <w:tc>
          <w:tcPr>
            <w:tcW w:w="599" w:type="dxa"/>
            <w:tcBorders>
              <w:tl2br w:val="nil"/>
              <w:tr2bl w:val="nil"/>
            </w:tcBorders>
            <w:noWrap w:val="0"/>
            <w:vAlign w:val="center"/>
          </w:tcPr>
          <w:p w14:paraId="5901BD04">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70</w:t>
            </w:r>
          </w:p>
        </w:tc>
        <w:tc>
          <w:tcPr>
            <w:tcW w:w="573" w:type="dxa"/>
            <w:tcBorders>
              <w:tl2br w:val="nil"/>
              <w:tr2bl w:val="nil"/>
            </w:tcBorders>
            <w:noWrap w:val="0"/>
            <w:vAlign w:val="center"/>
          </w:tcPr>
          <w:p w14:paraId="4F38C829">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56</w:t>
            </w:r>
          </w:p>
        </w:tc>
        <w:tc>
          <w:tcPr>
            <w:tcW w:w="717" w:type="dxa"/>
            <w:tcBorders>
              <w:tl2br w:val="nil"/>
              <w:tr2bl w:val="nil"/>
            </w:tcBorders>
            <w:noWrap w:val="0"/>
            <w:vAlign w:val="center"/>
          </w:tcPr>
          <w:p w14:paraId="64C51022">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50</w:t>
            </w:r>
          </w:p>
        </w:tc>
        <w:tc>
          <w:tcPr>
            <w:tcW w:w="645" w:type="dxa"/>
            <w:tcBorders>
              <w:tl2br w:val="nil"/>
              <w:tr2bl w:val="nil"/>
            </w:tcBorders>
            <w:noWrap w:val="0"/>
            <w:vAlign w:val="center"/>
          </w:tcPr>
          <w:p w14:paraId="375505D9">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46.5</w:t>
            </w:r>
          </w:p>
        </w:tc>
        <w:tc>
          <w:tcPr>
            <w:tcW w:w="597" w:type="dxa"/>
            <w:tcBorders>
              <w:tl2br w:val="nil"/>
              <w:tr2bl w:val="nil"/>
            </w:tcBorders>
            <w:noWrap w:val="0"/>
            <w:vAlign w:val="center"/>
          </w:tcPr>
          <w:p w14:paraId="45522EAF">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44</w:t>
            </w:r>
          </w:p>
        </w:tc>
        <w:tc>
          <w:tcPr>
            <w:tcW w:w="738" w:type="dxa"/>
            <w:tcBorders>
              <w:tl2br w:val="nil"/>
              <w:tr2bl w:val="nil"/>
            </w:tcBorders>
            <w:noWrap w:val="0"/>
            <w:vAlign w:val="center"/>
          </w:tcPr>
          <w:p w14:paraId="483373CE">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32</w:t>
            </w:r>
          </w:p>
        </w:tc>
        <w:tc>
          <w:tcPr>
            <w:tcW w:w="611" w:type="dxa"/>
            <w:tcBorders>
              <w:tl2br w:val="nil"/>
              <w:tr2bl w:val="nil"/>
            </w:tcBorders>
            <w:noWrap w:val="0"/>
            <w:vAlign w:val="center"/>
          </w:tcPr>
          <w:p w14:paraId="14EA17F3">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100</w:t>
            </w:r>
          </w:p>
        </w:tc>
        <w:tc>
          <w:tcPr>
            <w:tcW w:w="495" w:type="dxa"/>
            <w:vMerge w:val="continue"/>
            <w:tcBorders>
              <w:tl2br w:val="nil"/>
              <w:tr2bl w:val="nil"/>
            </w:tcBorders>
            <w:noWrap w:val="0"/>
            <w:vAlign w:val="center"/>
          </w:tcPr>
          <w:p w14:paraId="5CC70854">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466" w:type="dxa"/>
            <w:vMerge w:val="continue"/>
            <w:tcBorders>
              <w:tl2br w:val="nil"/>
              <w:tr2bl w:val="nil"/>
            </w:tcBorders>
            <w:noWrap w:val="0"/>
            <w:vAlign w:val="center"/>
          </w:tcPr>
          <w:p w14:paraId="52FA2C84">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r>
      <w:tr w14:paraId="76696C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tcBorders>
              <w:tl2br w:val="nil"/>
              <w:tr2bl w:val="nil"/>
            </w:tcBorders>
            <w:noWrap w:val="0"/>
            <w:vAlign w:val="center"/>
          </w:tcPr>
          <w:p w14:paraId="323AC6C9">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振动碾</w:t>
            </w:r>
          </w:p>
        </w:tc>
        <w:tc>
          <w:tcPr>
            <w:tcW w:w="911" w:type="dxa"/>
            <w:tcBorders>
              <w:tl2br w:val="nil"/>
              <w:tr2bl w:val="nil"/>
            </w:tcBorders>
            <w:noWrap w:val="0"/>
            <w:vAlign w:val="center"/>
          </w:tcPr>
          <w:p w14:paraId="712CE426">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90</w:t>
            </w:r>
          </w:p>
        </w:tc>
        <w:tc>
          <w:tcPr>
            <w:tcW w:w="601" w:type="dxa"/>
            <w:tcBorders>
              <w:tl2br w:val="nil"/>
              <w:tr2bl w:val="nil"/>
            </w:tcBorders>
            <w:noWrap w:val="0"/>
            <w:vAlign w:val="center"/>
          </w:tcPr>
          <w:p w14:paraId="050E850A">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81</w:t>
            </w:r>
          </w:p>
        </w:tc>
        <w:tc>
          <w:tcPr>
            <w:tcW w:w="599" w:type="dxa"/>
            <w:tcBorders>
              <w:tl2br w:val="nil"/>
              <w:tr2bl w:val="nil"/>
            </w:tcBorders>
            <w:noWrap w:val="0"/>
            <w:vAlign w:val="center"/>
          </w:tcPr>
          <w:p w14:paraId="6863F812">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70</w:t>
            </w:r>
          </w:p>
        </w:tc>
        <w:tc>
          <w:tcPr>
            <w:tcW w:w="573" w:type="dxa"/>
            <w:tcBorders>
              <w:tl2br w:val="nil"/>
              <w:tr2bl w:val="nil"/>
            </w:tcBorders>
            <w:noWrap w:val="0"/>
            <w:vAlign w:val="center"/>
          </w:tcPr>
          <w:p w14:paraId="0F34ACE6">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56</w:t>
            </w:r>
          </w:p>
        </w:tc>
        <w:tc>
          <w:tcPr>
            <w:tcW w:w="717" w:type="dxa"/>
            <w:tcBorders>
              <w:tl2br w:val="nil"/>
              <w:tr2bl w:val="nil"/>
            </w:tcBorders>
            <w:noWrap w:val="0"/>
            <w:vAlign w:val="center"/>
          </w:tcPr>
          <w:p w14:paraId="528B847C">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50</w:t>
            </w:r>
          </w:p>
        </w:tc>
        <w:tc>
          <w:tcPr>
            <w:tcW w:w="645" w:type="dxa"/>
            <w:tcBorders>
              <w:tl2br w:val="nil"/>
              <w:tr2bl w:val="nil"/>
            </w:tcBorders>
            <w:noWrap w:val="0"/>
            <w:vAlign w:val="center"/>
          </w:tcPr>
          <w:p w14:paraId="1961243F">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46.5</w:t>
            </w:r>
          </w:p>
        </w:tc>
        <w:tc>
          <w:tcPr>
            <w:tcW w:w="597" w:type="dxa"/>
            <w:tcBorders>
              <w:tl2br w:val="nil"/>
              <w:tr2bl w:val="nil"/>
            </w:tcBorders>
            <w:noWrap w:val="0"/>
            <w:vAlign w:val="center"/>
          </w:tcPr>
          <w:p w14:paraId="2937A444">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44</w:t>
            </w:r>
          </w:p>
        </w:tc>
        <w:tc>
          <w:tcPr>
            <w:tcW w:w="738" w:type="dxa"/>
            <w:tcBorders>
              <w:tl2br w:val="nil"/>
              <w:tr2bl w:val="nil"/>
            </w:tcBorders>
            <w:noWrap w:val="0"/>
            <w:vAlign w:val="center"/>
          </w:tcPr>
          <w:p w14:paraId="252DD743">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32</w:t>
            </w:r>
          </w:p>
        </w:tc>
        <w:tc>
          <w:tcPr>
            <w:tcW w:w="611" w:type="dxa"/>
            <w:tcBorders>
              <w:tl2br w:val="nil"/>
              <w:tr2bl w:val="nil"/>
            </w:tcBorders>
            <w:noWrap w:val="0"/>
            <w:vAlign w:val="center"/>
          </w:tcPr>
          <w:p w14:paraId="2960851D">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100</w:t>
            </w:r>
          </w:p>
        </w:tc>
        <w:tc>
          <w:tcPr>
            <w:tcW w:w="495" w:type="dxa"/>
            <w:vMerge w:val="continue"/>
            <w:tcBorders>
              <w:tl2br w:val="nil"/>
              <w:tr2bl w:val="nil"/>
            </w:tcBorders>
            <w:noWrap w:val="0"/>
            <w:vAlign w:val="center"/>
          </w:tcPr>
          <w:p w14:paraId="15D683D3">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466" w:type="dxa"/>
            <w:vMerge w:val="continue"/>
            <w:tcBorders>
              <w:tl2br w:val="nil"/>
              <w:tr2bl w:val="nil"/>
            </w:tcBorders>
            <w:noWrap w:val="0"/>
            <w:vAlign w:val="center"/>
          </w:tcPr>
          <w:p w14:paraId="0B7DB6BF">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r>
      <w:tr w14:paraId="33C239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tcBorders>
              <w:tl2br w:val="nil"/>
              <w:tr2bl w:val="nil"/>
            </w:tcBorders>
            <w:noWrap w:val="0"/>
            <w:vAlign w:val="center"/>
          </w:tcPr>
          <w:p w14:paraId="5EB3A251">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装载机</w:t>
            </w:r>
          </w:p>
        </w:tc>
        <w:tc>
          <w:tcPr>
            <w:tcW w:w="911" w:type="dxa"/>
            <w:tcBorders>
              <w:tl2br w:val="nil"/>
              <w:tr2bl w:val="nil"/>
            </w:tcBorders>
            <w:noWrap w:val="0"/>
            <w:vAlign w:val="center"/>
          </w:tcPr>
          <w:p w14:paraId="29F06557">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85</w:t>
            </w:r>
          </w:p>
        </w:tc>
        <w:tc>
          <w:tcPr>
            <w:tcW w:w="601" w:type="dxa"/>
            <w:tcBorders>
              <w:tl2br w:val="nil"/>
              <w:tr2bl w:val="nil"/>
            </w:tcBorders>
            <w:noWrap w:val="0"/>
            <w:vAlign w:val="center"/>
          </w:tcPr>
          <w:p w14:paraId="763B07DA">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72</w:t>
            </w:r>
          </w:p>
        </w:tc>
        <w:tc>
          <w:tcPr>
            <w:tcW w:w="599" w:type="dxa"/>
            <w:tcBorders>
              <w:tl2br w:val="nil"/>
              <w:tr2bl w:val="nil"/>
            </w:tcBorders>
            <w:noWrap w:val="0"/>
            <w:vAlign w:val="center"/>
          </w:tcPr>
          <w:p w14:paraId="2F934CD1">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65</w:t>
            </w:r>
          </w:p>
        </w:tc>
        <w:tc>
          <w:tcPr>
            <w:tcW w:w="573" w:type="dxa"/>
            <w:tcBorders>
              <w:tl2br w:val="nil"/>
              <w:tr2bl w:val="nil"/>
            </w:tcBorders>
            <w:noWrap w:val="0"/>
            <w:vAlign w:val="center"/>
          </w:tcPr>
          <w:p w14:paraId="2CC5D694">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52</w:t>
            </w:r>
          </w:p>
        </w:tc>
        <w:tc>
          <w:tcPr>
            <w:tcW w:w="717" w:type="dxa"/>
            <w:tcBorders>
              <w:tl2br w:val="nil"/>
              <w:tr2bl w:val="nil"/>
            </w:tcBorders>
            <w:noWrap w:val="0"/>
            <w:vAlign w:val="center"/>
          </w:tcPr>
          <w:p w14:paraId="051841D7">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46</w:t>
            </w:r>
          </w:p>
        </w:tc>
        <w:tc>
          <w:tcPr>
            <w:tcW w:w="645" w:type="dxa"/>
            <w:tcBorders>
              <w:tl2br w:val="nil"/>
              <w:tr2bl w:val="nil"/>
            </w:tcBorders>
            <w:noWrap w:val="0"/>
            <w:vAlign w:val="center"/>
          </w:tcPr>
          <w:p w14:paraId="06F9C109">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42.5</w:t>
            </w:r>
          </w:p>
        </w:tc>
        <w:tc>
          <w:tcPr>
            <w:tcW w:w="597" w:type="dxa"/>
            <w:tcBorders>
              <w:tl2br w:val="nil"/>
              <w:tr2bl w:val="nil"/>
            </w:tcBorders>
            <w:noWrap w:val="0"/>
            <w:vAlign w:val="center"/>
          </w:tcPr>
          <w:p w14:paraId="282D824A">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40</w:t>
            </w:r>
          </w:p>
        </w:tc>
        <w:tc>
          <w:tcPr>
            <w:tcW w:w="738" w:type="dxa"/>
            <w:tcBorders>
              <w:tl2br w:val="nil"/>
              <w:tr2bl w:val="nil"/>
            </w:tcBorders>
            <w:noWrap w:val="0"/>
            <w:vAlign w:val="center"/>
          </w:tcPr>
          <w:p w14:paraId="6078B15E">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24</w:t>
            </w:r>
          </w:p>
        </w:tc>
        <w:tc>
          <w:tcPr>
            <w:tcW w:w="611" w:type="dxa"/>
            <w:tcBorders>
              <w:tl2br w:val="nil"/>
              <w:tr2bl w:val="nil"/>
            </w:tcBorders>
            <w:noWrap w:val="0"/>
            <w:vAlign w:val="center"/>
          </w:tcPr>
          <w:p w14:paraId="6482D724">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76</w:t>
            </w:r>
          </w:p>
        </w:tc>
        <w:tc>
          <w:tcPr>
            <w:tcW w:w="495" w:type="dxa"/>
            <w:vMerge w:val="continue"/>
            <w:tcBorders>
              <w:tl2br w:val="nil"/>
              <w:tr2bl w:val="nil"/>
            </w:tcBorders>
            <w:noWrap w:val="0"/>
            <w:vAlign w:val="center"/>
          </w:tcPr>
          <w:p w14:paraId="5BB6CCCA">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466" w:type="dxa"/>
            <w:vMerge w:val="continue"/>
            <w:tcBorders>
              <w:tl2br w:val="nil"/>
              <w:tr2bl w:val="nil"/>
            </w:tcBorders>
            <w:noWrap w:val="0"/>
            <w:vAlign w:val="center"/>
          </w:tcPr>
          <w:p w14:paraId="1E8B366E">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r>
      <w:tr w14:paraId="39637D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tcBorders>
              <w:tl2br w:val="nil"/>
              <w:tr2bl w:val="nil"/>
            </w:tcBorders>
            <w:noWrap w:val="0"/>
            <w:vAlign w:val="center"/>
          </w:tcPr>
          <w:p w14:paraId="0C4E9129">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砼拌和机</w:t>
            </w:r>
          </w:p>
        </w:tc>
        <w:tc>
          <w:tcPr>
            <w:tcW w:w="911" w:type="dxa"/>
            <w:tcBorders>
              <w:tl2br w:val="nil"/>
              <w:tr2bl w:val="nil"/>
            </w:tcBorders>
            <w:noWrap w:val="0"/>
            <w:vAlign w:val="center"/>
          </w:tcPr>
          <w:p w14:paraId="4B046918">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90</w:t>
            </w:r>
          </w:p>
        </w:tc>
        <w:tc>
          <w:tcPr>
            <w:tcW w:w="601" w:type="dxa"/>
            <w:tcBorders>
              <w:tl2br w:val="nil"/>
              <w:tr2bl w:val="nil"/>
            </w:tcBorders>
            <w:noWrap w:val="0"/>
            <w:vAlign w:val="center"/>
          </w:tcPr>
          <w:p w14:paraId="5B099563">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81</w:t>
            </w:r>
          </w:p>
        </w:tc>
        <w:tc>
          <w:tcPr>
            <w:tcW w:w="599" w:type="dxa"/>
            <w:tcBorders>
              <w:tl2br w:val="nil"/>
              <w:tr2bl w:val="nil"/>
            </w:tcBorders>
            <w:noWrap w:val="0"/>
            <w:vAlign w:val="center"/>
          </w:tcPr>
          <w:p w14:paraId="278503A9">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70</w:t>
            </w:r>
          </w:p>
        </w:tc>
        <w:tc>
          <w:tcPr>
            <w:tcW w:w="573" w:type="dxa"/>
            <w:tcBorders>
              <w:tl2br w:val="nil"/>
              <w:tr2bl w:val="nil"/>
            </w:tcBorders>
            <w:noWrap w:val="0"/>
            <w:vAlign w:val="center"/>
          </w:tcPr>
          <w:p w14:paraId="28CC8D51">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56</w:t>
            </w:r>
          </w:p>
        </w:tc>
        <w:tc>
          <w:tcPr>
            <w:tcW w:w="717" w:type="dxa"/>
            <w:tcBorders>
              <w:tl2br w:val="nil"/>
              <w:tr2bl w:val="nil"/>
            </w:tcBorders>
            <w:noWrap w:val="0"/>
            <w:vAlign w:val="center"/>
          </w:tcPr>
          <w:p w14:paraId="5184656A">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50</w:t>
            </w:r>
          </w:p>
        </w:tc>
        <w:tc>
          <w:tcPr>
            <w:tcW w:w="645" w:type="dxa"/>
            <w:tcBorders>
              <w:tl2br w:val="nil"/>
              <w:tr2bl w:val="nil"/>
            </w:tcBorders>
            <w:noWrap w:val="0"/>
            <w:vAlign w:val="center"/>
          </w:tcPr>
          <w:p w14:paraId="30FFAB3D">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46.5</w:t>
            </w:r>
          </w:p>
        </w:tc>
        <w:tc>
          <w:tcPr>
            <w:tcW w:w="597" w:type="dxa"/>
            <w:tcBorders>
              <w:tl2br w:val="nil"/>
              <w:tr2bl w:val="nil"/>
            </w:tcBorders>
            <w:noWrap w:val="0"/>
            <w:vAlign w:val="center"/>
          </w:tcPr>
          <w:p w14:paraId="4F54FD68">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44</w:t>
            </w:r>
          </w:p>
        </w:tc>
        <w:tc>
          <w:tcPr>
            <w:tcW w:w="738" w:type="dxa"/>
            <w:tcBorders>
              <w:tl2br w:val="nil"/>
              <w:tr2bl w:val="nil"/>
            </w:tcBorders>
            <w:noWrap w:val="0"/>
            <w:vAlign w:val="center"/>
          </w:tcPr>
          <w:p w14:paraId="174A2AC2">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32</w:t>
            </w:r>
          </w:p>
        </w:tc>
        <w:tc>
          <w:tcPr>
            <w:tcW w:w="611" w:type="dxa"/>
            <w:tcBorders>
              <w:tl2br w:val="nil"/>
              <w:tr2bl w:val="nil"/>
            </w:tcBorders>
            <w:noWrap w:val="0"/>
            <w:vAlign w:val="center"/>
          </w:tcPr>
          <w:p w14:paraId="1BD3CB2D">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100</w:t>
            </w:r>
          </w:p>
        </w:tc>
        <w:tc>
          <w:tcPr>
            <w:tcW w:w="495" w:type="dxa"/>
            <w:vMerge w:val="continue"/>
            <w:tcBorders>
              <w:tl2br w:val="nil"/>
              <w:tr2bl w:val="nil"/>
            </w:tcBorders>
            <w:noWrap w:val="0"/>
            <w:vAlign w:val="center"/>
          </w:tcPr>
          <w:p w14:paraId="7002C81A">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466" w:type="dxa"/>
            <w:vMerge w:val="continue"/>
            <w:tcBorders>
              <w:tl2br w:val="nil"/>
              <w:tr2bl w:val="nil"/>
            </w:tcBorders>
            <w:noWrap w:val="0"/>
            <w:vAlign w:val="center"/>
          </w:tcPr>
          <w:p w14:paraId="0946A3ED">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r>
      <w:tr w14:paraId="4B9367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tcBorders>
              <w:tl2br w:val="nil"/>
              <w:tr2bl w:val="nil"/>
            </w:tcBorders>
            <w:noWrap w:val="0"/>
            <w:vAlign w:val="center"/>
          </w:tcPr>
          <w:p w14:paraId="4686B0CF">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卷扬机</w:t>
            </w:r>
          </w:p>
        </w:tc>
        <w:tc>
          <w:tcPr>
            <w:tcW w:w="911" w:type="dxa"/>
            <w:tcBorders>
              <w:tl2br w:val="nil"/>
              <w:tr2bl w:val="nil"/>
            </w:tcBorders>
            <w:noWrap w:val="0"/>
            <w:vAlign w:val="center"/>
          </w:tcPr>
          <w:p w14:paraId="69471DE1">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90</w:t>
            </w:r>
          </w:p>
        </w:tc>
        <w:tc>
          <w:tcPr>
            <w:tcW w:w="601" w:type="dxa"/>
            <w:tcBorders>
              <w:tl2br w:val="nil"/>
              <w:tr2bl w:val="nil"/>
            </w:tcBorders>
            <w:noWrap w:val="0"/>
            <w:vAlign w:val="center"/>
          </w:tcPr>
          <w:p w14:paraId="68FB204E">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81</w:t>
            </w:r>
          </w:p>
        </w:tc>
        <w:tc>
          <w:tcPr>
            <w:tcW w:w="599" w:type="dxa"/>
            <w:tcBorders>
              <w:tl2br w:val="nil"/>
              <w:tr2bl w:val="nil"/>
            </w:tcBorders>
            <w:noWrap w:val="0"/>
            <w:vAlign w:val="center"/>
          </w:tcPr>
          <w:p w14:paraId="7062F929">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70</w:t>
            </w:r>
          </w:p>
        </w:tc>
        <w:tc>
          <w:tcPr>
            <w:tcW w:w="573" w:type="dxa"/>
            <w:tcBorders>
              <w:tl2br w:val="nil"/>
              <w:tr2bl w:val="nil"/>
            </w:tcBorders>
            <w:noWrap w:val="0"/>
            <w:vAlign w:val="center"/>
          </w:tcPr>
          <w:p w14:paraId="36ECA83C">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56</w:t>
            </w:r>
          </w:p>
        </w:tc>
        <w:tc>
          <w:tcPr>
            <w:tcW w:w="717" w:type="dxa"/>
            <w:tcBorders>
              <w:tl2br w:val="nil"/>
              <w:tr2bl w:val="nil"/>
            </w:tcBorders>
            <w:noWrap w:val="0"/>
            <w:vAlign w:val="center"/>
          </w:tcPr>
          <w:p w14:paraId="3052FEAF">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50</w:t>
            </w:r>
          </w:p>
        </w:tc>
        <w:tc>
          <w:tcPr>
            <w:tcW w:w="645" w:type="dxa"/>
            <w:tcBorders>
              <w:tl2br w:val="nil"/>
              <w:tr2bl w:val="nil"/>
            </w:tcBorders>
            <w:noWrap w:val="0"/>
            <w:vAlign w:val="center"/>
          </w:tcPr>
          <w:p w14:paraId="72F3CBEE">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46.5</w:t>
            </w:r>
          </w:p>
        </w:tc>
        <w:tc>
          <w:tcPr>
            <w:tcW w:w="597" w:type="dxa"/>
            <w:tcBorders>
              <w:tl2br w:val="nil"/>
              <w:tr2bl w:val="nil"/>
            </w:tcBorders>
            <w:noWrap w:val="0"/>
            <w:vAlign w:val="center"/>
          </w:tcPr>
          <w:p w14:paraId="5477D4C0">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44</w:t>
            </w:r>
          </w:p>
        </w:tc>
        <w:tc>
          <w:tcPr>
            <w:tcW w:w="738" w:type="dxa"/>
            <w:tcBorders>
              <w:tl2br w:val="nil"/>
              <w:tr2bl w:val="nil"/>
            </w:tcBorders>
            <w:noWrap w:val="0"/>
            <w:vAlign w:val="center"/>
          </w:tcPr>
          <w:p w14:paraId="68E8C77F">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32</w:t>
            </w:r>
          </w:p>
        </w:tc>
        <w:tc>
          <w:tcPr>
            <w:tcW w:w="611" w:type="dxa"/>
            <w:tcBorders>
              <w:tl2br w:val="nil"/>
              <w:tr2bl w:val="nil"/>
            </w:tcBorders>
            <w:noWrap w:val="0"/>
            <w:vAlign w:val="center"/>
          </w:tcPr>
          <w:p w14:paraId="1FBA2898">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100</w:t>
            </w:r>
          </w:p>
        </w:tc>
        <w:tc>
          <w:tcPr>
            <w:tcW w:w="495" w:type="dxa"/>
            <w:vMerge w:val="continue"/>
            <w:tcBorders>
              <w:tl2br w:val="nil"/>
              <w:tr2bl w:val="nil"/>
            </w:tcBorders>
            <w:noWrap w:val="0"/>
            <w:vAlign w:val="center"/>
          </w:tcPr>
          <w:p w14:paraId="1EF31463">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466" w:type="dxa"/>
            <w:vMerge w:val="continue"/>
            <w:tcBorders>
              <w:tl2br w:val="nil"/>
              <w:tr2bl w:val="nil"/>
            </w:tcBorders>
            <w:noWrap w:val="0"/>
            <w:vAlign w:val="center"/>
          </w:tcPr>
          <w:p w14:paraId="39235A2C">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r>
      <w:tr w14:paraId="5CC70B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tcBorders>
              <w:tl2br w:val="nil"/>
              <w:tr2bl w:val="nil"/>
            </w:tcBorders>
            <w:noWrap w:val="0"/>
            <w:vAlign w:val="center"/>
          </w:tcPr>
          <w:p w14:paraId="5979354D">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地质钻</w:t>
            </w:r>
          </w:p>
        </w:tc>
        <w:tc>
          <w:tcPr>
            <w:tcW w:w="911" w:type="dxa"/>
            <w:tcBorders>
              <w:tl2br w:val="nil"/>
              <w:tr2bl w:val="nil"/>
            </w:tcBorders>
            <w:noWrap w:val="0"/>
            <w:vAlign w:val="center"/>
          </w:tcPr>
          <w:p w14:paraId="70610A28">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90</w:t>
            </w:r>
          </w:p>
        </w:tc>
        <w:tc>
          <w:tcPr>
            <w:tcW w:w="601" w:type="dxa"/>
            <w:tcBorders>
              <w:tl2br w:val="nil"/>
              <w:tr2bl w:val="nil"/>
            </w:tcBorders>
            <w:noWrap w:val="0"/>
            <w:vAlign w:val="center"/>
          </w:tcPr>
          <w:p w14:paraId="0DE7822C">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81</w:t>
            </w:r>
          </w:p>
        </w:tc>
        <w:tc>
          <w:tcPr>
            <w:tcW w:w="599" w:type="dxa"/>
            <w:tcBorders>
              <w:tl2br w:val="nil"/>
              <w:tr2bl w:val="nil"/>
            </w:tcBorders>
            <w:noWrap w:val="0"/>
            <w:vAlign w:val="center"/>
          </w:tcPr>
          <w:p w14:paraId="087A3824">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70</w:t>
            </w:r>
          </w:p>
        </w:tc>
        <w:tc>
          <w:tcPr>
            <w:tcW w:w="573" w:type="dxa"/>
            <w:tcBorders>
              <w:tl2br w:val="nil"/>
              <w:tr2bl w:val="nil"/>
            </w:tcBorders>
            <w:noWrap w:val="0"/>
            <w:vAlign w:val="center"/>
          </w:tcPr>
          <w:p w14:paraId="30D35FB8">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56</w:t>
            </w:r>
          </w:p>
        </w:tc>
        <w:tc>
          <w:tcPr>
            <w:tcW w:w="717" w:type="dxa"/>
            <w:tcBorders>
              <w:tl2br w:val="nil"/>
              <w:tr2bl w:val="nil"/>
            </w:tcBorders>
            <w:noWrap w:val="0"/>
            <w:vAlign w:val="center"/>
          </w:tcPr>
          <w:p w14:paraId="3EB41CF5">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50</w:t>
            </w:r>
          </w:p>
        </w:tc>
        <w:tc>
          <w:tcPr>
            <w:tcW w:w="645" w:type="dxa"/>
            <w:tcBorders>
              <w:tl2br w:val="nil"/>
              <w:tr2bl w:val="nil"/>
            </w:tcBorders>
            <w:noWrap w:val="0"/>
            <w:vAlign w:val="center"/>
          </w:tcPr>
          <w:p w14:paraId="7F58E473">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46.5</w:t>
            </w:r>
          </w:p>
        </w:tc>
        <w:tc>
          <w:tcPr>
            <w:tcW w:w="597" w:type="dxa"/>
            <w:tcBorders>
              <w:tl2br w:val="nil"/>
              <w:tr2bl w:val="nil"/>
            </w:tcBorders>
            <w:noWrap w:val="0"/>
            <w:vAlign w:val="center"/>
          </w:tcPr>
          <w:p w14:paraId="43EE6ACC">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44</w:t>
            </w:r>
          </w:p>
        </w:tc>
        <w:tc>
          <w:tcPr>
            <w:tcW w:w="738" w:type="dxa"/>
            <w:tcBorders>
              <w:tl2br w:val="nil"/>
              <w:tr2bl w:val="nil"/>
            </w:tcBorders>
            <w:noWrap w:val="0"/>
            <w:vAlign w:val="center"/>
          </w:tcPr>
          <w:p w14:paraId="3F4C5BEB">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32</w:t>
            </w:r>
          </w:p>
        </w:tc>
        <w:tc>
          <w:tcPr>
            <w:tcW w:w="611" w:type="dxa"/>
            <w:tcBorders>
              <w:tl2br w:val="nil"/>
              <w:tr2bl w:val="nil"/>
            </w:tcBorders>
            <w:noWrap w:val="0"/>
            <w:vAlign w:val="center"/>
          </w:tcPr>
          <w:p w14:paraId="106DF373">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100</w:t>
            </w:r>
          </w:p>
        </w:tc>
        <w:tc>
          <w:tcPr>
            <w:tcW w:w="495" w:type="dxa"/>
            <w:vMerge w:val="continue"/>
            <w:tcBorders>
              <w:tl2br w:val="nil"/>
              <w:tr2bl w:val="nil"/>
            </w:tcBorders>
            <w:noWrap w:val="0"/>
            <w:vAlign w:val="center"/>
          </w:tcPr>
          <w:p w14:paraId="1654D19E">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466" w:type="dxa"/>
            <w:vMerge w:val="continue"/>
            <w:tcBorders>
              <w:tl2br w:val="nil"/>
              <w:tr2bl w:val="nil"/>
            </w:tcBorders>
            <w:noWrap w:val="0"/>
            <w:vAlign w:val="center"/>
          </w:tcPr>
          <w:p w14:paraId="0F3EEF3E">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r>
      <w:tr w14:paraId="56B2AE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tcBorders>
              <w:tl2br w:val="nil"/>
              <w:tr2bl w:val="nil"/>
            </w:tcBorders>
            <w:noWrap w:val="0"/>
            <w:vAlign w:val="center"/>
          </w:tcPr>
          <w:p w14:paraId="0B76B544">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灰浆搅拌机</w:t>
            </w:r>
          </w:p>
        </w:tc>
        <w:tc>
          <w:tcPr>
            <w:tcW w:w="911" w:type="dxa"/>
            <w:tcBorders>
              <w:tl2br w:val="nil"/>
              <w:tr2bl w:val="nil"/>
            </w:tcBorders>
            <w:noWrap w:val="0"/>
            <w:vAlign w:val="center"/>
          </w:tcPr>
          <w:p w14:paraId="6309A49E">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90</w:t>
            </w:r>
          </w:p>
        </w:tc>
        <w:tc>
          <w:tcPr>
            <w:tcW w:w="601" w:type="dxa"/>
            <w:tcBorders>
              <w:tl2br w:val="nil"/>
              <w:tr2bl w:val="nil"/>
            </w:tcBorders>
            <w:noWrap w:val="0"/>
            <w:vAlign w:val="center"/>
          </w:tcPr>
          <w:p w14:paraId="60CD4053">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81</w:t>
            </w:r>
          </w:p>
        </w:tc>
        <w:tc>
          <w:tcPr>
            <w:tcW w:w="599" w:type="dxa"/>
            <w:tcBorders>
              <w:tl2br w:val="nil"/>
              <w:tr2bl w:val="nil"/>
            </w:tcBorders>
            <w:noWrap w:val="0"/>
            <w:vAlign w:val="center"/>
          </w:tcPr>
          <w:p w14:paraId="24DA5A07">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70</w:t>
            </w:r>
          </w:p>
        </w:tc>
        <w:tc>
          <w:tcPr>
            <w:tcW w:w="573" w:type="dxa"/>
            <w:tcBorders>
              <w:tl2br w:val="nil"/>
              <w:tr2bl w:val="nil"/>
            </w:tcBorders>
            <w:noWrap w:val="0"/>
            <w:vAlign w:val="center"/>
          </w:tcPr>
          <w:p w14:paraId="637C5BF8">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56</w:t>
            </w:r>
          </w:p>
        </w:tc>
        <w:tc>
          <w:tcPr>
            <w:tcW w:w="717" w:type="dxa"/>
            <w:tcBorders>
              <w:tl2br w:val="nil"/>
              <w:tr2bl w:val="nil"/>
            </w:tcBorders>
            <w:noWrap w:val="0"/>
            <w:vAlign w:val="center"/>
          </w:tcPr>
          <w:p w14:paraId="2DD0A598">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50</w:t>
            </w:r>
          </w:p>
        </w:tc>
        <w:tc>
          <w:tcPr>
            <w:tcW w:w="645" w:type="dxa"/>
            <w:tcBorders>
              <w:tl2br w:val="nil"/>
              <w:tr2bl w:val="nil"/>
            </w:tcBorders>
            <w:noWrap w:val="0"/>
            <w:vAlign w:val="center"/>
          </w:tcPr>
          <w:p w14:paraId="2582970E">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46.5</w:t>
            </w:r>
          </w:p>
        </w:tc>
        <w:tc>
          <w:tcPr>
            <w:tcW w:w="597" w:type="dxa"/>
            <w:tcBorders>
              <w:tl2br w:val="nil"/>
              <w:tr2bl w:val="nil"/>
            </w:tcBorders>
            <w:noWrap w:val="0"/>
            <w:vAlign w:val="center"/>
          </w:tcPr>
          <w:p w14:paraId="3209AAEE">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44</w:t>
            </w:r>
          </w:p>
        </w:tc>
        <w:tc>
          <w:tcPr>
            <w:tcW w:w="738" w:type="dxa"/>
            <w:tcBorders>
              <w:tl2br w:val="nil"/>
              <w:tr2bl w:val="nil"/>
            </w:tcBorders>
            <w:noWrap w:val="0"/>
            <w:vAlign w:val="center"/>
          </w:tcPr>
          <w:p w14:paraId="120AB13B">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32</w:t>
            </w:r>
          </w:p>
        </w:tc>
        <w:tc>
          <w:tcPr>
            <w:tcW w:w="611" w:type="dxa"/>
            <w:tcBorders>
              <w:tl2br w:val="nil"/>
              <w:tr2bl w:val="nil"/>
            </w:tcBorders>
            <w:noWrap w:val="0"/>
            <w:vAlign w:val="center"/>
          </w:tcPr>
          <w:p w14:paraId="78D7FDEA">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100</w:t>
            </w:r>
          </w:p>
        </w:tc>
        <w:tc>
          <w:tcPr>
            <w:tcW w:w="495" w:type="dxa"/>
            <w:vMerge w:val="continue"/>
            <w:tcBorders>
              <w:tl2br w:val="nil"/>
              <w:tr2bl w:val="nil"/>
            </w:tcBorders>
            <w:noWrap w:val="0"/>
            <w:vAlign w:val="center"/>
          </w:tcPr>
          <w:p w14:paraId="61A465BC">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466" w:type="dxa"/>
            <w:vMerge w:val="continue"/>
            <w:tcBorders>
              <w:tl2br w:val="nil"/>
              <w:tr2bl w:val="nil"/>
            </w:tcBorders>
            <w:noWrap w:val="0"/>
            <w:vAlign w:val="center"/>
          </w:tcPr>
          <w:p w14:paraId="07BEAD46">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r>
      <w:tr w14:paraId="7EBEEE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tcBorders>
              <w:tl2br w:val="nil"/>
              <w:tr2bl w:val="nil"/>
            </w:tcBorders>
            <w:noWrap w:val="0"/>
            <w:vAlign w:val="center"/>
          </w:tcPr>
          <w:p w14:paraId="7D2AE7F6">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灌浆泵</w:t>
            </w:r>
          </w:p>
        </w:tc>
        <w:tc>
          <w:tcPr>
            <w:tcW w:w="911" w:type="dxa"/>
            <w:tcBorders>
              <w:tl2br w:val="nil"/>
              <w:tr2bl w:val="nil"/>
            </w:tcBorders>
            <w:noWrap w:val="0"/>
            <w:vAlign w:val="center"/>
          </w:tcPr>
          <w:p w14:paraId="07D78A4C">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90</w:t>
            </w:r>
          </w:p>
        </w:tc>
        <w:tc>
          <w:tcPr>
            <w:tcW w:w="601" w:type="dxa"/>
            <w:tcBorders>
              <w:tl2br w:val="nil"/>
              <w:tr2bl w:val="nil"/>
            </w:tcBorders>
            <w:noWrap w:val="0"/>
            <w:vAlign w:val="center"/>
          </w:tcPr>
          <w:p w14:paraId="4E4C03B7">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81</w:t>
            </w:r>
          </w:p>
        </w:tc>
        <w:tc>
          <w:tcPr>
            <w:tcW w:w="599" w:type="dxa"/>
            <w:tcBorders>
              <w:tl2br w:val="nil"/>
              <w:tr2bl w:val="nil"/>
            </w:tcBorders>
            <w:noWrap w:val="0"/>
            <w:vAlign w:val="center"/>
          </w:tcPr>
          <w:p w14:paraId="6FBD1A51">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70</w:t>
            </w:r>
          </w:p>
        </w:tc>
        <w:tc>
          <w:tcPr>
            <w:tcW w:w="573" w:type="dxa"/>
            <w:tcBorders>
              <w:tl2br w:val="nil"/>
              <w:tr2bl w:val="nil"/>
            </w:tcBorders>
            <w:noWrap w:val="0"/>
            <w:vAlign w:val="center"/>
          </w:tcPr>
          <w:p w14:paraId="4536E1F0">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56</w:t>
            </w:r>
          </w:p>
        </w:tc>
        <w:tc>
          <w:tcPr>
            <w:tcW w:w="717" w:type="dxa"/>
            <w:tcBorders>
              <w:tl2br w:val="nil"/>
              <w:tr2bl w:val="nil"/>
            </w:tcBorders>
            <w:noWrap w:val="0"/>
            <w:vAlign w:val="center"/>
          </w:tcPr>
          <w:p w14:paraId="4861556F">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50</w:t>
            </w:r>
          </w:p>
        </w:tc>
        <w:tc>
          <w:tcPr>
            <w:tcW w:w="645" w:type="dxa"/>
            <w:tcBorders>
              <w:tl2br w:val="nil"/>
              <w:tr2bl w:val="nil"/>
            </w:tcBorders>
            <w:noWrap w:val="0"/>
            <w:vAlign w:val="center"/>
          </w:tcPr>
          <w:p w14:paraId="46E7A3F6">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46.5</w:t>
            </w:r>
          </w:p>
        </w:tc>
        <w:tc>
          <w:tcPr>
            <w:tcW w:w="597" w:type="dxa"/>
            <w:tcBorders>
              <w:tl2br w:val="nil"/>
              <w:tr2bl w:val="nil"/>
            </w:tcBorders>
            <w:noWrap w:val="0"/>
            <w:vAlign w:val="center"/>
          </w:tcPr>
          <w:p w14:paraId="12EB2D4C">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44</w:t>
            </w:r>
          </w:p>
        </w:tc>
        <w:tc>
          <w:tcPr>
            <w:tcW w:w="738" w:type="dxa"/>
            <w:tcBorders>
              <w:tl2br w:val="nil"/>
              <w:tr2bl w:val="nil"/>
            </w:tcBorders>
            <w:noWrap w:val="0"/>
            <w:vAlign w:val="center"/>
          </w:tcPr>
          <w:p w14:paraId="16F830E1">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32</w:t>
            </w:r>
          </w:p>
        </w:tc>
        <w:tc>
          <w:tcPr>
            <w:tcW w:w="611" w:type="dxa"/>
            <w:tcBorders>
              <w:tl2br w:val="nil"/>
              <w:tr2bl w:val="nil"/>
            </w:tcBorders>
            <w:noWrap w:val="0"/>
            <w:vAlign w:val="center"/>
          </w:tcPr>
          <w:p w14:paraId="2141E712">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100</w:t>
            </w:r>
          </w:p>
        </w:tc>
        <w:tc>
          <w:tcPr>
            <w:tcW w:w="495" w:type="dxa"/>
            <w:vMerge w:val="continue"/>
            <w:tcBorders>
              <w:tl2br w:val="nil"/>
              <w:tr2bl w:val="nil"/>
            </w:tcBorders>
            <w:noWrap w:val="0"/>
            <w:vAlign w:val="center"/>
          </w:tcPr>
          <w:p w14:paraId="1D5EC578">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466" w:type="dxa"/>
            <w:vMerge w:val="continue"/>
            <w:tcBorders>
              <w:tl2br w:val="nil"/>
              <w:tr2bl w:val="nil"/>
            </w:tcBorders>
            <w:noWrap w:val="0"/>
            <w:vAlign w:val="center"/>
          </w:tcPr>
          <w:p w14:paraId="3DC9BF17">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r>
      <w:tr w14:paraId="325EC3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tcBorders>
              <w:tl2br w:val="nil"/>
              <w:tr2bl w:val="nil"/>
            </w:tcBorders>
            <w:noWrap w:val="0"/>
            <w:vAlign w:val="center"/>
          </w:tcPr>
          <w:p w14:paraId="3B48A30E">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冲击钻机</w:t>
            </w:r>
          </w:p>
        </w:tc>
        <w:tc>
          <w:tcPr>
            <w:tcW w:w="911" w:type="dxa"/>
            <w:tcBorders>
              <w:tl2br w:val="nil"/>
              <w:tr2bl w:val="nil"/>
            </w:tcBorders>
            <w:noWrap w:val="0"/>
            <w:vAlign w:val="center"/>
          </w:tcPr>
          <w:p w14:paraId="54C2EBB6">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90</w:t>
            </w:r>
          </w:p>
        </w:tc>
        <w:tc>
          <w:tcPr>
            <w:tcW w:w="601" w:type="dxa"/>
            <w:tcBorders>
              <w:tl2br w:val="nil"/>
              <w:tr2bl w:val="nil"/>
            </w:tcBorders>
            <w:noWrap w:val="0"/>
            <w:vAlign w:val="center"/>
          </w:tcPr>
          <w:p w14:paraId="24112487">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81</w:t>
            </w:r>
          </w:p>
        </w:tc>
        <w:tc>
          <w:tcPr>
            <w:tcW w:w="599" w:type="dxa"/>
            <w:tcBorders>
              <w:tl2br w:val="nil"/>
              <w:tr2bl w:val="nil"/>
            </w:tcBorders>
            <w:noWrap w:val="0"/>
            <w:vAlign w:val="center"/>
          </w:tcPr>
          <w:p w14:paraId="38B430DA">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70</w:t>
            </w:r>
          </w:p>
        </w:tc>
        <w:tc>
          <w:tcPr>
            <w:tcW w:w="573" w:type="dxa"/>
            <w:tcBorders>
              <w:tl2br w:val="nil"/>
              <w:tr2bl w:val="nil"/>
            </w:tcBorders>
            <w:noWrap w:val="0"/>
            <w:vAlign w:val="center"/>
          </w:tcPr>
          <w:p w14:paraId="58DA34D3">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56</w:t>
            </w:r>
          </w:p>
        </w:tc>
        <w:tc>
          <w:tcPr>
            <w:tcW w:w="717" w:type="dxa"/>
            <w:tcBorders>
              <w:tl2br w:val="nil"/>
              <w:tr2bl w:val="nil"/>
            </w:tcBorders>
            <w:noWrap w:val="0"/>
            <w:vAlign w:val="center"/>
          </w:tcPr>
          <w:p w14:paraId="28701E86">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50</w:t>
            </w:r>
          </w:p>
        </w:tc>
        <w:tc>
          <w:tcPr>
            <w:tcW w:w="645" w:type="dxa"/>
            <w:tcBorders>
              <w:tl2br w:val="nil"/>
              <w:tr2bl w:val="nil"/>
            </w:tcBorders>
            <w:noWrap w:val="0"/>
            <w:vAlign w:val="center"/>
          </w:tcPr>
          <w:p w14:paraId="15AA23F1">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46.5</w:t>
            </w:r>
          </w:p>
        </w:tc>
        <w:tc>
          <w:tcPr>
            <w:tcW w:w="597" w:type="dxa"/>
            <w:tcBorders>
              <w:tl2br w:val="nil"/>
              <w:tr2bl w:val="nil"/>
            </w:tcBorders>
            <w:noWrap w:val="0"/>
            <w:vAlign w:val="center"/>
          </w:tcPr>
          <w:p w14:paraId="7E8AB8F1">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44</w:t>
            </w:r>
          </w:p>
        </w:tc>
        <w:tc>
          <w:tcPr>
            <w:tcW w:w="738" w:type="dxa"/>
            <w:tcBorders>
              <w:tl2br w:val="nil"/>
              <w:tr2bl w:val="nil"/>
            </w:tcBorders>
            <w:noWrap w:val="0"/>
            <w:vAlign w:val="center"/>
          </w:tcPr>
          <w:p w14:paraId="51190BF1">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32</w:t>
            </w:r>
          </w:p>
        </w:tc>
        <w:tc>
          <w:tcPr>
            <w:tcW w:w="611" w:type="dxa"/>
            <w:tcBorders>
              <w:tl2br w:val="nil"/>
              <w:tr2bl w:val="nil"/>
            </w:tcBorders>
            <w:noWrap w:val="0"/>
            <w:vAlign w:val="center"/>
          </w:tcPr>
          <w:p w14:paraId="3FB1F3FE">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100</w:t>
            </w:r>
          </w:p>
        </w:tc>
        <w:tc>
          <w:tcPr>
            <w:tcW w:w="495" w:type="dxa"/>
            <w:vMerge w:val="continue"/>
            <w:tcBorders>
              <w:tl2br w:val="nil"/>
              <w:tr2bl w:val="nil"/>
            </w:tcBorders>
            <w:noWrap w:val="0"/>
            <w:vAlign w:val="center"/>
          </w:tcPr>
          <w:p w14:paraId="7554E4DF">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466" w:type="dxa"/>
            <w:vMerge w:val="continue"/>
            <w:tcBorders>
              <w:tl2br w:val="nil"/>
              <w:tr2bl w:val="nil"/>
            </w:tcBorders>
            <w:noWrap w:val="0"/>
            <w:vAlign w:val="center"/>
          </w:tcPr>
          <w:p w14:paraId="06BDE379">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r>
      <w:tr w14:paraId="4F3AB2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tcBorders>
              <w:tl2br w:val="nil"/>
              <w:tr2bl w:val="nil"/>
            </w:tcBorders>
            <w:noWrap w:val="0"/>
            <w:vAlign w:val="center"/>
          </w:tcPr>
          <w:p w14:paraId="41071BE1">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汽车吊</w:t>
            </w:r>
          </w:p>
        </w:tc>
        <w:tc>
          <w:tcPr>
            <w:tcW w:w="911" w:type="dxa"/>
            <w:tcBorders>
              <w:tl2br w:val="nil"/>
              <w:tr2bl w:val="nil"/>
            </w:tcBorders>
            <w:noWrap w:val="0"/>
            <w:vAlign w:val="center"/>
          </w:tcPr>
          <w:p w14:paraId="36D5596E">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80</w:t>
            </w:r>
          </w:p>
        </w:tc>
        <w:tc>
          <w:tcPr>
            <w:tcW w:w="601" w:type="dxa"/>
            <w:tcBorders>
              <w:tl2br w:val="nil"/>
              <w:tr2bl w:val="nil"/>
            </w:tcBorders>
            <w:noWrap w:val="0"/>
            <w:vAlign w:val="center"/>
          </w:tcPr>
          <w:p w14:paraId="75A6677C">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68</w:t>
            </w:r>
          </w:p>
        </w:tc>
        <w:tc>
          <w:tcPr>
            <w:tcW w:w="599" w:type="dxa"/>
            <w:tcBorders>
              <w:tl2br w:val="nil"/>
              <w:tr2bl w:val="nil"/>
            </w:tcBorders>
            <w:noWrap w:val="0"/>
            <w:vAlign w:val="center"/>
          </w:tcPr>
          <w:p w14:paraId="7E3431FB">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57</w:t>
            </w:r>
          </w:p>
        </w:tc>
        <w:tc>
          <w:tcPr>
            <w:tcW w:w="573" w:type="dxa"/>
            <w:tcBorders>
              <w:tl2br w:val="nil"/>
              <w:tr2bl w:val="nil"/>
            </w:tcBorders>
            <w:noWrap w:val="0"/>
            <w:vAlign w:val="center"/>
          </w:tcPr>
          <w:p w14:paraId="2E6526BD">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51</w:t>
            </w:r>
          </w:p>
        </w:tc>
        <w:tc>
          <w:tcPr>
            <w:tcW w:w="717" w:type="dxa"/>
            <w:tcBorders>
              <w:tl2br w:val="nil"/>
              <w:tr2bl w:val="nil"/>
            </w:tcBorders>
            <w:noWrap w:val="0"/>
            <w:vAlign w:val="center"/>
          </w:tcPr>
          <w:p w14:paraId="76EDEC0F">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44</w:t>
            </w:r>
          </w:p>
        </w:tc>
        <w:tc>
          <w:tcPr>
            <w:tcW w:w="645" w:type="dxa"/>
            <w:tcBorders>
              <w:tl2br w:val="nil"/>
              <w:tr2bl w:val="nil"/>
            </w:tcBorders>
            <w:noWrap w:val="0"/>
            <w:vAlign w:val="center"/>
          </w:tcPr>
          <w:p w14:paraId="2DDF6936">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39</w:t>
            </w:r>
          </w:p>
        </w:tc>
        <w:tc>
          <w:tcPr>
            <w:tcW w:w="597" w:type="dxa"/>
            <w:tcBorders>
              <w:tl2br w:val="nil"/>
              <w:tr2bl w:val="nil"/>
            </w:tcBorders>
            <w:noWrap w:val="0"/>
            <w:vAlign w:val="center"/>
          </w:tcPr>
          <w:p w14:paraId="7C678298">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33</w:t>
            </w:r>
          </w:p>
        </w:tc>
        <w:tc>
          <w:tcPr>
            <w:tcW w:w="738" w:type="dxa"/>
            <w:tcBorders>
              <w:tl2br w:val="nil"/>
              <w:tr2bl w:val="nil"/>
            </w:tcBorders>
            <w:noWrap w:val="0"/>
            <w:vAlign w:val="center"/>
          </w:tcPr>
          <w:p w14:paraId="492B8C1E">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19</w:t>
            </w:r>
          </w:p>
        </w:tc>
        <w:tc>
          <w:tcPr>
            <w:tcW w:w="611" w:type="dxa"/>
            <w:tcBorders>
              <w:tl2br w:val="nil"/>
              <w:tr2bl w:val="nil"/>
            </w:tcBorders>
            <w:noWrap w:val="0"/>
            <w:vAlign w:val="center"/>
          </w:tcPr>
          <w:p w14:paraId="3765B0AD">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63</w:t>
            </w:r>
          </w:p>
        </w:tc>
        <w:tc>
          <w:tcPr>
            <w:tcW w:w="495" w:type="dxa"/>
            <w:vMerge w:val="continue"/>
            <w:tcBorders>
              <w:tl2br w:val="nil"/>
              <w:tr2bl w:val="nil"/>
            </w:tcBorders>
            <w:noWrap w:val="0"/>
            <w:vAlign w:val="center"/>
          </w:tcPr>
          <w:p w14:paraId="4D5D315D">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466" w:type="dxa"/>
            <w:vMerge w:val="continue"/>
            <w:tcBorders>
              <w:tl2br w:val="nil"/>
              <w:tr2bl w:val="nil"/>
            </w:tcBorders>
            <w:noWrap w:val="0"/>
            <w:vAlign w:val="center"/>
          </w:tcPr>
          <w:p w14:paraId="4148D3D4">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r>
      <w:tr w14:paraId="453455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tcBorders>
              <w:tl2br w:val="nil"/>
              <w:tr2bl w:val="nil"/>
            </w:tcBorders>
            <w:noWrap w:val="0"/>
            <w:vAlign w:val="center"/>
          </w:tcPr>
          <w:p w14:paraId="2A3FEDE2">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水泵</w:t>
            </w:r>
          </w:p>
        </w:tc>
        <w:tc>
          <w:tcPr>
            <w:tcW w:w="911" w:type="dxa"/>
            <w:tcBorders>
              <w:tl2br w:val="nil"/>
              <w:tr2bl w:val="nil"/>
            </w:tcBorders>
            <w:noWrap w:val="0"/>
            <w:vAlign w:val="center"/>
          </w:tcPr>
          <w:p w14:paraId="12DE77D9">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85</w:t>
            </w:r>
          </w:p>
        </w:tc>
        <w:tc>
          <w:tcPr>
            <w:tcW w:w="601" w:type="dxa"/>
            <w:tcBorders>
              <w:tl2br w:val="nil"/>
              <w:tr2bl w:val="nil"/>
            </w:tcBorders>
            <w:noWrap w:val="0"/>
            <w:vAlign w:val="center"/>
          </w:tcPr>
          <w:p w14:paraId="4F16FF42">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72</w:t>
            </w:r>
          </w:p>
        </w:tc>
        <w:tc>
          <w:tcPr>
            <w:tcW w:w="599" w:type="dxa"/>
            <w:tcBorders>
              <w:tl2br w:val="nil"/>
              <w:tr2bl w:val="nil"/>
            </w:tcBorders>
            <w:noWrap w:val="0"/>
            <w:vAlign w:val="center"/>
          </w:tcPr>
          <w:p w14:paraId="5AAD79F7">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65</w:t>
            </w:r>
          </w:p>
        </w:tc>
        <w:tc>
          <w:tcPr>
            <w:tcW w:w="573" w:type="dxa"/>
            <w:tcBorders>
              <w:tl2br w:val="nil"/>
              <w:tr2bl w:val="nil"/>
            </w:tcBorders>
            <w:noWrap w:val="0"/>
            <w:vAlign w:val="center"/>
          </w:tcPr>
          <w:p w14:paraId="42CC273B">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52</w:t>
            </w:r>
          </w:p>
        </w:tc>
        <w:tc>
          <w:tcPr>
            <w:tcW w:w="717" w:type="dxa"/>
            <w:tcBorders>
              <w:tl2br w:val="nil"/>
              <w:tr2bl w:val="nil"/>
            </w:tcBorders>
            <w:noWrap w:val="0"/>
            <w:vAlign w:val="center"/>
          </w:tcPr>
          <w:p w14:paraId="4F7814E1">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46</w:t>
            </w:r>
          </w:p>
        </w:tc>
        <w:tc>
          <w:tcPr>
            <w:tcW w:w="645" w:type="dxa"/>
            <w:tcBorders>
              <w:tl2br w:val="nil"/>
              <w:tr2bl w:val="nil"/>
            </w:tcBorders>
            <w:noWrap w:val="0"/>
            <w:vAlign w:val="center"/>
          </w:tcPr>
          <w:p w14:paraId="544B5785">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42.5</w:t>
            </w:r>
          </w:p>
        </w:tc>
        <w:tc>
          <w:tcPr>
            <w:tcW w:w="597" w:type="dxa"/>
            <w:tcBorders>
              <w:tl2br w:val="nil"/>
              <w:tr2bl w:val="nil"/>
            </w:tcBorders>
            <w:noWrap w:val="0"/>
            <w:vAlign w:val="center"/>
          </w:tcPr>
          <w:p w14:paraId="3CBCFBDF">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40</w:t>
            </w:r>
          </w:p>
        </w:tc>
        <w:tc>
          <w:tcPr>
            <w:tcW w:w="738" w:type="dxa"/>
            <w:tcBorders>
              <w:tl2br w:val="nil"/>
              <w:tr2bl w:val="nil"/>
            </w:tcBorders>
            <w:noWrap w:val="0"/>
            <w:vAlign w:val="center"/>
          </w:tcPr>
          <w:p w14:paraId="7CFE570A">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24</w:t>
            </w:r>
          </w:p>
        </w:tc>
        <w:tc>
          <w:tcPr>
            <w:tcW w:w="611" w:type="dxa"/>
            <w:tcBorders>
              <w:tl2br w:val="nil"/>
              <w:tr2bl w:val="nil"/>
            </w:tcBorders>
            <w:noWrap w:val="0"/>
            <w:vAlign w:val="center"/>
          </w:tcPr>
          <w:p w14:paraId="35BC51CC">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76</w:t>
            </w:r>
          </w:p>
        </w:tc>
        <w:tc>
          <w:tcPr>
            <w:tcW w:w="495" w:type="dxa"/>
            <w:vMerge w:val="continue"/>
            <w:tcBorders>
              <w:tl2br w:val="nil"/>
              <w:tr2bl w:val="nil"/>
            </w:tcBorders>
            <w:noWrap w:val="0"/>
            <w:vAlign w:val="center"/>
          </w:tcPr>
          <w:p w14:paraId="6C2F69C5">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466" w:type="dxa"/>
            <w:vMerge w:val="continue"/>
            <w:tcBorders>
              <w:tl2br w:val="nil"/>
              <w:tr2bl w:val="nil"/>
            </w:tcBorders>
            <w:noWrap w:val="0"/>
            <w:vAlign w:val="center"/>
          </w:tcPr>
          <w:p w14:paraId="46F5E299">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r>
      <w:tr w14:paraId="1A0E11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77" w:type="dxa"/>
            <w:tcBorders>
              <w:tl2br w:val="nil"/>
              <w:tr2bl w:val="nil"/>
            </w:tcBorders>
            <w:noWrap w:val="0"/>
            <w:vAlign w:val="center"/>
          </w:tcPr>
          <w:p w14:paraId="40D02038">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空压机</w:t>
            </w:r>
          </w:p>
        </w:tc>
        <w:tc>
          <w:tcPr>
            <w:tcW w:w="911" w:type="dxa"/>
            <w:tcBorders>
              <w:tl2br w:val="nil"/>
              <w:tr2bl w:val="nil"/>
            </w:tcBorders>
            <w:noWrap w:val="0"/>
            <w:vAlign w:val="center"/>
          </w:tcPr>
          <w:p w14:paraId="5C26593B">
            <w:pPr>
              <w:keepNext w:val="0"/>
              <w:keepLines w:val="0"/>
              <w:pageBreakBefore w:val="0"/>
              <w:widowControl/>
              <w:suppressLineNumbers w:val="0"/>
              <w:kinsoku/>
              <w:wordWrap/>
              <w:overflowPunct/>
              <w:topLinePunct w:val="0"/>
              <w:autoSpaceDE/>
              <w:autoSpaceDN/>
              <w:bidi w:val="0"/>
              <w:adjustRightInd/>
              <w:snapToGrid/>
              <w:spacing w:line="240" w:lineRule="auto"/>
              <w:ind w:left="0" w:right="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85</w:t>
            </w:r>
          </w:p>
        </w:tc>
        <w:tc>
          <w:tcPr>
            <w:tcW w:w="601" w:type="dxa"/>
            <w:tcBorders>
              <w:tl2br w:val="nil"/>
              <w:tr2bl w:val="nil"/>
            </w:tcBorders>
            <w:noWrap w:val="0"/>
            <w:vAlign w:val="center"/>
          </w:tcPr>
          <w:p w14:paraId="4ECC420D">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72</w:t>
            </w:r>
          </w:p>
        </w:tc>
        <w:tc>
          <w:tcPr>
            <w:tcW w:w="599" w:type="dxa"/>
            <w:tcBorders>
              <w:tl2br w:val="nil"/>
              <w:tr2bl w:val="nil"/>
            </w:tcBorders>
            <w:noWrap w:val="0"/>
            <w:vAlign w:val="center"/>
          </w:tcPr>
          <w:p w14:paraId="4A0CA1F1">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65</w:t>
            </w:r>
          </w:p>
        </w:tc>
        <w:tc>
          <w:tcPr>
            <w:tcW w:w="573" w:type="dxa"/>
            <w:tcBorders>
              <w:tl2br w:val="nil"/>
              <w:tr2bl w:val="nil"/>
            </w:tcBorders>
            <w:noWrap w:val="0"/>
            <w:vAlign w:val="center"/>
          </w:tcPr>
          <w:p w14:paraId="704C1EFB">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52</w:t>
            </w:r>
          </w:p>
        </w:tc>
        <w:tc>
          <w:tcPr>
            <w:tcW w:w="717" w:type="dxa"/>
            <w:tcBorders>
              <w:tl2br w:val="nil"/>
              <w:tr2bl w:val="nil"/>
            </w:tcBorders>
            <w:noWrap w:val="0"/>
            <w:vAlign w:val="center"/>
          </w:tcPr>
          <w:p w14:paraId="6689D039">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46</w:t>
            </w:r>
          </w:p>
        </w:tc>
        <w:tc>
          <w:tcPr>
            <w:tcW w:w="645" w:type="dxa"/>
            <w:tcBorders>
              <w:tl2br w:val="nil"/>
              <w:tr2bl w:val="nil"/>
            </w:tcBorders>
            <w:noWrap w:val="0"/>
            <w:vAlign w:val="center"/>
          </w:tcPr>
          <w:p w14:paraId="27C50BE9">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42.5</w:t>
            </w:r>
          </w:p>
        </w:tc>
        <w:tc>
          <w:tcPr>
            <w:tcW w:w="597" w:type="dxa"/>
            <w:tcBorders>
              <w:tl2br w:val="nil"/>
              <w:tr2bl w:val="nil"/>
            </w:tcBorders>
            <w:noWrap w:val="0"/>
            <w:vAlign w:val="center"/>
          </w:tcPr>
          <w:p w14:paraId="12CDC642">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40</w:t>
            </w:r>
          </w:p>
        </w:tc>
        <w:tc>
          <w:tcPr>
            <w:tcW w:w="738" w:type="dxa"/>
            <w:tcBorders>
              <w:tl2br w:val="nil"/>
              <w:tr2bl w:val="nil"/>
            </w:tcBorders>
            <w:noWrap w:val="0"/>
            <w:vAlign w:val="center"/>
          </w:tcPr>
          <w:p w14:paraId="0738B438">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24</w:t>
            </w:r>
          </w:p>
        </w:tc>
        <w:tc>
          <w:tcPr>
            <w:tcW w:w="611" w:type="dxa"/>
            <w:tcBorders>
              <w:tl2br w:val="nil"/>
              <w:tr2bl w:val="nil"/>
            </w:tcBorders>
            <w:noWrap w:val="0"/>
            <w:vAlign w:val="center"/>
          </w:tcPr>
          <w:p w14:paraId="145103D8">
            <w:pPr>
              <w:keepNext w:val="0"/>
              <w:keepLines w:val="0"/>
              <w:pageBreakBefore w:val="0"/>
              <w:kinsoku/>
              <w:wordWrap/>
              <w:overflowPunct/>
              <w:topLinePunct w:val="0"/>
              <w:autoSpaceDE/>
              <w:autoSpaceDN/>
              <w:bidi w:val="0"/>
              <w:adjustRightInd/>
              <w:snapToGrid/>
              <w:spacing w:line="240" w:lineRule="auto"/>
              <w:ind w:left="0" w:leftChars="0" w:right="0"/>
              <w:jc w:val="center"/>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76</w:t>
            </w:r>
          </w:p>
        </w:tc>
        <w:tc>
          <w:tcPr>
            <w:tcW w:w="495" w:type="dxa"/>
            <w:vMerge w:val="continue"/>
            <w:tcBorders>
              <w:tl2br w:val="nil"/>
              <w:tr2bl w:val="nil"/>
            </w:tcBorders>
            <w:noWrap w:val="0"/>
            <w:vAlign w:val="center"/>
          </w:tcPr>
          <w:p w14:paraId="1CFFF2A1">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c>
          <w:tcPr>
            <w:tcW w:w="466" w:type="dxa"/>
            <w:vMerge w:val="continue"/>
            <w:tcBorders>
              <w:tl2br w:val="nil"/>
              <w:tr2bl w:val="nil"/>
            </w:tcBorders>
            <w:noWrap w:val="0"/>
            <w:vAlign w:val="center"/>
          </w:tcPr>
          <w:p w14:paraId="36C7654B">
            <w:pPr>
              <w:keepNext w:val="0"/>
              <w:keepLines w:val="0"/>
              <w:pageBreakBefore w:val="0"/>
              <w:kinsoku/>
              <w:wordWrap/>
              <w:overflowPunct/>
              <w:topLinePunct w:val="0"/>
              <w:autoSpaceDE/>
              <w:autoSpaceDN/>
              <w:bidi w:val="0"/>
              <w:adjustRightInd/>
              <w:snapToGrid/>
              <w:spacing w:line="240" w:lineRule="auto"/>
              <w:ind w:left="0" w:right="0"/>
              <w:jc w:val="center"/>
              <w:rPr>
                <w:rFonts w:hint="default" w:ascii="Times New Roman" w:hAnsi="Times New Roman" w:cs="Times New Roman"/>
                <w:color w:val="auto"/>
                <w:spacing w:val="0"/>
                <w:w w:val="100"/>
                <w:position w:val="0"/>
                <w:sz w:val="21"/>
                <w:u w:val="none" w:color="auto"/>
              </w:rPr>
            </w:pPr>
          </w:p>
        </w:tc>
      </w:tr>
    </w:tbl>
    <w:p w14:paraId="154E60DF">
      <w:pPr>
        <w:spacing w:before="308" w:line="212" w:lineRule="auto"/>
        <w:ind w:left="1600"/>
        <w:rPr>
          <w:rFonts w:hint="default" w:ascii="Times New Roman" w:hAnsi="Times New Roman" w:eastAsia="Times New Roman"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表</w:t>
      </w:r>
      <w:r>
        <w:rPr>
          <w:rFonts w:hint="default" w:ascii="Times New Roman" w:hAnsi="Times New Roman" w:eastAsia="宋体" w:cs="Times New Roman"/>
          <w:b/>
          <w:bCs/>
          <w:color w:val="auto"/>
          <w:spacing w:val="0"/>
          <w:w w:val="100"/>
          <w:position w:val="0"/>
          <w:sz w:val="21"/>
          <w:szCs w:val="21"/>
          <w:u w:val="none" w:color="auto"/>
          <w:lang w:val="en-US" w:eastAsia="zh-CN"/>
        </w:rPr>
        <w:t xml:space="preserve">4.2-5 </w:t>
      </w:r>
      <w:r>
        <w:rPr>
          <w:rFonts w:hint="default" w:ascii="Times New Roman" w:hAnsi="Times New Roman" w:eastAsia="宋体" w:cs="Times New Roman"/>
          <w:b/>
          <w:bCs/>
          <w:color w:val="auto"/>
          <w:spacing w:val="0"/>
          <w:w w:val="100"/>
          <w:position w:val="0"/>
          <w:sz w:val="21"/>
          <w:szCs w:val="21"/>
          <w:u w:val="none" w:color="auto"/>
        </w:rPr>
        <w:t xml:space="preserve">多种施工机械同时运行时噪声叠加影响    单位 </w:t>
      </w:r>
      <w:r>
        <w:rPr>
          <w:rFonts w:hint="default" w:ascii="Times New Roman" w:hAnsi="Times New Roman" w:eastAsia="Times New Roman" w:cs="Times New Roman"/>
          <w:b/>
          <w:bCs/>
          <w:color w:val="auto"/>
          <w:spacing w:val="0"/>
          <w:w w:val="100"/>
          <w:position w:val="0"/>
          <w:sz w:val="21"/>
          <w:szCs w:val="21"/>
          <w:u w:val="none" w:color="auto"/>
        </w:rPr>
        <w:t>dB(A)</w:t>
      </w:r>
    </w:p>
    <w:p w14:paraId="5C4ACA95">
      <w:pPr>
        <w:spacing w:line="32" w:lineRule="exact"/>
        <w:rPr>
          <w:rFonts w:hint="default" w:ascii="Times New Roman" w:hAnsi="Times New Roman" w:cs="Times New Roman"/>
          <w:color w:val="auto"/>
          <w:spacing w:val="0"/>
          <w:w w:val="100"/>
          <w:position w:val="0"/>
          <w:u w:val="none" w:color="auto"/>
        </w:rPr>
      </w:pPr>
    </w:p>
    <w:tbl>
      <w:tblPr>
        <w:tblStyle w:val="9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250"/>
        <w:gridCol w:w="1014"/>
        <w:gridCol w:w="634"/>
        <w:gridCol w:w="635"/>
        <w:gridCol w:w="757"/>
        <w:gridCol w:w="651"/>
        <w:gridCol w:w="622"/>
        <w:gridCol w:w="625"/>
        <w:gridCol w:w="579"/>
        <w:gridCol w:w="613"/>
        <w:gridCol w:w="491"/>
        <w:gridCol w:w="459"/>
      </w:tblGrid>
      <w:tr w14:paraId="65C808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367" w:type="dxa"/>
            <w:vMerge w:val="restart"/>
            <w:tcBorders>
              <w:tl2br w:val="nil"/>
              <w:tr2bl w:val="nil"/>
            </w:tcBorders>
            <w:noWrap w:val="0"/>
            <w:vAlign w:val="center"/>
          </w:tcPr>
          <w:p w14:paraId="4054C1C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名称</w:t>
            </w:r>
          </w:p>
        </w:tc>
        <w:tc>
          <w:tcPr>
            <w:tcW w:w="1109" w:type="dxa"/>
            <w:vMerge w:val="restart"/>
            <w:tcBorders>
              <w:tl2br w:val="nil"/>
              <w:tr2bl w:val="nil"/>
            </w:tcBorders>
            <w:noWrap w:val="0"/>
            <w:vAlign w:val="center"/>
          </w:tcPr>
          <w:p w14:paraId="346C0B0B">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lang w:eastAsia="zh-CN"/>
              </w:rPr>
              <w:t>源强</w:t>
            </w:r>
          </w:p>
        </w:tc>
        <w:tc>
          <w:tcPr>
            <w:tcW w:w="4290" w:type="dxa"/>
            <w:gridSpan w:val="6"/>
            <w:tcBorders>
              <w:tl2br w:val="nil"/>
              <w:tr2bl w:val="nil"/>
            </w:tcBorders>
            <w:noWrap w:val="0"/>
            <w:vAlign w:val="center"/>
          </w:tcPr>
          <w:p w14:paraId="3E5D559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距噪声源距离</w:t>
            </w:r>
            <w:r>
              <w:rPr>
                <w:rFonts w:hint="default" w:ascii="Times New Roman" w:hAnsi="Times New Roman" w:eastAsia="Times New Roman" w:cs="Times New Roman"/>
                <w:color w:val="auto"/>
                <w:spacing w:val="0"/>
                <w:w w:val="100"/>
                <w:position w:val="0"/>
                <w:sz w:val="21"/>
                <w:szCs w:val="21"/>
                <w:u w:val="none" w:color="auto"/>
              </w:rPr>
              <w:t>/m</w:t>
            </w:r>
          </w:p>
        </w:tc>
        <w:tc>
          <w:tcPr>
            <w:tcW w:w="1303" w:type="dxa"/>
            <w:gridSpan w:val="2"/>
            <w:tcBorders>
              <w:tl2br w:val="nil"/>
              <w:tr2bl w:val="nil"/>
            </w:tcBorders>
            <w:noWrap w:val="0"/>
            <w:vAlign w:val="center"/>
          </w:tcPr>
          <w:p w14:paraId="1DF86C8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 xml:space="preserve">达标距离 </w:t>
            </w:r>
            <w:r>
              <w:rPr>
                <w:rFonts w:hint="default" w:ascii="Times New Roman" w:hAnsi="Times New Roman" w:eastAsia="Times New Roman" w:cs="Times New Roman"/>
                <w:color w:val="auto"/>
                <w:spacing w:val="0"/>
                <w:w w:val="100"/>
                <w:position w:val="0"/>
                <w:sz w:val="21"/>
                <w:szCs w:val="21"/>
                <w:u w:val="none" w:color="auto"/>
              </w:rPr>
              <w:t>m</w:t>
            </w:r>
          </w:p>
        </w:tc>
        <w:tc>
          <w:tcPr>
            <w:tcW w:w="1034" w:type="dxa"/>
            <w:gridSpan w:val="2"/>
            <w:tcBorders>
              <w:tl2br w:val="nil"/>
              <w:tr2bl w:val="nil"/>
            </w:tcBorders>
            <w:noWrap w:val="0"/>
            <w:vAlign w:val="center"/>
          </w:tcPr>
          <w:p w14:paraId="081EFE3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标准值</w:t>
            </w:r>
          </w:p>
        </w:tc>
      </w:tr>
      <w:tr w14:paraId="4DA3FE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367" w:type="dxa"/>
            <w:vMerge w:val="continue"/>
            <w:tcBorders>
              <w:tl2br w:val="nil"/>
              <w:tr2bl w:val="nil"/>
            </w:tcBorders>
            <w:noWrap w:val="0"/>
            <w:vAlign w:val="center"/>
          </w:tcPr>
          <w:p w14:paraId="30CD776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0"/>
                <w:w w:val="100"/>
                <w:position w:val="0"/>
                <w:sz w:val="21"/>
                <w:u w:val="none" w:color="auto"/>
              </w:rPr>
            </w:pPr>
          </w:p>
        </w:tc>
        <w:tc>
          <w:tcPr>
            <w:tcW w:w="1109" w:type="dxa"/>
            <w:vMerge w:val="continue"/>
            <w:tcBorders>
              <w:tl2br w:val="nil"/>
              <w:tr2bl w:val="nil"/>
            </w:tcBorders>
            <w:noWrap w:val="0"/>
            <w:vAlign w:val="center"/>
          </w:tcPr>
          <w:p w14:paraId="4BE5240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0"/>
                <w:w w:val="100"/>
                <w:position w:val="0"/>
                <w:sz w:val="21"/>
                <w:u w:val="none" w:color="auto"/>
              </w:rPr>
            </w:pPr>
          </w:p>
        </w:tc>
        <w:tc>
          <w:tcPr>
            <w:tcW w:w="693" w:type="dxa"/>
            <w:tcBorders>
              <w:tl2br w:val="nil"/>
              <w:tr2bl w:val="nil"/>
            </w:tcBorders>
            <w:noWrap w:val="0"/>
            <w:vAlign w:val="center"/>
          </w:tcPr>
          <w:p w14:paraId="17D79ED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5m</w:t>
            </w:r>
          </w:p>
        </w:tc>
        <w:tc>
          <w:tcPr>
            <w:tcW w:w="694" w:type="dxa"/>
            <w:tcBorders>
              <w:tl2br w:val="nil"/>
              <w:tr2bl w:val="nil"/>
            </w:tcBorders>
            <w:noWrap w:val="0"/>
            <w:vAlign w:val="center"/>
          </w:tcPr>
          <w:p w14:paraId="57C4821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10m</w:t>
            </w:r>
          </w:p>
        </w:tc>
        <w:tc>
          <w:tcPr>
            <w:tcW w:w="828" w:type="dxa"/>
            <w:tcBorders>
              <w:tl2br w:val="nil"/>
              <w:tr2bl w:val="nil"/>
            </w:tcBorders>
            <w:noWrap w:val="0"/>
            <w:vAlign w:val="center"/>
          </w:tcPr>
          <w:p w14:paraId="274B11B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50m</w:t>
            </w:r>
          </w:p>
        </w:tc>
        <w:tc>
          <w:tcPr>
            <w:tcW w:w="712" w:type="dxa"/>
            <w:tcBorders>
              <w:tl2br w:val="nil"/>
              <w:tr2bl w:val="nil"/>
            </w:tcBorders>
            <w:noWrap w:val="0"/>
            <w:vAlign w:val="center"/>
          </w:tcPr>
          <w:p w14:paraId="6C6BF7E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100m</w:t>
            </w:r>
          </w:p>
        </w:tc>
        <w:tc>
          <w:tcPr>
            <w:tcW w:w="680" w:type="dxa"/>
            <w:tcBorders>
              <w:tl2br w:val="nil"/>
              <w:tr2bl w:val="nil"/>
            </w:tcBorders>
            <w:noWrap w:val="0"/>
            <w:vAlign w:val="center"/>
          </w:tcPr>
          <w:p w14:paraId="0724F27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150m</w:t>
            </w:r>
          </w:p>
        </w:tc>
        <w:tc>
          <w:tcPr>
            <w:tcW w:w="683" w:type="dxa"/>
            <w:tcBorders>
              <w:tl2br w:val="nil"/>
              <w:tr2bl w:val="nil"/>
            </w:tcBorders>
            <w:noWrap w:val="0"/>
            <w:vAlign w:val="center"/>
          </w:tcPr>
          <w:p w14:paraId="0052AFA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200m</w:t>
            </w:r>
          </w:p>
        </w:tc>
        <w:tc>
          <w:tcPr>
            <w:tcW w:w="633" w:type="dxa"/>
            <w:tcBorders>
              <w:tl2br w:val="nil"/>
              <w:tr2bl w:val="nil"/>
            </w:tcBorders>
            <w:noWrap w:val="0"/>
            <w:vAlign w:val="center"/>
          </w:tcPr>
          <w:p w14:paraId="491D265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昼间</w:t>
            </w:r>
          </w:p>
        </w:tc>
        <w:tc>
          <w:tcPr>
            <w:tcW w:w="670" w:type="dxa"/>
            <w:tcBorders>
              <w:tl2br w:val="nil"/>
              <w:tr2bl w:val="nil"/>
            </w:tcBorders>
            <w:noWrap w:val="0"/>
            <w:vAlign w:val="center"/>
          </w:tcPr>
          <w:p w14:paraId="3537E1E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夜间</w:t>
            </w:r>
          </w:p>
        </w:tc>
        <w:tc>
          <w:tcPr>
            <w:tcW w:w="535" w:type="dxa"/>
            <w:tcBorders>
              <w:tl2br w:val="nil"/>
              <w:tr2bl w:val="nil"/>
            </w:tcBorders>
            <w:noWrap w:val="0"/>
            <w:vAlign w:val="center"/>
          </w:tcPr>
          <w:p w14:paraId="6754C44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昼间</w:t>
            </w:r>
          </w:p>
        </w:tc>
        <w:tc>
          <w:tcPr>
            <w:tcW w:w="499" w:type="dxa"/>
            <w:tcBorders>
              <w:tl2br w:val="nil"/>
              <w:tr2bl w:val="nil"/>
            </w:tcBorders>
            <w:noWrap w:val="0"/>
            <w:vAlign w:val="center"/>
          </w:tcPr>
          <w:p w14:paraId="5008D0E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夜间</w:t>
            </w:r>
          </w:p>
        </w:tc>
      </w:tr>
      <w:tr w14:paraId="0AA691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367" w:type="dxa"/>
            <w:tcBorders>
              <w:tl2br w:val="nil"/>
              <w:tr2bl w:val="nil"/>
            </w:tcBorders>
            <w:noWrap w:val="0"/>
            <w:vAlign w:val="center"/>
          </w:tcPr>
          <w:p w14:paraId="12B6F15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施工区</w:t>
            </w:r>
          </w:p>
        </w:tc>
        <w:tc>
          <w:tcPr>
            <w:tcW w:w="1109" w:type="dxa"/>
            <w:tcBorders>
              <w:tl2br w:val="nil"/>
              <w:tr2bl w:val="nil"/>
            </w:tcBorders>
            <w:noWrap w:val="0"/>
            <w:vAlign w:val="center"/>
          </w:tcPr>
          <w:p w14:paraId="74845C4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108</w:t>
            </w:r>
          </w:p>
        </w:tc>
        <w:tc>
          <w:tcPr>
            <w:tcW w:w="693" w:type="dxa"/>
            <w:tcBorders>
              <w:tl2br w:val="nil"/>
              <w:tr2bl w:val="nil"/>
            </w:tcBorders>
            <w:noWrap w:val="0"/>
            <w:vAlign w:val="center"/>
          </w:tcPr>
          <w:p w14:paraId="0C82832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93</w:t>
            </w:r>
          </w:p>
        </w:tc>
        <w:tc>
          <w:tcPr>
            <w:tcW w:w="694" w:type="dxa"/>
            <w:tcBorders>
              <w:tl2br w:val="nil"/>
              <w:tr2bl w:val="nil"/>
            </w:tcBorders>
            <w:noWrap w:val="0"/>
            <w:vAlign w:val="center"/>
          </w:tcPr>
          <w:p w14:paraId="4C2CAED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89</w:t>
            </w:r>
          </w:p>
        </w:tc>
        <w:tc>
          <w:tcPr>
            <w:tcW w:w="828" w:type="dxa"/>
            <w:tcBorders>
              <w:tl2br w:val="nil"/>
              <w:tr2bl w:val="nil"/>
            </w:tcBorders>
            <w:noWrap w:val="0"/>
            <w:vAlign w:val="center"/>
          </w:tcPr>
          <w:p w14:paraId="46C0BE2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76</w:t>
            </w:r>
          </w:p>
        </w:tc>
        <w:tc>
          <w:tcPr>
            <w:tcW w:w="712" w:type="dxa"/>
            <w:tcBorders>
              <w:tl2br w:val="nil"/>
              <w:tr2bl w:val="nil"/>
            </w:tcBorders>
            <w:noWrap w:val="0"/>
            <w:vAlign w:val="center"/>
          </w:tcPr>
          <w:p w14:paraId="55D7E85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68</w:t>
            </w:r>
          </w:p>
        </w:tc>
        <w:tc>
          <w:tcPr>
            <w:tcW w:w="680" w:type="dxa"/>
            <w:tcBorders>
              <w:tl2br w:val="nil"/>
              <w:tr2bl w:val="nil"/>
            </w:tcBorders>
            <w:noWrap w:val="0"/>
            <w:vAlign w:val="center"/>
          </w:tcPr>
          <w:p w14:paraId="671788F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56</w:t>
            </w:r>
          </w:p>
        </w:tc>
        <w:tc>
          <w:tcPr>
            <w:tcW w:w="683" w:type="dxa"/>
            <w:tcBorders>
              <w:tl2br w:val="nil"/>
              <w:tr2bl w:val="nil"/>
            </w:tcBorders>
            <w:noWrap w:val="0"/>
            <w:vAlign w:val="center"/>
          </w:tcPr>
          <w:p w14:paraId="5EEFD0D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51</w:t>
            </w:r>
          </w:p>
        </w:tc>
        <w:tc>
          <w:tcPr>
            <w:tcW w:w="633" w:type="dxa"/>
            <w:tcBorders>
              <w:tl2br w:val="nil"/>
              <w:tr2bl w:val="nil"/>
            </w:tcBorders>
            <w:noWrap w:val="0"/>
            <w:vAlign w:val="center"/>
          </w:tcPr>
          <w:p w14:paraId="4873321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85</w:t>
            </w:r>
          </w:p>
        </w:tc>
        <w:tc>
          <w:tcPr>
            <w:tcW w:w="670" w:type="dxa"/>
            <w:tcBorders>
              <w:tl2br w:val="nil"/>
              <w:tr2bl w:val="nil"/>
            </w:tcBorders>
            <w:noWrap w:val="0"/>
            <w:vAlign w:val="center"/>
          </w:tcPr>
          <w:p w14:paraId="34D7148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lang w:val="en-US" w:eastAsia="zh-CN"/>
              </w:rPr>
              <w:t>450</w:t>
            </w:r>
          </w:p>
        </w:tc>
        <w:tc>
          <w:tcPr>
            <w:tcW w:w="535" w:type="dxa"/>
            <w:tcBorders>
              <w:tl2br w:val="nil"/>
              <w:tr2bl w:val="nil"/>
            </w:tcBorders>
            <w:noWrap w:val="0"/>
            <w:vAlign w:val="center"/>
          </w:tcPr>
          <w:p w14:paraId="50843DE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70</w:t>
            </w:r>
          </w:p>
        </w:tc>
        <w:tc>
          <w:tcPr>
            <w:tcW w:w="499" w:type="dxa"/>
            <w:tcBorders>
              <w:tl2br w:val="nil"/>
              <w:tr2bl w:val="nil"/>
            </w:tcBorders>
            <w:noWrap w:val="0"/>
            <w:vAlign w:val="center"/>
          </w:tcPr>
          <w:p w14:paraId="50FBC79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Times New Roman" w:cs="Times New Roman"/>
                <w:color w:val="auto"/>
                <w:spacing w:val="0"/>
                <w:w w:val="100"/>
                <w:position w:val="0"/>
                <w:sz w:val="21"/>
                <w:szCs w:val="21"/>
                <w:u w:val="none" w:color="auto"/>
              </w:rPr>
            </w:pPr>
            <w:r>
              <w:rPr>
                <w:rFonts w:hint="default" w:ascii="Times New Roman" w:hAnsi="Times New Roman" w:eastAsia="Times New Roman" w:cs="Times New Roman"/>
                <w:color w:val="auto"/>
                <w:spacing w:val="0"/>
                <w:w w:val="100"/>
                <w:position w:val="0"/>
                <w:sz w:val="21"/>
                <w:szCs w:val="21"/>
                <w:u w:val="none" w:color="auto"/>
              </w:rPr>
              <w:t>55</w:t>
            </w:r>
          </w:p>
        </w:tc>
      </w:tr>
    </w:tbl>
    <w:p w14:paraId="7F98AB10">
      <w:pPr>
        <w:spacing w:before="36" w:line="359" w:lineRule="auto"/>
        <w:ind w:left="131" w:right="123" w:firstLine="480"/>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由预测结果可知，各施工区域施工机械在无遮挡情况下，施工区域施工场界处噪声值均无法满足《建筑施工场界环境噪声排放标准》(</w:t>
      </w:r>
      <w:r>
        <w:rPr>
          <w:rFonts w:hint="default" w:ascii="Times New Roman" w:hAnsi="Times New Roman" w:eastAsia="Times New Roman" w:cs="Times New Roman"/>
          <w:color w:val="auto"/>
          <w:spacing w:val="0"/>
          <w:w w:val="100"/>
          <w:position w:val="0"/>
          <w:sz w:val="24"/>
          <w:szCs w:val="24"/>
          <w:u w:val="none" w:color="auto"/>
        </w:rPr>
        <w:t>GB12523-2011</w:t>
      </w:r>
      <w:r>
        <w:rPr>
          <w:rFonts w:hint="default" w:ascii="Times New Roman" w:hAnsi="Times New Roman" w:eastAsia="宋体" w:cs="Times New Roman"/>
          <w:color w:val="auto"/>
          <w:spacing w:val="0"/>
          <w:w w:val="100"/>
          <w:position w:val="0"/>
          <w:sz w:val="24"/>
          <w:szCs w:val="24"/>
          <w:u w:val="none" w:color="auto"/>
        </w:rPr>
        <w:t>)标准限值(昼间</w:t>
      </w:r>
      <w:r>
        <w:rPr>
          <w:rFonts w:hint="default" w:ascii="Times New Roman" w:hAnsi="Times New Roman" w:eastAsia="Times New Roman" w:cs="Times New Roman"/>
          <w:color w:val="auto"/>
          <w:spacing w:val="0"/>
          <w:w w:val="100"/>
          <w:position w:val="0"/>
          <w:sz w:val="24"/>
          <w:szCs w:val="24"/>
          <w:u w:val="none" w:color="auto"/>
        </w:rPr>
        <w:t>70dB(A)</w:t>
      </w:r>
      <w:r>
        <w:rPr>
          <w:rFonts w:hint="default" w:ascii="Times New Roman" w:hAnsi="Times New Roman" w:eastAsia="宋体" w:cs="Times New Roman"/>
          <w:color w:val="auto"/>
          <w:spacing w:val="0"/>
          <w:w w:val="100"/>
          <w:position w:val="0"/>
          <w:sz w:val="24"/>
          <w:szCs w:val="24"/>
          <w:u w:val="none" w:color="auto"/>
        </w:rPr>
        <w:t>、夜间</w:t>
      </w:r>
      <w:r>
        <w:rPr>
          <w:rFonts w:hint="default" w:ascii="Times New Roman" w:hAnsi="Times New Roman" w:eastAsia="Times New Roman" w:cs="Times New Roman"/>
          <w:color w:val="auto"/>
          <w:spacing w:val="0"/>
          <w:w w:val="100"/>
          <w:position w:val="0"/>
          <w:sz w:val="24"/>
          <w:szCs w:val="24"/>
          <w:u w:val="none" w:color="auto"/>
        </w:rPr>
        <w:t>55dB(A)</w:t>
      </w:r>
      <w:r>
        <w:rPr>
          <w:rFonts w:hint="default" w:ascii="Times New Roman" w:hAnsi="Times New Roman" w:eastAsia="宋体" w:cs="Times New Roman"/>
          <w:color w:val="auto"/>
          <w:spacing w:val="0"/>
          <w:w w:val="100"/>
          <w:position w:val="0"/>
          <w:sz w:val="24"/>
          <w:szCs w:val="24"/>
          <w:u w:val="none" w:color="auto"/>
        </w:rPr>
        <w:t>)要求。同时，多种机械同时施工的影响范围大于单台机械施工的影响范围。</w:t>
      </w:r>
    </w:p>
    <w:p w14:paraId="7B698852">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③影响分析</w:t>
      </w:r>
    </w:p>
    <w:p w14:paraId="20EECBD1">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预测结果可知，施工机械本身作业噪声级较高</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但随着距离增加，噪声逐渐衰减。施工区噪声对周围声环境的影响达标范围白天为</w:t>
      </w:r>
      <w:r>
        <w:rPr>
          <w:rFonts w:hint="default" w:ascii="Times New Roman" w:hAnsi="Times New Roman" w:eastAsia="宋体" w:cs="Times New Roman"/>
          <w:color w:val="auto"/>
          <w:spacing w:val="0"/>
          <w:w w:val="100"/>
          <w:position w:val="0"/>
          <w:sz w:val="24"/>
          <w:szCs w:val="24"/>
          <w:u w:val="none" w:color="auto"/>
          <w:lang w:val="en-US" w:eastAsia="zh-CN"/>
        </w:rPr>
        <w:t>85</w:t>
      </w:r>
      <w:r>
        <w:rPr>
          <w:rFonts w:hint="default" w:ascii="Times New Roman" w:hAnsi="Times New Roman" w:eastAsia="Times New Roman" w:cs="Times New Roman"/>
          <w:color w:val="auto"/>
          <w:spacing w:val="0"/>
          <w:w w:val="100"/>
          <w:position w:val="0"/>
          <w:sz w:val="24"/>
          <w:szCs w:val="24"/>
          <w:u w:val="none" w:color="auto"/>
        </w:rPr>
        <w:t>m</w:t>
      </w:r>
      <w:r>
        <w:rPr>
          <w:rFonts w:hint="default" w:ascii="Times New Roman" w:hAnsi="Times New Roman" w:eastAsia="宋体" w:cs="Times New Roman"/>
          <w:color w:val="auto"/>
          <w:spacing w:val="0"/>
          <w:w w:val="100"/>
          <w:position w:val="0"/>
          <w:sz w:val="24"/>
          <w:szCs w:val="24"/>
          <w:u w:val="none" w:color="auto"/>
        </w:rPr>
        <w:t>、夜间为</w:t>
      </w:r>
      <w:r>
        <w:rPr>
          <w:rFonts w:hint="default" w:ascii="Times New Roman" w:hAnsi="Times New Roman" w:eastAsia="宋体" w:cs="Times New Roman"/>
          <w:color w:val="auto"/>
          <w:spacing w:val="0"/>
          <w:w w:val="100"/>
          <w:position w:val="0"/>
          <w:sz w:val="24"/>
          <w:szCs w:val="24"/>
          <w:u w:val="none" w:color="auto"/>
          <w:lang w:val="en-US" w:eastAsia="zh-CN"/>
        </w:rPr>
        <w:t>450</w:t>
      </w:r>
      <w:r>
        <w:rPr>
          <w:rFonts w:hint="default" w:ascii="Times New Roman" w:hAnsi="Times New Roman" w:eastAsia="Times New Roman" w:cs="Times New Roman"/>
          <w:color w:val="auto"/>
          <w:spacing w:val="0"/>
          <w:w w:val="100"/>
          <w:position w:val="0"/>
          <w:sz w:val="24"/>
          <w:szCs w:val="24"/>
          <w:u w:val="none" w:color="auto"/>
        </w:rPr>
        <w:t>m</w:t>
      </w:r>
      <w:r>
        <w:rPr>
          <w:rFonts w:hint="default" w:ascii="Times New Roman" w:hAnsi="Times New Roman" w:eastAsia="宋体" w:cs="Times New Roman"/>
          <w:color w:val="auto"/>
          <w:spacing w:val="0"/>
          <w:w w:val="100"/>
          <w:position w:val="0"/>
          <w:sz w:val="24"/>
          <w:szCs w:val="24"/>
          <w:u w:val="none" w:color="auto"/>
        </w:rPr>
        <w:t>。此处应说明该影响范围并没有考虑空气吸收、地形及建筑物阻挡、植被吸收、山体阻挡等影响噪声</w:t>
      </w:r>
      <w:r>
        <w:rPr>
          <w:rFonts w:hint="default" w:ascii="Times New Roman" w:hAnsi="Times New Roman" w:eastAsia="宋体" w:cs="Times New Roman"/>
          <w:color w:val="auto"/>
          <w:spacing w:val="0"/>
          <w:w w:val="100"/>
          <w:position w:val="0"/>
          <w:sz w:val="24"/>
          <w:szCs w:val="24"/>
          <w:u w:val="none" w:color="auto"/>
          <w:lang w:eastAsia="zh-CN"/>
        </w:rPr>
        <w:t>衰减的因素，因此实际影响范围及程度将比预测结果小。</w:t>
      </w:r>
      <w:r>
        <w:rPr>
          <w:rFonts w:hint="default" w:ascii="Times New Roman" w:hAnsi="Times New Roman" w:eastAsia="宋体" w:cs="Times New Roman"/>
          <w:color w:val="auto"/>
          <w:spacing w:val="0"/>
          <w:w w:val="100"/>
          <w:position w:val="0"/>
          <w:sz w:val="24"/>
          <w:szCs w:val="24"/>
          <w:u w:val="none" w:color="auto"/>
        </w:rPr>
        <w:t>根据工程总体布置，距离施工区最近的环境敏感点是位于</w:t>
      </w:r>
      <w:r>
        <w:rPr>
          <w:rFonts w:hint="default" w:ascii="Times New Roman" w:hAnsi="Times New Roman" w:eastAsia="宋体" w:cs="Times New Roman"/>
          <w:color w:val="auto"/>
          <w:spacing w:val="0"/>
          <w:w w:val="100"/>
          <w:position w:val="0"/>
          <w:sz w:val="24"/>
          <w:szCs w:val="24"/>
          <w:u w:val="none" w:color="auto"/>
          <w:lang w:val="en-US" w:eastAsia="zh-CN"/>
        </w:rPr>
        <w:t>管理所东北侧的</w:t>
      </w:r>
      <w:r>
        <w:rPr>
          <w:rFonts w:hint="default" w:ascii="Times New Roman" w:hAnsi="Times New Roman" w:eastAsia="宋体" w:cs="Times New Roman"/>
          <w:color w:val="auto"/>
          <w:spacing w:val="0"/>
          <w:w w:val="100"/>
          <w:position w:val="0"/>
          <w:sz w:val="24"/>
          <w:szCs w:val="24"/>
          <w:u w:val="none" w:color="auto"/>
          <w:lang w:eastAsia="zh-CN"/>
        </w:rPr>
        <w:t>仙鹅寺</w:t>
      </w:r>
      <w:r>
        <w:rPr>
          <w:rFonts w:hint="default" w:ascii="Times New Roman" w:hAnsi="Times New Roman" w:eastAsia="宋体" w:cs="Times New Roman"/>
          <w:color w:val="auto"/>
          <w:spacing w:val="0"/>
          <w:w w:val="100"/>
          <w:position w:val="0"/>
          <w:sz w:val="24"/>
          <w:szCs w:val="24"/>
          <w:u w:val="none" w:color="auto"/>
        </w:rPr>
        <w:t>村居民点，施工区昼间多种机械设备同时生产运行的条件下在</w:t>
      </w:r>
      <w:r>
        <w:rPr>
          <w:rFonts w:hint="default" w:ascii="Times New Roman" w:hAnsi="Times New Roman" w:eastAsia="宋体" w:cs="Times New Roman"/>
          <w:color w:val="auto"/>
          <w:spacing w:val="0"/>
          <w:w w:val="100"/>
          <w:position w:val="0"/>
          <w:sz w:val="24"/>
          <w:szCs w:val="24"/>
          <w:u w:val="none" w:color="auto"/>
          <w:lang w:eastAsia="zh-CN"/>
        </w:rPr>
        <w:t>仙鹅寺村</w:t>
      </w:r>
      <w:r>
        <w:rPr>
          <w:rFonts w:hint="default" w:ascii="Times New Roman" w:hAnsi="Times New Roman" w:eastAsia="宋体" w:cs="Times New Roman"/>
          <w:color w:val="auto"/>
          <w:spacing w:val="0"/>
          <w:w w:val="100"/>
          <w:position w:val="0"/>
          <w:sz w:val="24"/>
          <w:szCs w:val="24"/>
          <w:u w:val="none" w:color="auto"/>
        </w:rPr>
        <w:t>的噪声贡献值</w:t>
      </w:r>
      <w:r>
        <w:rPr>
          <w:rFonts w:hint="default" w:ascii="Times New Roman" w:hAnsi="Times New Roman" w:eastAsia="宋体" w:cs="Times New Roman"/>
          <w:color w:val="auto"/>
          <w:spacing w:val="0"/>
          <w:w w:val="100"/>
          <w:position w:val="0"/>
          <w:sz w:val="24"/>
          <w:szCs w:val="24"/>
          <w:u w:val="none" w:color="auto"/>
          <w:lang w:val="en-US" w:eastAsia="zh-CN"/>
        </w:rPr>
        <w:t>6</w:t>
      </w:r>
      <w:r>
        <w:rPr>
          <w:rFonts w:hint="default" w:ascii="Times New Roman" w:hAnsi="Times New Roman" w:eastAsia="Times New Roman" w:cs="Times New Roman"/>
          <w:color w:val="auto"/>
          <w:spacing w:val="0"/>
          <w:w w:val="100"/>
          <w:position w:val="0"/>
          <w:sz w:val="24"/>
          <w:szCs w:val="24"/>
          <w:u w:val="none" w:color="auto"/>
        </w:rPr>
        <w:t xml:space="preserve">4dB(A) </w:t>
      </w:r>
      <w:r>
        <w:rPr>
          <w:rFonts w:hint="default" w:ascii="Times New Roman" w:hAnsi="Times New Roman" w:eastAsia="宋体" w:cs="Times New Roman"/>
          <w:color w:val="auto"/>
          <w:spacing w:val="0"/>
          <w:w w:val="100"/>
          <w:position w:val="0"/>
          <w:sz w:val="24"/>
          <w:szCs w:val="24"/>
          <w:u w:val="none" w:color="auto"/>
        </w:rPr>
        <w:t>。在考虑空气吸收、地形及建筑物阻挡、植被吸收、山体阻挡等影响噪声衰减因素条件下，施工区对周边敏感点的影响更低。</w:t>
      </w:r>
    </w:p>
    <w:p w14:paraId="21C92A52">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施工单位应尽量避免使用一些高噪声设备。晚上严禁高噪声设备进行施工，以免影响周围的夜间声环境质量，若是工程需要必须在晚上施工，要上报当地生态环境主管部门批准同意后方可进行，并进行公告。建议建设单位应与施工单位签订环境管理责任书，具体落实方法措施，同时加强对施工人员的管理，增强环境意识，通过合理安排施工时间并采取相应的防治措施</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将对外环境影响降到最低。本工程施工期施工营地在进行物料堆放以及</w:t>
      </w:r>
      <w:r>
        <w:rPr>
          <w:rFonts w:hint="default" w:ascii="Times New Roman" w:hAnsi="Times New Roman" w:eastAsia="宋体" w:cs="Times New Roman"/>
          <w:color w:val="auto"/>
          <w:spacing w:val="0"/>
          <w:w w:val="100"/>
          <w:position w:val="0"/>
          <w:sz w:val="24"/>
          <w:szCs w:val="24"/>
          <w:u w:val="none" w:color="auto"/>
          <w:lang w:eastAsia="zh-CN"/>
        </w:rPr>
        <w:t>设备作业</w:t>
      </w:r>
      <w:r>
        <w:rPr>
          <w:rFonts w:hint="default" w:ascii="Times New Roman" w:hAnsi="Times New Roman" w:eastAsia="宋体" w:cs="Times New Roman"/>
          <w:color w:val="auto"/>
          <w:spacing w:val="0"/>
          <w:w w:val="100"/>
          <w:position w:val="0"/>
          <w:sz w:val="24"/>
          <w:szCs w:val="24"/>
          <w:u w:val="none" w:color="auto"/>
        </w:rPr>
        <w:t>时，四周须设置围挡，通过采用低噪声机械设备、合理安排施工时间和采取隔声等措施，使施工场地场界噪声满足</w:t>
      </w:r>
      <w:r>
        <w:rPr>
          <w:rFonts w:hint="default" w:ascii="Times New Roman" w:hAnsi="Times New Roman" w:eastAsia="Times New Roman" w:cs="Times New Roman"/>
          <w:color w:val="auto"/>
          <w:spacing w:val="0"/>
          <w:w w:val="100"/>
          <w:position w:val="0"/>
          <w:sz w:val="24"/>
          <w:szCs w:val="24"/>
          <w:u w:val="none" w:color="auto"/>
        </w:rPr>
        <w:t>GB12523-2011</w:t>
      </w:r>
      <w:r>
        <w:rPr>
          <w:rFonts w:hint="default" w:ascii="Times New Roman" w:hAnsi="Times New Roman" w:eastAsia="宋体" w:cs="Times New Roman"/>
          <w:color w:val="auto"/>
          <w:spacing w:val="0"/>
          <w:w w:val="100"/>
          <w:position w:val="0"/>
          <w:sz w:val="24"/>
          <w:szCs w:val="24"/>
          <w:u w:val="none" w:color="auto"/>
        </w:rPr>
        <w:t>《建筑施工场界环境噪声排放标准》的要求，以减轻噪声对周围环境的不利影响。</w:t>
      </w:r>
    </w:p>
    <w:p w14:paraId="516E4979">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工程施工是暂时行为，随着施工期的结束，这些影响将会消失，原有的生活环境将得到恢复。</w:t>
      </w:r>
    </w:p>
    <w:p w14:paraId="7136B5C7">
      <w:pPr>
        <w:pStyle w:val="5"/>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车辆运输</w:t>
      </w:r>
      <w:r>
        <w:rPr>
          <w:rFonts w:hint="default" w:ascii="Times New Roman" w:hAnsi="Times New Roman" w:cs="Times New Roman"/>
          <w:color w:val="auto"/>
        </w:rPr>
        <w:t>噪声影响</w:t>
      </w:r>
      <w:r>
        <w:rPr>
          <w:rFonts w:hint="default" w:ascii="Times New Roman" w:hAnsi="Times New Roman" w:cs="Times New Roman"/>
          <w:color w:val="auto"/>
          <w:lang w:eastAsia="zh-CN"/>
        </w:rPr>
        <w:t>分析</w:t>
      </w:r>
    </w:p>
    <w:p w14:paraId="550CB9E6">
      <w:pPr>
        <w:spacing w:before="187" w:line="360" w:lineRule="auto"/>
        <w:ind w:left="133" w:right="84" w:firstLine="412"/>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本工程运输的主要水泥、钢筋、石料和砂料等施工材料，施工材料运输车辆多为中型车，设备、材料运输车辆行驶过程中产生交通噪声，对道路沿线敏感点产生一定的影响。据有关监测数据，载重车辆的噪声源强约为85dB(A)。根据施工组织设计，场外运输道路主要利用现有道路。根据现场踏勘情况，区域主要交通道路为乡道，其车流量相对不大，不考虑多台车辆同时通过的交通噪声影响，仅计算单台车辆通过时的噪声影响情况。同时，不考虑交通噪声计算中涉及到路面、高路堤或低路堑两侧声影区衰减量等因素，仅进行距离衰减计算。计算模式如下：</w:t>
      </w:r>
    </w:p>
    <w:p w14:paraId="4A49E4EC">
      <w:pPr>
        <w:spacing w:before="150" w:line="360" w:lineRule="auto"/>
        <w:ind w:firstLine="3887"/>
        <w:textAlignment w:val="center"/>
        <w:rPr>
          <w:rFonts w:hint="default" w:ascii="Times New Roman" w:hAnsi="Times New Roman" w:cs="Times New Roman"/>
          <w:color w:val="auto"/>
          <w:spacing w:val="0"/>
          <w:w w:val="100"/>
          <w:position w:val="0"/>
          <w:u w:val="none" w:color="auto"/>
        </w:rPr>
      </w:pPr>
      <w:r>
        <w:rPr>
          <w:rFonts w:hint="default" w:ascii="Times New Roman" w:hAnsi="Times New Roman" w:cs="Times New Roman"/>
          <w:color w:val="auto"/>
          <w:spacing w:val="0"/>
          <w:w w:val="100"/>
          <w:position w:val="0"/>
          <w:u w:val="none" w:color="auto"/>
        </w:rPr>
        <w:drawing>
          <wp:inline distT="0" distB="0" distL="114300" distR="114300">
            <wp:extent cx="1714500" cy="266700"/>
            <wp:effectExtent l="0" t="0" r="0" b="0"/>
            <wp:docPr id="18" name="图片 11"/>
            <wp:cNvGraphicFramePr/>
            <a:graphic xmlns:a="http://schemas.openxmlformats.org/drawingml/2006/main">
              <a:graphicData uri="http://schemas.openxmlformats.org/drawingml/2006/picture">
                <pic:pic xmlns:pic="http://schemas.openxmlformats.org/drawingml/2006/picture">
                  <pic:nvPicPr>
                    <pic:cNvPr id="18" name="图片 11"/>
                    <pic:cNvPicPr/>
                  </pic:nvPicPr>
                  <pic:blipFill>
                    <a:blip r:embed="rId71"/>
                    <a:stretch>
                      <a:fillRect/>
                    </a:stretch>
                  </pic:blipFill>
                  <pic:spPr>
                    <a:xfrm>
                      <a:off x="0" y="0"/>
                      <a:ext cx="1714500" cy="266700"/>
                    </a:xfrm>
                    <a:prstGeom prst="rect">
                      <a:avLst/>
                    </a:prstGeom>
                    <a:noFill/>
                    <a:ln>
                      <a:noFill/>
                    </a:ln>
                  </pic:spPr>
                </pic:pic>
              </a:graphicData>
            </a:graphic>
          </wp:inline>
        </w:drawing>
      </w:r>
    </w:p>
    <w:p w14:paraId="262FDC25">
      <w:pPr>
        <w:spacing w:before="148" w:line="360" w:lineRule="auto"/>
        <w:ind w:left="551"/>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式中：</w:t>
      </w:r>
      <w:r>
        <w:rPr>
          <w:rFonts w:hint="default" w:ascii="Times New Roman" w:hAnsi="Times New Roman" w:eastAsia="Times New Roman" w:cs="Times New Roman"/>
          <w:color w:val="auto"/>
          <w:spacing w:val="0"/>
          <w:w w:val="100"/>
          <w:position w:val="0"/>
          <w:sz w:val="24"/>
          <w:szCs w:val="24"/>
          <w:u w:val="none" w:color="auto"/>
        </w:rPr>
        <w:t>LA(r)——</w:t>
      </w:r>
      <w:r>
        <w:rPr>
          <w:rFonts w:hint="default" w:ascii="Times New Roman" w:hAnsi="Times New Roman" w:eastAsia="宋体" w:cs="Times New Roman"/>
          <w:color w:val="auto"/>
          <w:spacing w:val="0"/>
          <w:w w:val="100"/>
          <w:position w:val="0"/>
          <w:sz w:val="24"/>
          <w:szCs w:val="24"/>
          <w:u w:val="none" w:color="auto"/>
        </w:rPr>
        <w:t>距声源</w:t>
      </w:r>
      <w:r>
        <w:rPr>
          <w:rFonts w:hint="default" w:ascii="Times New Roman" w:hAnsi="Times New Roman" w:eastAsia="Times New Roman" w:cs="Times New Roman"/>
          <w:color w:val="auto"/>
          <w:spacing w:val="0"/>
          <w:w w:val="100"/>
          <w:position w:val="0"/>
          <w:sz w:val="24"/>
          <w:szCs w:val="24"/>
          <w:u w:val="none" w:color="auto"/>
        </w:rPr>
        <w:t>r</w:t>
      </w:r>
      <w:r>
        <w:rPr>
          <w:rFonts w:hint="default" w:ascii="Times New Roman" w:hAnsi="Times New Roman" w:eastAsia="宋体" w:cs="Times New Roman"/>
          <w:color w:val="auto"/>
          <w:spacing w:val="0"/>
          <w:w w:val="100"/>
          <w:position w:val="0"/>
          <w:sz w:val="24"/>
          <w:szCs w:val="24"/>
          <w:u w:val="none" w:color="auto"/>
        </w:rPr>
        <w:t>处的声压级，</w:t>
      </w:r>
      <w:r>
        <w:rPr>
          <w:rFonts w:hint="default" w:ascii="Times New Roman" w:hAnsi="Times New Roman" w:eastAsia="Times New Roman" w:cs="Times New Roman"/>
          <w:color w:val="auto"/>
          <w:spacing w:val="0"/>
          <w:w w:val="100"/>
          <w:position w:val="0"/>
          <w:sz w:val="24"/>
          <w:szCs w:val="24"/>
          <w:u w:val="none" w:color="auto"/>
        </w:rPr>
        <w:t>dB(A)</w:t>
      </w:r>
      <w:r>
        <w:rPr>
          <w:rFonts w:hint="default" w:ascii="Times New Roman" w:hAnsi="Times New Roman" w:eastAsia="宋体" w:cs="Times New Roman"/>
          <w:color w:val="auto"/>
          <w:spacing w:val="0"/>
          <w:w w:val="100"/>
          <w:position w:val="0"/>
          <w:sz w:val="24"/>
          <w:szCs w:val="24"/>
          <w:u w:val="none" w:color="auto"/>
        </w:rPr>
        <w:t>；</w:t>
      </w:r>
    </w:p>
    <w:p w14:paraId="35559719">
      <w:pPr>
        <w:spacing w:before="143" w:line="360" w:lineRule="auto"/>
        <w:ind w:left="1224"/>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Times New Roman" w:cs="Times New Roman"/>
          <w:color w:val="auto"/>
          <w:spacing w:val="0"/>
          <w:w w:val="100"/>
          <w:position w:val="0"/>
          <w:sz w:val="24"/>
          <w:szCs w:val="24"/>
          <w:u w:val="none" w:color="auto"/>
        </w:rPr>
        <w:t>LAW——</w:t>
      </w:r>
      <w:r>
        <w:rPr>
          <w:rFonts w:hint="default" w:ascii="Times New Roman" w:hAnsi="Times New Roman" w:eastAsia="宋体" w:cs="Times New Roman"/>
          <w:color w:val="auto"/>
          <w:spacing w:val="0"/>
          <w:w w:val="100"/>
          <w:position w:val="0"/>
          <w:sz w:val="24"/>
          <w:szCs w:val="24"/>
          <w:u w:val="none" w:color="auto"/>
        </w:rPr>
        <w:t>声源强度，</w:t>
      </w:r>
      <w:r>
        <w:rPr>
          <w:rFonts w:hint="default" w:ascii="Times New Roman" w:hAnsi="Times New Roman" w:eastAsia="Times New Roman" w:cs="Times New Roman"/>
          <w:color w:val="auto"/>
          <w:spacing w:val="0"/>
          <w:w w:val="100"/>
          <w:position w:val="0"/>
          <w:sz w:val="24"/>
          <w:szCs w:val="24"/>
          <w:u w:val="none" w:color="auto"/>
        </w:rPr>
        <w:t>dB(A)</w:t>
      </w:r>
      <w:r>
        <w:rPr>
          <w:rFonts w:hint="default" w:ascii="Times New Roman" w:hAnsi="Times New Roman" w:eastAsia="宋体" w:cs="Times New Roman"/>
          <w:color w:val="auto"/>
          <w:spacing w:val="0"/>
          <w:w w:val="100"/>
          <w:position w:val="0"/>
          <w:sz w:val="24"/>
          <w:szCs w:val="24"/>
          <w:u w:val="none" w:color="auto"/>
        </w:rPr>
        <w:t>；</w:t>
      </w:r>
    </w:p>
    <w:p w14:paraId="440A8FA4">
      <w:pPr>
        <w:spacing w:before="188" w:line="360" w:lineRule="auto"/>
        <w:ind w:left="1220"/>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Times New Roman" w:cs="Times New Roman"/>
          <w:color w:val="auto"/>
          <w:spacing w:val="0"/>
          <w:w w:val="100"/>
          <w:position w:val="0"/>
          <w:sz w:val="24"/>
          <w:szCs w:val="24"/>
          <w:u w:val="none" w:color="auto"/>
        </w:rPr>
        <w:t>r——</w:t>
      </w:r>
      <w:r>
        <w:rPr>
          <w:rFonts w:hint="default" w:ascii="Times New Roman" w:hAnsi="Times New Roman" w:eastAsia="宋体" w:cs="Times New Roman"/>
          <w:color w:val="auto"/>
          <w:spacing w:val="0"/>
          <w:w w:val="100"/>
          <w:position w:val="0"/>
          <w:sz w:val="24"/>
          <w:szCs w:val="24"/>
          <w:u w:val="none" w:color="auto"/>
        </w:rPr>
        <w:t>与声源距离，  (</w:t>
      </w:r>
      <w:r>
        <w:rPr>
          <w:rFonts w:hint="default" w:ascii="Times New Roman" w:hAnsi="Times New Roman" w:eastAsia="Times New Roman" w:cs="Times New Roman"/>
          <w:color w:val="auto"/>
          <w:spacing w:val="0"/>
          <w:w w:val="100"/>
          <w:position w:val="0"/>
          <w:sz w:val="24"/>
          <w:szCs w:val="24"/>
          <w:u w:val="none" w:color="auto"/>
        </w:rPr>
        <w:t>m</w:t>
      </w:r>
      <w:r>
        <w:rPr>
          <w:rFonts w:hint="default" w:ascii="Times New Roman" w:hAnsi="Times New Roman" w:eastAsia="宋体" w:cs="Times New Roman"/>
          <w:color w:val="auto"/>
          <w:spacing w:val="0"/>
          <w:w w:val="100"/>
          <w:position w:val="0"/>
          <w:sz w:val="24"/>
          <w:szCs w:val="24"/>
          <w:u w:val="none" w:color="auto"/>
        </w:rPr>
        <w:t>) ；</w:t>
      </w:r>
    </w:p>
    <w:p w14:paraId="24E1560F">
      <w:pPr>
        <w:spacing w:before="1" w:line="360" w:lineRule="auto"/>
        <w:ind w:left="546"/>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计算结果见表</w:t>
      </w:r>
      <w:r>
        <w:rPr>
          <w:rFonts w:hint="default" w:ascii="Times New Roman" w:hAnsi="Times New Roman" w:eastAsia="Times New Roman" w:cs="Times New Roman"/>
          <w:color w:val="auto"/>
          <w:spacing w:val="0"/>
          <w:w w:val="100"/>
          <w:position w:val="0"/>
          <w:sz w:val="24"/>
          <w:szCs w:val="24"/>
          <w:u w:val="none" w:color="auto"/>
        </w:rPr>
        <w:t>4.</w:t>
      </w:r>
      <w:r>
        <w:rPr>
          <w:rFonts w:hint="eastAsia" w:ascii="Times New Roman" w:hAnsi="Times New Roman" w:eastAsia="宋体" w:cs="Times New Roman"/>
          <w:color w:val="auto"/>
          <w:spacing w:val="0"/>
          <w:w w:val="100"/>
          <w:position w:val="0"/>
          <w:sz w:val="24"/>
          <w:szCs w:val="24"/>
          <w:u w:val="none" w:color="auto"/>
          <w:lang w:val="en-US" w:eastAsia="zh-CN"/>
        </w:rPr>
        <w:t>2</w:t>
      </w:r>
      <w:r>
        <w:rPr>
          <w:rFonts w:hint="default" w:ascii="Times New Roman" w:hAnsi="Times New Roman" w:eastAsia="Times New Roman" w:cs="Times New Roman"/>
          <w:color w:val="auto"/>
          <w:spacing w:val="0"/>
          <w:w w:val="100"/>
          <w:position w:val="0"/>
          <w:sz w:val="24"/>
          <w:szCs w:val="24"/>
          <w:u w:val="none" w:color="auto"/>
        </w:rPr>
        <w:t>-</w:t>
      </w:r>
      <w:r>
        <w:rPr>
          <w:rFonts w:hint="eastAsia" w:ascii="Times New Roman" w:hAnsi="Times New Roman" w:eastAsia="宋体" w:cs="Times New Roman"/>
          <w:color w:val="auto"/>
          <w:spacing w:val="0"/>
          <w:w w:val="100"/>
          <w:position w:val="0"/>
          <w:sz w:val="24"/>
          <w:szCs w:val="24"/>
          <w:u w:val="none" w:color="auto"/>
          <w:lang w:val="en-US" w:eastAsia="zh-CN"/>
        </w:rPr>
        <w:t>6</w:t>
      </w:r>
      <w:r>
        <w:rPr>
          <w:rFonts w:hint="default" w:ascii="Times New Roman" w:hAnsi="Times New Roman" w:eastAsia="宋体" w:cs="Times New Roman"/>
          <w:color w:val="auto"/>
          <w:spacing w:val="0"/>
          <w:w w:val="100"/>
          <w:position w:val="0"/>
          <w:sz w:val="24"/>
          <w:szCs w:val="24"/>
          <w:u w:val="none" w:color="auto"/>
        </w:rPr>
        <w:t>。</w:t>
      </w:r>
    </w:p>
    <w:p w14:paraId="39D7FFD4">
      <w:pPr>
        <w:spacing w:before="182" w:line="222" w:lineRule="auto"/>
        <w:ind w:left="2626"/>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表</w:t>
      </w:r>
      <w:r>
        <w:rPr>
          <w:rFonts w:hint="default" w:ascii="Times New Roman" w:hAnsi="Times New Roman" w:eastAsia="Times New Roman" w:cs="Times New Roman"/>
          <w:b/>
          <w:bCs/>
          <w:color w:val="auto"/>
          <w:spacing w:val="0"/>
          <w:w w:val="100"/>
          <w:position w:val="0"/>
          <w:sz w:val="21"/>
          <w:szCs w:val="21"/>
          <w:u w:val="none" w:color="auto"/>
        </w:rPr>
        <w:t>4.</w:t>
      </w:r>
      <w:r>
        <w:rPr>
          <w:rFonts w:hint="eastAsia" w:ascii="Times New Roman" w:hAnsi="Times New Roman" w:eastAsia="宋体" w:cs="Times New Roman"/>
          <w:b/>
          <w:bCs/>
          <w:color w:val="auto"/>
          <w:spacing w:val="0"/>
          <w:w w:val="100"/>
          <w:position w:val="0"/>
          <w:sz w:val="21"/>
          <w:szCs w:val="21"/>
          <w:u w:val="none" w:color="auto"/>
          <w:lang w:val="en-US" w:eastAsia="zh-CN"/>
        </w:rPr>
        <w:t>2</w:t>
      </w:r>
      <w:r>
        <w:rPr>
          <w:rFonts w:hint="default" w:ascii="Times New Roman" w:hAnsi="Times New Roman" w:eastAsia="Times New Roman" w:cs="Times New Roman"/>
          <w:b/>
          <w:bCs/>
          <w:color w:val="auto"/>
          <w:spacing w:val="0"/>
          <w:w w:val="100"/>
          <w:position w:val="0"/>
          <w:sz w:val="21"/>
          <w:szCs w:val="21"/>
          <w:u w:val="none" w:color="auto"/>
        </w:rPr>
        <w:t>-</w:t>
      </w:r>
      <w:r>
        <w:rPr>
          <w:rFonts w:hint="eastAsia" w:ascii="Times New Roman" w:hAnsi="Times New Roman" w:eastAsia="宋体" w:cs="Times New Roman"/>
          <w:b/>
          <w:bCs/>
          <w:color w:val="auto"/>
          <w:spacing w:val="0"/>
          <w:w w:val="100"/>
          <w:position w:val="0"/>
          <w:sz w:val="21"/>
          <w:szCs w:val="21"/>
          <w:u w:val="none" w:color="auto"/>
          <w:lang w:val="en-US" w:eastAsia="zh-CN"/>
        </w:rPr>
        <w:t>6</w:t>
      </w:r>
      <w:r>
        <w:rPr>
          <w:rFonts w:hint="default" w:ascii="Times New Roman" w:hAnsi="Times New Roman" w:eastAsia="Times New Roman" w:cs="Times New Roman"/>
          <w:b/>
          <w:bCs/>
          <w:color w:val="auto"/>
          <w:spacing w:val="0"/>
          <w:w w:val="100"/>
          <w:position w:val="0"/>
          <w:sz w:val="21"/>
          <w:szCs w:val="21"/>
          <w:u w:val="none" w:color="auto"/>
        </w:rPr>
        <w:t xml:space="preserve">   </w:t>
      </w:r>
      <w:r>
        <w:rPr>
          <w:rFonts w:hint="default" w:ascii="Times New Roman" w:hAnsi="Times New Roman" w:eastAsia="宋体" w:cs="Times New Roman"/>
          <w:b/>
          <w:bCs/>
          <w:color w:val="auto"/>
          <w:spacing w:val="0"/>
          <w:w w:val="100"/>
          <w:position w:val="0"/>
          <w:sz w:val="21"/>
          <w:szCs w:val="21"/>
          <w:u w:val="none" w:color="auto"/>
        </w:rPr>
        <w:t>运输车辆噪声影响预测结果  单位：dB(A)</w:t>
      </w:r>
    </w:p>
    <w:tbl>
      <w:tblPr>
        <w:tblStyle w:val="95"/>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500"/>
        <w:gridCol w:w="772"/>
        <w:gridCol w:w="779"/>
        <w:gridCol w:w="886"/>
        <w:gridCol w:w="779"/>
        <w:gridCol w:w="828"/>
        <w:gridCol w:w="1013"/>
        <w:gridCol w:w="836"/>
        <w:gridCol w:w="937"/>
      </w:tblGrid>
      <w:tr w14:paraId="29EE9C0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00" w:type="dxa"/>
            <w:tcBorders>
              <w:tl2br w:val="nil"/>
              <w:tr2bl w:val="nil"/>
            </w:tcBorders>
            <w:noWrap w:val="0"/>
            <w:vAlign w:val="center"/>
          </w:tcPr>
          <w:p w14:paraId="64E8BA67">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距路中心距( m )</w:t>
            </w:r>
          </w:p>
        </w:tc>
        <w:tc>
          <w:tcPr>
            <w:tcW w:w="772" w:type="dxa"/>
            <w:tcBorders>
              <w:tl2br w:val="nil"/>
              <w:tr2bl w:val="nil"/>
            </w:tcBorders>
            <w:noWrap w:val="0"/>
            <w:vAlign w:val="center"/>
          </w:tcPr>
          <w:p w14:paraId="6B510A1D">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15</w:t>
            </w:r>
          </w:p>
        </w:tc>
        <w:tc>
          <w:tcPr>
            <w:tcW w:w="779" w:type="dxa"/>
            <w:tcBorders>
              <w:tl2br w:val="nil"/>
              <w:tr2bl w:val="nil"/>
            </w:tcBorders>
            <w:noWrap w:val="0"/>
            <w:vAlign w:val="center"/>
          </w:tcPr>
          <w:p w14:paraId="56404B9A">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20</w:t>
            </w:r>
          </w:p>
        </w:tc>
        <w:tc>
          <w:tcPr>
            <w:tcW w:w="886" w:type="dxa"/>
            <w:tcBorders>
              <w:tl2br w:val="nil"/>
              <w:tr2bl w:val="nil"/>
            </w:tcBorders>
            <w:noWrap w:val="0"/>
            <w:vAlign w:val="center"/>
          </w:tcPr>
          <w:p w14:paraId="5D32BDA5">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40</w:t>
            </w:r>
          </w:p>
        </w:tc>
        <w:tc>
          <w:tcPr>
            <w:tcW w:w="779" w:type="dxa"/>
            <w:tcBorders>
              <w:tl2br w:val="nil"/>
              <w:tr2bl w:val="nil"/>
            </w:tcBorders>
            <w:noWrap w:val="0"/>
            <w:vAlign w:val="center"/>
          </w:tcPr>
          <w:p w14:paraId="7CEE732F">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50</w:t>
            </w:r>
          </w:p>
        </w:tc>
        <w:tc>
          <w:tcPr>
            <w:tcW w:w="828" w:type="dxa"/>
            <w:tcBorders>
              <w:tl2br w:val="nil"/>
              <w:tr2bl w:val="nil"/>
            </w:tcBorders>
            <w:noWrap w:val="0"/>
            <w:vAlign w:val="center"/>
          </w:tcPr>
          <w:p w14:paraId="3D6F7B5B">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60</w:t>
            </w:r>
          </w:p>
        </w:tc>
        <w:tc>
          <w:tcPr>
            <w:tcW w:w="1013" w:type="dxa"/>
            <w:tcBorders>
              <w:tl2br w:val="nil"/>
              <w:tr2bl w:val="nil"/>
            </w:tcBorders>
            <w:noWrap w:val="0"/>
            <w:vAlign w:val="center"/>
          </w:tcPr>
          <w:p w14:paraId="666BD131">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80</w:t>
            </w:r>
          </w:p>
        </w:tc>
        <w:tc>
          <w:tcPr>
            <w:tcW w:w="836" w:type="dxa"/>
            <w:tcBorders>
              <w:tl2br w:val="nil"/>
              <w:tr2bl w:val="nil"/>
            </w:tcBorders>
            <w:noWrap w:val="0"/>
            <w:vAlign w:val="center"/>
          </w:tcPr>
          <w:p w14:paraId="2D544BB4">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100</w:t>
            </w:r>
          </w:p>
        </w:tc>
        <w:tc>
          <w:tcPr>
            <w:tcW w:w="937" w:type="dxa"/>
            <w:tcBorders>
              <w:tl2br w:val="nil"/>
              <w:tr2bl w:val="nil"/>
            </w:tcBorders>
            <w:noWrap w:val="0"/>
            <w:vAlign w:val="center"/>
          </w:tcPr>
          <w:p w14:paraId="39B01D39">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200</w:t>
            </w:r>
          </w:p>
        </w:tc>
      </w:tr>
      <w:tr w14:paraId="0FE66F1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500" w:type="dxa"/>
            <w:tcBorders>
              <w:tl2br w:val="nil"/>
              <w:tr2bl w:val="nil"/>
            </w:tcBorders>
            <w:noWrap w:val="0"/>
            <w:vAlign w:val="center"/>
          </w:tcPr>
          <w:p w14:paraId="3AE638D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载重车辆噪 声</w:t>
            </w:r>
          </w:p>
        </w:tc>
        <w:tc>
          <w:tcPr>
            <w:tcW w:w="772" w:type="dxa"/>
            <w:tcBorders>
              <w:tl2br w:val="nil"/>
              <w:tr2bl w:val="nil"/>
            </w:tcBorders>
            <w:noWrap w:val="0"/>
            <w:vAlign w:val="center"/>
          </w:tcPr>
          <w:p w14:paraId="028E0292">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54.5</w:t>
            </w:r>
          </w:p>
        </w:tc>
        <w:tc>
          <w:tcPr>
            <w:tcW w:w="779" w:type="dxa"/>
            <w:tcBorders>
              <w:tl2br w:val="nil"/>
              <w:tr2bl w:val="nil"/>
            </w:tcBorders>
            <w:noWrap w:val="0"/>
            <w:vAlign w:val="center"/>
          </w:tcPr>
          <w:p w14:paraId="67A6F683">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52.0</w:t>
            </w:r>
          </w:p>
        </w:tc>
        <w:tc>
          <w:tcPr>
            <w:tcW w:w="886" w:type="dxa"/>
            <w:tcBorders>
              <w:tl2br w:val="nil"/>
              <w:tr2bl w:val="nil"/>
            </w:tcBorders>
            <w:noWrap w:val="0"/>
            <w:vAlign w:val="center"/>
          </w:tcPr>
          <w:p w14:paraId="4741AEA8">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46.0</w:t>
            </w:r>
          </w:p>
        </w:tc>
        <w:tc>
          <w:tcPr>
            <w:tcW w:w="779" w:type="dxa"/>
            <w:tcBorders>
              <w:tl2br w:val="nil"/>
              <w:tr2bl w:val="nil"/>
            </w:tcBorders>
            <w:noWrap w:val="0"/>
            <w:vAlign w:val="center"/>
          </w:tcPr>
          <w:p w14:paraId="25ACA794">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44.0</w:t>
            </w:r>
          </w:p>
        </w:tc>
        <w:tc>
          <w:tcPr>
            <w:tcW w:w="828" w:type="dxa"/>
            <w:tcBorders>
              <w:tl2br w:val="nil"/>
              <w:tr2bl w:val="nil"/>
            </w:tcBorders>
            <w:noWrap w:val="0"/>
            <w:vAlign w:val="center"/>
          </w:tcPr>
          <w:p w14:paraId="6723C85E">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42.4</w:t>
            </w:r>
          </w:p>
        </w:tc>
        <w:tc>
          <w:tcPr>
            <w:tcW w:w="1013" w:type="dxa"/>
            <w:tcBorders>
              <w:tl2br w:val="nil"/>
              <w:tr2bl w:val="nil"/>
            </w:tcBorders>
            <w:noWrap w:val="0"/>
            <w:vAlign w:val="center"/>
          </w:tcPr>
          <w:p w14:paraId="335ABDD1">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39.9</w:t>
            </w:r>
          </w:p>
        </w:tc>
        <w:tc>
          <w:tcPr>
            <w:tcW w:w="836" w:type="dxa"/>
            <w:tcBorders>
              <w:tl2br w:val="nil"/>
              <w:tr2bl w:val="nil"/>
            </w:tcBorders>
            <w:noWrap w:val="0"/>
            <w:vAlign w:val="center"/>
          </w:tcPr>
          <w:p w14:paraId="18316FD7">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39.0</w:t>
            </w:r>
          </w:p>
        </w:tc>
        <w:tc>
          <w:tcPr>
            <w:tcW w:w="937" w:type="dxa"/>
            <w:tcBorders>
              <w:tl2br w:val="nil"/>
              <w:tr2bl w:val="nil"/>
            </w:tcBorders>
            <w:noWrap w:val="0"/>
            <w:vAlign w:val="center"/>
          </w:tcPr>
          <w:p w14:paraId="38E12893">
            <w:pPr>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32.0</w:t>
            </w:r>
          </w:p>
        </w:tc>
      </w:tr>
    </w:tbl>
    <w:p w14:paraId="47ADB77F">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本工程运输</w:t>
      </w:r>
      <w:r>
        <w:rPr>
          <w:rFonts w:hint="default" w:ascii="Times New Roman" w:hAnsi="Times New Roman" w:eastAsia="宋体" w:cs="Times New Roman"/>
          <w:color w:val="auto"/>
          <w:spacing w:val="0"/>
          <w:w w:val="100"/>
          <w:position w:val="0"/>
          <w:sz w:val="24"/>
          <w:szCs w:val="24"/>
          <w:u w:val="none" w:color="auto"/>
          <w:lang w:val="en-US" w:eastAsia="zh-CN"/>
        </w:rPr>
        <w:t>噪声主要影响</w:t>
      </w:r>
      <w:r>
        <w:rPr>
          <w:rFonts w:hint="default" w:ascii="Times New Roman" w:hAnsi="Times New Roman" w:eastAsia="宋体" w:cs="Times New Roman"/>
          <w:color w:val="auto"/>
          <w:spacing w:val="0"/>
          <w:w w:val="100"/>
          <w:position w:val="0"/>
          <w:sz w:val="24"/>
          <w:szCs w:val="24"/>
          <w:u w:val="none" w:color="auto"/>
          <w:lang w:eastAsia="zh-CN"/>
        </w:rPr>
        <w:t>仙鹅寺村</w:t>
      </w:r>
      <w:r>
        <w:rPr>
          <w:rFonts w:hint="default" w:ascii="Times New Roman" w:hAnsi="Times New Roman" w:eastAsia="宋体" w:cs="Times New Roman"/>
          <w:color w:val="auto"/>
          <w:spacing w:val="0"/>
          <w:w w:val="100"/>
          <w:position w:val="0"/>
          <w:sz w:val="24"/>
          <w:szCs w:val="24"/>
          <w:u w:val="none" w:color="auto"/>
          <w:lang w:val="en-US" w:eastAsia="zh-CN"/>
        </w:rPr>
        <w:t>居民点</w:t>
      </w:r>
      <w:r>
        <w:rPr>
          <w:rFonts w:hint="default" w:ascii="Times New Roman" w:hAnsi="Times New Roman" w:eastAsia="宋体" w:cs="Times New Roman"/>
          <w:color w:val="auto"/>
          <w:spacing w:val="0"/>
          <w:w w:val="100"/>
          <w:position w:val="0"/>
          <w:sz w:val="24"/>
          <w:szCs w:val="24"/>
          <w:u w:val="none" w:color="auto"/>
          <w:lang w:eastAsia="zh-CN"/>
        </w:rPr>
        <w:t>。仙鹅寺村</w:t>
      </w:r>
      <w:r>
        <w:rPr>
          <w:rFonts w:hint="default" w:ascii="Times New Roman" w:hAnsi="Times New Roman" w:eastAsia="宋体" w:cs="Times New Roman"/>
          <w:color w:val="auto"/>
          <w:spacing w:val="0"/>
          <w:w w:val="100"/>
          <w:position w:val="0"/>
          <w:sz w:val="24"/>
          <w:szCs w:val="24"/>
          <w:u w:val="none" w:color="auto"/>
        </w:rPr>
        <w:t>部分民宅临近道路，距离运输道路在</w:t>
      </w:r>
      <w:r>
        <w:rPr>
          <w:rFonts w:hint="default" w:ascii="Times New Roman" w:hAnsi="Times New Roman" w:eastAsia="宋体" w:cs="Times New Roman"/>
          <w:color w:val="auto"/>
          <w:spacing w:val="0"/>
          <w:w w:val="100"/>
          <w:position w:val="0"/>
          <w:sz w:val="24"/>
          <w:szCs w:val="24"/>
          <w:u w:val="none" w:color="auto"/>
          <w:lang w:val="en-US" w:eastAsia="zh-CN"/>
        </w:rPr>
        <w:t>4</w:t>
      </w:r>
      <w:r>
        <w:rPr>
          <w:rFonts w:hint="default" w:ascii="Times New Roman" w:hAnsi="Times New Roman" w:eastAsia="宋体" w:cs="Times New Roman"/>
          <w:color w:val="auto"/>
          <w:spacing w:val="0"/>
          <w:w w:val="100"/>
          <w:position w:val="0"/>
          <w:sz w:val="24"/>
          <w:szCs w:val="24"/>
          <w:u w:val="none" w:color="auto"/>
        </w:rPr>
        <w:t>0m范围内，本项目施工期运输车辆类噪声对</w:t>
      </w:r>
      <w:r>
        <w:rPr>
          <w:rFonts w:hint="default" w:ascii="Times New Roman" w:hAnsi="Times New Roman" w:eastAsia="宋体" w:cs="Times New Roman"/>
          <w:color w:val="auto"/>
          <w:spacing w:val="0"/>
          <w:w w:val="100"/>
          <w:position w:val="0"/>
          <w:sz w:val="24"/>
          <w:szCs w:val="24"/>
          <w:u w:val="none" w:color="auto"/>
          <w:lang w:eastAsia="zh-CN"/>
        </w:rPr>
        <w:t>仙鹅寺村</w:t>
      </w:r>
      <w:r>
        <w:rPr>
          <w:rFonts w:hint="default" w:ascii="Times New Roman" w:hAnsi="Times New Roman" w:eastAsia="宋体" w:cs="Times New Roman"/>
          <w:color w:val="auto"/>
          <w:spacing w:val="0"/>
          <w:w w:val="100"/>
          <w:position w:val="0"/>
          <w:sz w:val="24"/>
          <w:szCs w:val="24"/>
          <w:u w:val="none" w:color="auto"/>
        </w:rPr>
        <w:t>敏感点影响较大。施工期交通噪声存在时间极短，只在有运输车辆经过时才产生，因此，施工交通噪声对周围环境产生的影响是瞬时性的，同时考虑到本项目通过土石方平衡，尽可能减少外运土方，以减少车辆运输班次，设置减速慢行、禁止鸣笛标示牌，因项目施工产生的交通噪声影响增加量不大，而且施工期结束后，影响也随之消失。</w:t>
      </w:r>
    </w:p>
    <w:p w14:paraId="57093A53">
      <w:pPr>
        <w:pStyle w:val="4"/>
        <w:bidi w:val="0"/>
        <w:rPr>
          <w:rFonts w:hint="default" w:ascii="Times New Roman" w:hAnsi="Times New Roman" w:cs="Times New Roman"/>
          <w:color w:val="auto"/>
        </w:rPr>
      </w:pPr>
      <w:bookmarkStart w:id="281" w:name="_Toc20954"/>
      <w:r>
        <w:rPr>
          <w:rFonts w:hint="default" w:ascii="Times New Roman" w:hAnsi="Times New Roman" w:cs="Times New Roman"/>
          <w:color w:val="auto"/>
          <w:lang w:val="en-US" w:eastAsia="zh-CN"/>
        </w:rPr>
        <w:t>施工期</w:t>
      </w:r>
      <w:r>
        <w:rPr>
          <w:rFonts w:hint="default" w:ascii="Times New Roman" w:hAnsi="Times New Roman" w:cs="Times New Roman"/>
          <w:color w:val="auto"/>
        </w:rPr>
        <w:t>固体废物影响分析</w:t>
      </w:r>
      <w:bookmarkEnd w:id="281"/>
    </w:p>
    <w:p w14:paraId="132EFFFA">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Times New Roman" w:cs="Times New Roman"/>
          <w:b w:val="0"/>
          <w:bCs w:val="0"/>
          <w:color w:val="auto"/>
          <w:spacing w:val="0"/>
          <w:w w:val="100"/>
          <w:position w:val="0"/>
          <w:sz w:val="24"/>
          <w:szCs w:val="24"/>
          <w:u w:val="none" w:color="auto"/>
        </w:rPr>
        <w:t>1</w:t>
      </w: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宋体" w:cs="Times New Roman"/>
          <w:color w:val="auto"/>
          <w:spacing w:val="0"/>
          <w:w w:val="100"/>
          <w:position w:val="0"/>
          <w:sz w:val="24"/>
          <w:szCs w:val="24"/>
          <w:u w:val="none" w:color="auto"/>
          <w:lang w:eastAsia="zh-CN"/>
        </w:rPr>
        <w:t>工程弃</w:t>
      </w:r>
      <w:r>
        <w:rPr>
          <w:rFonts w:hint="default" w:ascii="Times New Roman" w:hAnsi="Times New Roman" w:eastAsia="宋体" w:cs="Times New Roman"/>
          <w:color w:val="auto"/>
          <w:spacing w:val="0"/>
          <w:w w:val="100"/>
          <w:position w:val="0"/>
          <w:sz w:val="24"/>
          <w:szCs w:val="24"/>
          <w:u w:val="none" w:color="auto"/>
          <w:lang w:val="en-US" w:eastAsia="zh-CN"/>
        </w:rPr>
        <w:t>土</w:t>
      </w:r>
    </w:p>
    <w:p w14:paraId="614BCB03">
      <w:pPr>
        <w:keepNext w:val="0"/>
        <w:keepLines w:val="0"/>
        <w:widowControl/>
        <w:suppressLineNumbers w:val="0"/>
        <w:spacing w:line="360" w:lineRule="auto"/>
        <w:ind w:firstLine="480" w:firstLineChars="200"/>
        <w:jc w:val="left"/>
        <w:rPr>
          <w:rFonts w:hint="default" w:ascii="Times New Roman" w:hAnsi="Times New Roman" w:eastAsia="宋体" w:cs="Times New Roman"/>
          <w:color w:val="FF0000"/>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根据本工程初设报告</w:t>
      </w:r>
      <w:r>
        <w:rPr>
          <w:rFonts w:hint="default" w:ascii="Times New Roman" w:hAnsi="Times New Roman" w:eastAsia="宋体" w:cs="Times New Roman"/>
          <w:color w:val="auto"/>
          <w:spacing w:val="0"/>
          <w:w w:val="100"/>
          <w:position w:val="0"/>
          <w:sz w:val="24"/>
          <w:szCs w:val="24"/>
          <w:u w:val="none" w:color="auto"/>
          <w:lang w:eastAsia="zh-CN"/>
        </w:rPr>
        <w:t>报告和</w:t>
      </w:r>
      <w:r>
        <w:rPr>
          <w:rFonts w:hint="default" w:ascii="Times New Roman" w:hAnsi="Times New Roman" w:eastAsia="宋体" w:cs="Times New Roman"/>
          <w:color w:val="auto"/>
          <w:spacing w:val="0"/>
          <w:w w:val="100"/>
          <w:position w:val="0"/>
          <w:sz w:val="24"/>
          <w:szCs w:val="24"/>
          <w:u w:val="none" w:color="auto"/>
        </w:rPr>
        <w:t>水土保持</w:t>
      </w:r>
      <w:r>
        <w:rPr>
          <w:rFonts w:hint="default" w:ascii="Times New Roman" w:hAnsi="Times New Roman" w:eastAsia="宋体" w:cs="Times New Roman"/>
          <w:color w:val="auto"/>
          <w:spacing w:val="0"/>
          <w:w w:val="100"/>
          <w:position w:val="0"/>
          <w:sz w:val="24"/>
          <w:szCs w:val="24"/>
          <w:u w:val="none" w:color="auto"/>
          <w:lang w:eastAsia="zh-CN"/>
        </w:rPr>
        <w:t>方案中</w:t>
      </w:r>
      <w:r>
        <w:rPr>
          <w:rFonts w:hint="default" w:ascii="Times New Roman" w:hAnsi="Times New Roman" w:eastAsia="宋体" w:cs="Times New Roman"/>
          <w:color w:val="auto"/>
          <w:spacing w:val="0"/>
          <w:w w:val="100"/>
          <w:position w:val="0"/>
          <w:sz w:val="24"/>
          <w:szCs w:val="24"/>
          <w:u w:val="none" w:color="auto"/>
        </w:rPr>
        <w:t>土石方平衡</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val="en-US" w:eastAsia="zh-CN"/>
        </w:rPr>
        <w:t>具体见表2.5-1</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本工程产生弃土</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量约为9883</w:t>
      </w:r>
      <w:r>
        <w:rPr>
          <w:rFonts w:hint="default" w:ascii="Times New Roman" w:hAnsi="Times New Roman" w:eastAsia="宋体" w:cs="Times New Roman"/>
          <w:caps w:val="0"/>
          <w:smallCaps w:val="0"/>
          <w:color w:val="auto"/>
          <w:spacing w:val="0"/>
          <w:w w:val="100"/>
          <w:kern w:val="0"/>
          <w:position w:val="0"/>
          <w:sz w:val="24"/>
          <w:szCs w:val="24"/>
          <w:u w:val="none" w:color="auto"/>
        </w:rPr>
        <w:t>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。项目弃方全部运至大坝下游的弃渣场，施工弃渣严禁向水库和河道内倾倒。</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该弃渣场占地面积约0.19hm</w:t>
      </w:r>
      <w:r>
        <w:rPr>
          <w:rFonts w:hint="eastAsia"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2</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，平均堆高5.5m，</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弃渣场可容纳工程施工过程产生的全部弃渣</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olor w:val="auto"/>
          <w:spacing w:val="0"/>
          <w:w w:val="100"/>
          <w:position w:val="0"/>
          <w:sz w:val="24"/>
          <w:szCs w:val="24"/>
          <w:u w:val="none" w:color="auto"/>
        </w:rPr>
        <w:t>施工期废弃土石方得到妥善处置，对周围影响不大。</w:t>
      </w:r>
    </w:p>
    <w:p w14:paraId="1C695078">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FF0000"/>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（2）</w:t>
      </w:r>
      <w:r>
        <w:rPr>
          <w:rFonts w:hint="default" w:ascii="Times New Roman" w:hAnsi="Times New Roman" w:eastAsia="宋体" w:cs="Times New Roman"/>
          <w:color w:val="auto"/>
          <w:spacing w:val="0"/>
          <w:w w:val="100"/>
          <w:position w:val="0"/>
          <w:sz w:val="24"/>
          <w:szCs w:val="24"/>
          <w:u w:val="none" w:color="auto"/>
          <w:lang w:eastAsia="zh-CN"/>
        </w:rPr>
        <w:t>拆除的设备</w:t>
      </w:r>
    </w:p>
    <w:p w14:paraId="480B4706">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FF0000"/>
          <w:spacing w:val="0"/>
          <w:w w:val="100"/>
          <w:kern w:val="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本工程拟</w:t>
      </w:r>
      <w:r>
        <w:rPr>
          <w:rFonts w:hint="default" w:ascii="Times New Roman" w:hAnsi="Times New Roman" w:eastAsia="宋体" w:cs="Times New Roman"/>
          <w:color w:val="auto"/>
          <w:spacing w:val="0"/>
          <w:w w:val="100"/>
          <w:position w:val="0"/>
          <w:sz w:val="24"/>
          <w:szCs w:val="24"/>
          <w:u w:val="none" w:color="auto"/>
          <w:lang w:eastAsia="zh-CN"/>
        </w:rPr>
        <w:t>对</w:t>
      </w:r>
      <w:r>
        <w:rPr>
          <w:rFonts w:hint="default" w:ascii="Times New Roman" w:hAnsi="Times New Roman" w:eastAsia="宋体" w:cs="Times New Roman"/>
          <w:sz w:val="24"/>
          <w:szCs w:val="24"/>
        </w:rPr>
        <w:t>进水塔闸墩上部启闭机房及工作桥进行拆除重建</w:t>
      </w:r>
      <w:r>
        <w:rPr>
          <w:rFonts w:hint="default" w:ascii="Times New Roman" w:hAnsi="Times New Roman" w:eastAsia="宋体" w:cs="Times New Roman"/>
          <w:sz w:val="24"/>
          <w:szCs w:val="24"/>
          <w:lang w:eastAsia="zh-CN"/>
        </w:rPr>
        <w:t>，对引水渠节制闸更换、泄洪闸拆除重建，</w:t>
      </w:r>
      <w:r>
        <w:rPr>
          <w:rFonts w:hint="default" w:ascii="Times New Roman" w:hAnsi="Times New Roman" w:eastAsia="宋体" w:cs="Times New Roman"/>
          <w:color w:val="auto"/>
          <w:spacing w:val="0"/>
          <w:w w:val="100"/>
          <w:position w:val="0"/>
          <w:sz w:val="24"/>
          <w:szCs w:val="24"/>
          <w:u w:val="none" w:color="auto"/>
        </w:rPr>
        <w:t>工程对金属结构及设备拆除后</w:t>
      </w:r>
      <w:r>
        <w:rPr>
          <w:rFonts w:hint="default" w:ascii="Times New Roman" w:hAnsi="Times New Roman" w:eastAsia="宋体" w:cs="Times New Roman"/>
          <w:color w:val="auto"/>
          <w:spacing w:val="0"/>
          <w:w w:val="100"/>
          <w:position w:val="0"/>
          <w:sz w:val="24"/>
          <w:szCs w:val="24"/>
          <w:u w:val="none" w:color="auto"/>
          <w:lang w:eastAsia="zh-CN"/>
        </w:rPr>
        <w:t>外售</w:t>
      </w:r>
      <w:r>
        <w:rPr>
          <w:rFonts w:hint="default" w:ascii="Times New Roman" w:hAnsi="Times New Roman" w:eastAsia="宋体" w:cs="Times New Roman"/>
          <w:color w:val="auto"/>
          <w:spacing w:val="0"/>
          <w:w w:val="100"/>
          <w:position w:val="0"/>
          <w:sz w:val="24"/>
          <w:szCs w:val="24"/>
          <w:u w:val="none" w:color="auto"/>
        </w:rPr>
        <w:t>进行资源回收</w:t>
      </w:r>
      <w:r>
        <w:rPr>
          <w:rFonts w:hint="default" w:ascii="Times New Roman" w:hAnsi="Times New Roman" w:eastAsia="宋体" w:cs="Times New Roman"/>
          <w:color w:val="auto"/>
          <w:spacing w:val="0"/>
          <w:w w:val="100"/>
          <w:position w:val="0"/>
          <w:sz w:val="24"/>
          <w:szCs w:val="24"/>
          <w:u w:val="none" w:color="auto"/>
          <w:lang w:eastAsia="zh-CN"/>
        </w:rPr>
        <w:t>利用</w:t>
      </w:r>
      <w:r>
        <w:rPr>
          <w:rFonts w:hint="eastAsia" w:ascii="Times New Roman" w:hAnsi="Times New Roman" w:eastAsia="宋体" w:cs="Times New Roman"/>
          <w:color w:val="auto"/>
          <w:spacing w:val="0"/>
          <w:w w:val="100"/>
          <w:position w:val="0"/>
          <w:sz w:val="24"/>
          <w:szCs w:val="24"/>
          <w:u w:val="none" w:color="auto"/>
          <w:lang w:eastAsia="zh-CN"/>
        </w:rPr>
        <w:t>，不会对周边环境造成明显不利影响</w:t>
      </w:r>
      <w:r>
        <w:rPr>
          <w:rFonts w:hint="default" w:ascii="Times New Roman" w:hAnsi="Times New Roman" w:eastAsia="宋体" w:cs="Times New Roman"/>
          <w:color w:val="auto"/>
          <w:spacing w:val="0"/>
          <w:w w:val="100"/>
          <w:position w:val="0"/>
          <w:sz w:val="24"/>
          <w:szCs w:val="24"/>
          <w:u w:val="none" w:color="auto"/>
        </w:rPr>
        <w:t>。</w:t>
      </w:r>
    </w:p>
    <w:p w14:paraId="0D4F065F">
      <w:pPr>
        <w:pageBreakBefore w:val="0"/>
        <w:kinsoku w:val="0"/>
        <w:wordWrap w:val="0"/>
        <w:overflowPunct/>
        <w:topLinePunct/>
        <w:autoSpaceDE/>
        <w:autoSpaceDN/>
        <w:bidi w:val="0"/>
        <w:adjustRightInd w:val="0"/>
        <w:spacing w:line="500" w:lineRule="exact"/>
        <w:ind w:firstLine="480" w:firstLineChars="200"/>
        <w:rPr>
          <w:rFonts w:hint="eastAsia" w:ascii="Times New Roman" w:hAnsi="Times New Roman" w:eastAsia="宋体" w:cs="Times New Roman"/>
          <w:caps w:val="0"/>
          <w:smallCaps w:val="0"/>
          <w:color w:val="FF0000"/>
          <w:spacing w:val="0"/>
          <w:w w:val="100"/>
          <w:kern w:val="0"/>
          <w:position w:val="0"/>
          <w:sz w:val="24"/>
          <w:szCs w:val="24"/>
          <w:u w:val="none" w:color="auto"/>
          <w:lang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3</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eastAsia="zh-CN"/>
        </w:rPr>
        <w:t>建筑垃圾</w:t>
      </w:r>
    </w:p>
    <w:p w14:paraId="19529322">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eastAsia="zh-CN"/>
        </w:rPr>
        <w:t>项目施工过程中会产生部分建筑垃圾，主要为管理房、大坝护坡、进水塔、抬升井、暗涵、泄洪闸、溢洪道、引水渠等部分拆除工程产生的废弃建筑垃圾。根据工程设计方案，砌体和混凝土拆除工程量约为</w:t>
      </w:r>
      <w:r>
        <w:rPr>
          <w:rFonts w:hint="default" w:ascii="Times New Roman" w:hAnsi="Times New Roman" w:eastAsia="宋体" w:cs="Times New Roman"/>
          <w:color w:val="auto"/>
          <w:spacing w:val="0"/>
          <w:w w:val="100"/>
          <w:position w:val="0"/>
          <w:sz w:val="24"/>
          <w:szCs w:val="24"/>
          <w:u w:val="none" w:color="auto"/>
          <w:lang w:val="en-US" w:eastAsia="zh-CN"/>
        </w:rPr>
        <w:t>3278</w:t>
      </w:r>
      <w:r>
        <w:rPr>
          <w:rFonts w:hint="default" w:ascii="Times New Roman" w:hAnsi="Times New Roman" w:eastAsia="宋体" w:cs="Times New Roman"/>
          <w:caps w:val="0"/>
          <w:smallCaps w:val="0"/>
          <w:color w:val="auto"/>
          <w:spacing w:val="0"/>
          <w:w w:val="100"/>
          <w:kern w:val="0"/>
          <w:position w:val="0"/>
          <w:sz w:val="24"/>
          <w:szCs w:val="24"/>
          <w:u w:val="none" w:color="auto"/>
        </w:rPr>
        <w:t>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olor w:val="auto"/>
          <w:spacing w:val="0"/>
          <w:w w:val="100"/>
          <w:position w:val="0"/>
          <w:sz w:val="24"/>
          <w:szCs w:val="24"/>
          <w:u w:val="none" w:color="auto"/>
          <w:lang w:val="en-US" w:eastAsia="zh-CN"/>
        </w:rPr>
        <w:t>，收集后运至弃渣场堆存。在落实上述措施的前提下，建筑垃圾不会对周围环境造成明显影响。</w:t>
      </w:r>
    </w:p>
    <w:p w14:paraId="7A726D40">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FF0000"/>
          <w:spacing w:val="0"/>
          <w:w w:val="100"/>
          <w:kern w:val="0"/>
          <w:position w:val="0"/>
          <w:sz w:val="24"/>
          <w:szCs w:val="24"/>
          <w:u w:val="none" w:color="auto"/>
        </w:rPr>
      </w:pPr>
      <w:r>
        <w:rPr>
          <w:rFonts w:hint="eastAsia" w:ascii="Times New Roman" w:hAnsi="Times New Roman" w:eastAsia="宋体" w:cs="Times New Roman"/>
          <w:color w:val="auto"/>
          <w:spacing w:val="0"/>
          <w:w w:val="100"/>
          <w:position w:val="0"/>
          <w:sz w:val="24"/>
          <w:szCs w:val="24"/>
          <w:u w:val="none" w:color="auto"/>
          <w:lang w:val="en-US" w:eastAsia="zh-CN"/>
        </w:rPr>
        <w:t>（4）</w:t>
      </w:r>
      <w:r>
        <w:rPr>
          <w:rFonts w:hint="default" w:ascii="Times New Roman" w:hAnsi="Times New Roman" w:eastAsia="宋体" w:cs="Times New Roman"/>
          <w:color w:val="auto"/>
          <w:spacing w:val="0"/>
          <w:w w:val="100"/>
          <w:position w:val="0"/>
          <w:sz w:val="24"/>
          <w:szCs w:val="24"/>
          <w:u w:val="none" w:color="auto"/>
          <w:lang w:val="en-US" w:eastAsia="zh-CN"/>
        </w:rPr>
        <w:t>沉淀池收集的污泥</w:t>
      </w:r>
    </w:p>
    <w:p w14:paraId="0190A6C2">
      <w:pPr>
        <w:pageBreakBefore w:val="0"/>
        <w:kinsoku w:val="0"/>
        <w:wordWrap w:val="0"/>
        <w:overflowPunct/>
        <w:topLinePunct/>
        <w:autoSpaceDE/>
        <w:autoSpaceDN/>
        <w:bidi w:val="0"/>
        <w:adjustRightInd w:val="0"/>
        <w:spacing w:line="500" w:lineRule="exact"/>
        <w:ind w:firstLine="480" w:firstLineChars="200"/>
      </w:pPr>
      <w:r>
        <w:rPr>
          <w:rFonts w:hint="default" w:ascii="Times New Roman" w:hAnsi="Times New Roman" w:eastAsia="宋体" w:cs="Times New Roman"/>
          <w:sz w:val="24"/>
          <w:szCs w:val="24"/>
          <w:lang w:val="en-US" w:eastAsia="zh-CN"/>
        </w:rPr>
        <w:t>本工程施工期产生的废水经沉淀池处理后回用，不外排，沉淀池会产生污泥、泥渣。</w:t>
      </w:r>
      <w:r>
        <w:rPr>
          <w:rFonts w:hint="default" w:ascii="Times New Roman" w:hAnsi="Times New Roman" w:eastAsia="瀹嬩綋" w:cs="Times New Roman"/>
          <w:color w:val="000000"/>
          <w:kern w:val="0"/>
          <w:sz w:val="24"/>
          <w:szCs w:val="24"/>
          <w:lang w:val="en-US" w:eastAsia="zh-CN" w:bidi="ar"/>
        </w:rPr>
        <w:t>同时施工结束后</w:t>
      </w:r>
      <w:r>
        <w:rPr>
          <w:rFonts w:hint="default" w:ascii="Times New Roman" w:hAnsi="Times New Roman" w:eastAsia="宋体" w:cs="Times New Roman"/>
          <w:color w:val="auto"/>
          <w:spacing w:val="0"/>
          <w:w w:val="100"/>
          <w:position w:val="0"/>
          <w:sz w:val="24"/>
          <w:szCs w:val="24"/>
          <w:u w:val="none" w:color="auto"/>
        </w:rPr>
        <w:t>帷幕灌浆</w:t>
      </w:r>
      <w:r>
        <w:rPr>
          <w:rFonts w:hint="default" w:ascii="Times New Roman" w:hAnsi="Times New Roman" w:eastAsia="宋体" w:cs="Times New Roman"/>
          <w:color w:val="auto"/>
          <w:spacing w:val="0"/>
          <w:w w:val="100"/>
          <w:position w:val="0"/>
          <w:sz w:val="24"/>
          <w:szCs w:val="24"/>
          <w:u w:val="none" w:color="auto"/>
          <w:lang w:eastAsia="zh-CN"/>
        </w:rPr>
        <w:t>废</w:t>
      </w:r>
      <w:r>
        <w:rPr>
          <w:rFonts w:hint="default" w:ascii="Times New Roman" w:hAnsi="Times New Roman" w:eastAsia="瀹嬩綋" w:cs="Times New Roman"/>
          <w:color w:val="000000"/>
          <w:kern w:val="0"/>
          <w:sz w:val="24"/>
          <w:szCs w:val="24"/>
          <w:lang w:val="en-US" w:eastAsia="zh-CN" w:bidi="ar"/>
        </w:rPr>
        <w:t>泥浆在泥浆池干化后，也会产生部分污泥。</w:t>
      </w:r>
      <w:r>
        <w:rPr>
          <w:rFonts w:hint="default" w:ascii="Times New Roman" w:hAnsi="Times New Roman" w:eastAsia="宋体" w:cs="Times New Roman"/>
          <w:sz w:val="24"/>
          <w:szCs w:val="24"/>
          <w:lang w:val="en-US" w:eastAsia="zh-CN"/>
        </w:rPr>
        <w:t>施工期污泥产生量约为15t。</w:t>
      </w:r>
      <w:r>
        <w:rPr>
          <w:rFonts w:hint="eastAsia" w:ascii="Times New Roman" w:hAnsi="Times New Roman" w:eastAsia="宋体" w:cs="Times New Roman"/>
          <w:sz w:val="24"/>
          <w:szCs w:val="24"/>
          <w:lang w:val="en-US" w:eastAsia="zh-CN"/>
        </w:rPr>
        <w:t>各</w:t>
      </w:r>
      <w:r>
        <w:rPr>
          <w:rFonts w:hint="eastAsia" w:ascii="宋体" w:hAnsi="宋体" w:eastAsia="宋体" w:cs="宋体"/>
          <w:color w:val="000000"/>
          <w:kern w:val="0"/>
          <w:sz w:val="24"/>
          <w:szCs w:val="24"/>
          <w:lang w:val="en-US" w:eastAsia="zh-CN" w:bidi="ar"/>
        </w:rPr>
        <w:t>沉淀池收集的污泥定期人工清理，经收集后外售砖厂制砖。</w:t>
      </w:r>
    </w:p>
    <w:p w14:paraId="08E14FE1">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生活垃圾</w:t>
      </w:r>
    </w:p>
    <w:p w14:paraId="61988291">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项目施工期</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生活垃圾</w:t>
      </w:r>
      <w:r>
        <w:rPr>
          <w:rFonts w:hint="default" w:ascii="Times New Roman" w:hAnsi="Times New Roman" w:eastAsia="宋体" w:cs="Times New Roman"/>
          <w:caps w:val="0"/>
          <w:smallCaps w:val="0"/>
          <w:color w:val="auto"/>
          <w:spacing w:val="0"/>
          <w:w w:val="100"/>
          <w:kern w:val="0"/>
          <w:position w:val="0"/>
          <w:sz w:val="24"/>
          <w:szCs w:val="24"/>
          <w:u w:val="none" w:color="auto"/>
        </w:rPr>
        <w:t>产生量为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0.16t</w:t>
      </w:r>
      <w:r>
        <w:rPr>
          <w:rFonts w:hint="default" w:ascii="Times New Roman" w:hAnsi="Times New Roman" w:eastAsia="宋体" w:cs="Times New Roman"/>
          <w:caps w:val="0"/>
          <w:smallCaps w:val="0"/>
          <w:color w:val="auto"/>
          <w:spacing w:val="0"/>
          <w:w w:val="100"/>
          <w:kern w:val="0"/>
          <w:position w:val="0"/>
          <w:sz w:val="24"/>
          <w:szCs w:val="24"/>
          <w:u w:val="none" w:color="auto"/>
        </w:rPr>
        <w:t>/d</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生活垃圾包括废塑料袋（瓶）、瓜果皮、废纸等。在施工期内，为避免其污染环境，滋生蚊虫传播疾病，施工场地设置垃圾</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桶</w:t>
      </w:r>
      <w:r>
        <w:rPr>
          <w:rFonts w:hint="default" w:ascii="Times New Roman" w:hAnsi="Times New Roman" w:eastAsia="宋体" w:cs="Times New Roman"/>
          <w:caps w:val="0"/>
          <w:smallCaps w:val="0"/>
          <w:color w:val="auto"/>
          <w:spacing w:val="0"/>
          <w:w w:val="100"/>
          <w:kern w:val="0"/>
          <w:position w:val="0"/>
          <w:sz w:val="24"/>
          <w:szCs w:val="24"/>
          <w:u w:val="none" w:color="auto"/>
        </w:rPr>
        <w:t>，生活垃圾集中收集，定时清运处理。</w:t>
      </w:r>
    </w:p>
    <w:p w14:paraId="270E6606">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生活垃圾中的有机质等多种复杂成分如不及时清理，就会变质腐烂，产生恶臭，不仅污染空气，还容易招引和孳生苍蝇、繁殖老鼠，特别是在夏季高温和雨天污染更加突出。此外，垃圾中还可能含有各种疾病患者用过的废弃物，如果随意丢弃，垃圾中的病原微生物就会随着雨水淋洗，污染土壤，或者随着飘尘污染大气，造成疾病传染和流行，特别是肠道传染疾病。为了预防生活垃圾对土壤、水环境、景观和人群健康的危害，在施工营地和水库区设置垃圾箱，禁止随意倾倒垃圾，对施工人员生活垃圾进行定点、集中收集，统一处置。通过严格施工管理和配置相应的生活垃圾清理、处理设施后，施工人员生活垃圾对周围环境的影响可以减少到最低，生活垃圾定期处理不会对周围环境产生较大危害。</w:t>
      </w:r>
    </w:p>
    <w:p w14:paraId="428FDD68">
      <w:pPr>
        <w:pageBreakBefore w:val="0"/>
        <w:numPr>
          <w:ilvl w:val="0"/>
          <w:numId w:val="23"/>
        </w:numPr>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eastAsia="zh-CN"/>
        </w:rPr>
        <w:t>废油</w:t>
      </w:r>
    </w:p>
    <w:p w14:paraId="43828353">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工程施工期间，对隔油沉淀池定期清理将产生一定量废油，废油产生量约为0.5t/a。根据《国家危险废物名录》（2021年版），隔油沉淀池废油属于“HW08 废矿物油与含矿物油废物”中的“900-210-08 含油废水处理中隔油、气浮、沉淀等处理过程中产生的浮油、浮渣和污泥”</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。废油</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如不经处理直接排放，将对周边土壤和水体产生影响。对土壤的影响主要体现在废油会破坏土壤结构，影响土壤通透性，损害植物根部，阻碍根的呼吸与吸收；对水体的主要影响是形成油膜，影响水体复氧，并影响水质。废油</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经收集后交由</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有资质的单位接收处理并妥善处置。</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废油</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妥善处置后可避免对周边土壤和水体水质产生影响。</w:t>
      </w:r>
    </w:p>
    <w:p w14:paraId="1488F7AA">
      <w:pPr>
        <w:pStyle w:val="4"/>
        <w:bidi w:val="0"/>
        <w:rPr>
          <w:rFonts w:hint="default" w:ascii="Times New Roman" w:hAnsi="Times New Roman" w:cs="Times New Roman"/>
        </w:rPr>
      </w:pPr>
      <w:bookmarkStart w:id="282" w:name="bookmark611"/>
      <w:bookmarkStart w:id="283" w:name="bookmark610"/>
      <w:bookmarkStart w:id="284" w:name="_Toc29780"/>
      <w:r>
        <w:rPr>
          <w:rFonts w:hint="default" w:ascii="Times New Roman" w:hAnsi="Times New Roman" w:cs="Times New Roman"/>
        </w:rPr>
        <w:t>生态环境影响</w:t>
      </w:r>
      <w:bookmarkEnd w:id="282"/>
      <w:bookmarkEnd w:id="283"/>
      <w:r>
        <w:rPr>
          <w:rFonts w:hint="default" w:ascii="Times New Roman" w:hAnsi="Times New Roman" w:cs="Times New Roman"/>
        </w:rPr>
        <w:t>分析</w:t>
      </w:r>
      <w:bookmarkEnd w:id="284"/>
    </w:p>
    <w:p w14:paraId="7C11DAF1">
      <w:pPr>
        <w:pStyle w:val="5"/>
        <w:bidi w:val="0"/>
        <w:rPr>
          <w:rFonts w:hint="default" w:ascii="Times New Roman" w:hAnsi="Times New Roman" w:cs="Times New Roman"/>
          <w:lang w:val="en-US" w:eastAsia="zh-CN"/>
        </w:rPr>
      </w:pPr>
      <w:bookmarkStart w:id="285" w:name="_Toc1002"/>
      <w:bookmarkStart w:id="286" w:name="_Toc24741"/>
      <w:bookmarkStart w:id="287" w:name="_Toc27836"/>
      <w:bookmarkStart w:id="288" w:name="_Toc16987"/>
      <w:r>
        <w:rPr>
          <w:rFonts w:hint="default" w:ascii="Times New Roman" w:hAnsi="Times New Roman" w:cs="Times New Roman"/>
          <w:lang w:val="en-US" w:eastAsia="zh-CN"/>
        </w:rPr>
        <w:t>对土地利用</w:t>
      </w:r>
      <w:bookmarkEnd w:id="285"/>
      <w:bookmarkEnd w:id="286"/>
      <w:bookmarkEnd w:id="287"/>
      <w:r>
        <w:rPr>
          <w:rFonts w:hint="default" w:ascii="Times New Roman" w:hAnsi="Times New Roman" w:cs="Times New Roman"/>
          <w:lang w:val="en-US" w:eastAsia="zh-CN"/>
        </w:rPr>
        <w:t>的影响</w:t>
      </w:r>
      <w:bookmarkEnd w:id="288"/>
    </w:p>
    <w:p w14:paraId="734EA15F">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1"/>
          <w:highlight w:val="none"/>
          <w:u w:val="none"/>
        </w:rPr>
      </w:pPr>
      <w:r>
        <w:rPr>
          <w:rFonts w:hint="default" w:ascii="Times New Roman" w:hAnsi="Times New Roman" w:eastAsia="宋体" w:cs="Times New Roman"/>
          <w:caps w:val="0"/>
          <w:smallCaps w:val="0"/>
          <w:snapToGrid/>
          <w:color w:val="auto"/>
          <w:spacing w:val="0"/>
          <w:kern w:val="0"/>
          <w:sz w:val="24"/>
          <w:szCs w:val="21"/>
          <w:highlight w:val="none"/>
          <w:u w:val="none"/>
        </w:rPr>
        <w:t>本工程实施后，评价区各类</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土地</w:t>
      </w:r>
      <w:r>
        <w:rPr>
          <w:rFonts w:hint="default" w:ascii="Times New Roman" w:hAnsi="Times New Roman" w:eastAsia="宋体" w:cs="Times New Roman"/>
          <w:caps w:val="0"/>
          <w:smallCaps w:val="0"/>
          <w:snapToGrid/>
          <w:color w:val="auto"/>
          <w:spacing w:val="0"/>
          <w:kern w:val="0"/>
          <w:sz w:val="24"/>
          <w:szCs w:val="21"/>
          <w:highlight w:val="none"/>
          <w:u w:val="none"/>
        </w:rPr>
        <w:t>面积的变化见</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下表</w:t>
      </w:r>
      <w:r>
        <w:rPr>
          <w:rFonts w:hint="default" w:ascii="Times New Roman" w:hAnsi="Times New Roman" w:eastAsia="宋体" w:cs="Times New Roman"/>
          <w:caps w:val="0"/>
          <w:smallCaps w:val="0"/>
          <w:snapToGrid/>
          <w:color w:val="auto"/>
          <w:spacing w:val="0"/>
          <w:kern w:val="0"/>
          <w:sz w:val="24"/>
          <w:szCs w:val="21"/>
          <w:highlight w:val="none"/>
          <w:u w:val="none"/>
        </w:rPr>
        <w:t>。</w:t>
      </w:r>
    </w:p>
    <w:p w14:paraId="5762196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lang w:eastAsia="zh-CN"/>
        </w:rPr>
        <w:t>表</w:t>
      </w:r>
      <w:r>
        <w:rPr>
          <w:rFonts w:hint="eastAsia" w:ascii="Times New Roman" w:hAnsi="Times New Roman" w:eastAsia="宋体" w:cs="Times New Roman"/>
          <w:b/>
          <w:bCs/>
          <w:color w:val="auto"/>
          <w:spacing w:val="0"/>
          <w:w w:val="100"/>
          <w:position w:val="0"/>
          <w:sz w:val="21"/>
          <w:szCs w:val="21"/>
          <w:u w:val="none" w:color="auto"/>
          <w:lang w:val="en-US" w:eastAsia="zh-CN"/>
        </w:rPr>
        <w:t>4.2</w:t>
      </w:r>
      <w:r>
        <w:rPr>
          <w:rFonts w:hint="default" w:ascii="Times New Roman" w:hAnsi="Times New Roman" w:eastAsia="宋体" w:cs="Times New Roman"/>
          <w:b/>
          <w:bCs/>
          <w:color w:val="auto"/>
          <w:spacing w:val="0"/>
          <w:w w:val="100"/>
          <w:position w:val="0"/>
          <w:sz w:val="21"/>
          <w:szCs w:val="21"/>
          <w:u w:val="none" w:color="auto"/>
          <w:lang w:eastAsia="zh-CN"/>
        </w:rPr>
        <w:t>-</w:t>
      </w:r>
      <w:r>
        <w:rPr>
          <w:rFonts w:hint="eastAsia" w:ascii="Times New Roman" w:hAnsi="Times New Roman" w:eastAsia="宋体" w:cs="Times New Roman"/>
          <w:b/>
          <w:bCs/>
          <w:color w:val="auto"/>
          <w:spacing w:val="0"/>
          <w:w w:val="100"/>
          <w:position w:val="0"/>
          <w:sz w:val="21"/>
          <w:szCs w:val="21"/>
          <w:u w:val="none" w:color="auto"/>
          <w:lang w:val="en-US" w:eastAsia="zh-CN"/>
        </w:rPr>
        <w:t>7</w:t>
      </w:r>
      <w:r>
        <w:rPr>
          <w:rFonts w:hint="default" w:ascii="Times New Roman" w:hAnsi="Times New Roman" w:eastAsia="宋体" w:cs="Times New Roman"/>
          <w:b/>
          <w:bCs/>
          <w:color w:val="auto"/>
          <w:spacing w:val="0"/>
          <w:w w:val="100"/>
          <w:position w:val="0"/>
          <w:sz w:val="21"/>
          <w:szCs w:val="21"/>
          <w:u w:val="none" w:color="auto"/>
          <w:lang w:val="en-US" w:eastAsia="zh-CN"/>
        </w:rPr>
        <w:t xml:space="preserve"> </w:t>
      </w:r>
      <w:r>
        <w:rPr>
          <w:rFonts w:hint="default" w:ascii="Times New Roman" w:hAnsi="Times New Roman" w:eastAsia="宋体" w:cs="Times New Roman"/>
          <w:b/>
          <w:bCs/>
          <w:color w:val="auto"/>
          <w:spacing w:val="0"/>
          <w:w w:val="100"/>
          <w:position w:val="0"/>
          <w:sz w:val="21"/>
          <w:szCs w:val="21"/>
          <w:u w:val="none" w:color="auto"/>
          <w:lang w:eastAsia="zh-CN"/>
        </w:rPr>
        <w:t>工程实施前后评价区土地斑块数目和面积变化表</w:t>
      </w:r>
    </w:p>
    <w:tbl>
      <w:tblPr>
        <w:tblStyle w:val="3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27"/>
        <w:gridCol w:w="2175"/>
        <w:gridCol w:w="1870"/>
        <w:gridCol w:w="1870"/>
        <w:gridCol w:w="1871"/>
      </w:tblGrid>
      <w:tr w14:paraId="20429F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14:paraId="37EAC0EC">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eastAsia="宋体" w:cs="Times New Roman"/>
                <w:b/>
                <w:caps w:val="0"/>
                <w:smallCaps w:val="0"/>
                <w:snapToGrid/>
                <w:color w:val="auto"/>
                <w:spacing w:val="0"/>
                <w:kern w:val="0"/>
                <w:sz w:val="21"/>
                <w:szCs w:val="21"/>
                <w:highlight w:val="none"/>
                <w:u w:val="none"/>
                <w:lang w:val="en-US" w:eastAsia="zh-CN"/>
              </w:rPr>
            </w:pPr>
            <w:bookmarkStart w:id="289" w:name="_Toc478721117"/>
            <w:bookmarkStart w:id="290" w:name="_Toc475742925"/>
            <w:bookmarkStart w:id="291" w:name="_Toc475886340"/>
            <w:bookmarkStart w:id="292" w:name="_Toc475747169"/>
            <w:r>
              <w:rPr>
                <w:rFonts w:hint="default" w:ascii="Times New Roman" w:hAnsi="Times New Roman" w:eastAsia="宋体" w:cs="Times New Roman"/>
                <w:b/>
                <w:caps w:val="0"/>
                <w:smallCaps w:val="0"/>
                <w:snapToGrid/>
                <w:color w:val="auto"/>
                <w:spacing w:val="0"/>
                <w:kern w:val="0"/>
                <w:sz w:val="21"/>
                <w:szCs w:val="21"/>
                <w:highlight w:val="none"/>
                <w:u w:val="none"/>
                <w:lang w:val="en-US" w:eastAsia="zh-CN"/>
              </w:rPr>
              <w:t>编号</w:t>
            </w:r>
          </w:p>
        </w:tc>
        <w:tc>
          <w:tcPr>
            <w:tcW w:w="1276" w:type="pct"/>
            <w:tcBorders>
              <w:tl2br w:val="nil"/>
              <w:tr2bl w:val="nil"/>
            </w:tcBorders>
            <w:noWrap w:val="0"/>
            <w:vAlign w:val="center"/>
          </w:tcPr>
          <w:p w14:paraId="7451E7E3">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eastAsia="宋体" w:cs="Times New Roman"/>
                <w:b/>
                <w:caps w:val="0"/>
                <w:smallCaps w:val="0"/>
                <w:snapToGrid/>
                <w:color w:val="auto"/>
                <w:spacing w:val="0"/>
                <w:kern w:val="0"/>
                <w:sz w:val="21"/>
                <w:szCs w:val="21"/>
                <w:highlight w:val="none"/>
                <w:u w:val="none"/>
              </w:rPr>
            </w:pPr>
            <w:r>
              <w:rPr>
                <w:rFonts w:hint="default" w:ascii="Times New Roman" w:hAnsi="Times New Roman" w:eastAsia="宋体" w:cs="Times New Roman"/>
                <w:b/>
                <w:caps w:val="0"/>
                <w:smallCaps w:val="0"/>
                <w:snapToGrid/>
                <w:color w:val="auto"/>
                <w:spacing w:val="0"/>
                <w:kern w:val="0"/>
                <w:sz w:val="21"/>
                <w:szCs w:val="21"/>
                <w:highlight w:val="none"/>
                <w:u w:val="none"/>
                <w:lang w:eastAsia="zh-CN"/>
              </w:rPr>
              <w:t>土地</w:t>
            </w:r>
            <w:r>
              <w:rPr>
                <w:rFonts w:hint="default" w:ascii="Times New Roman" w:hAnsi="Times New Roman" w:eastAsia="宋体" w:cs="Times New Roman"/>
                <w:b/>
                <w:caps w:val="0"/>
                <w:smallCaps w:val="0"/>
                <w:snapToGrid/>
                <w:color w:val="auto"/>
                <w:spacing w:val="0"/>
                <w:kern w:val="0"/>
                <w:sz w:val="21"/>
                <w:szCs w:val="21"/>
                <w:highlight w:val="none"/>
                <w:u w:val="none"/>
              </w:rPr>
              <w:t>类型</w:t>
            </w:r>
            <w:bookmarkEnd w:id="289"/>
            <w:bookmarkEnd w:id="290"/>
            <w:bookmarkEnd w:id="291"/>
            <w:bookmarkEnd w:id="292"/>
          </w:p>
        </w:tc>
        <w:tc>
          <w:tcPr>
            <w:tcW w:w="1098" w:type="pct"/>
            <w:tcBorders>
              <w:tl2br w:val="nil"/>
              <w:tr2bl w:val="nil"/>
            </w:tcBorders>
            <w:noWrap w:val="0"/>
            <w:vAlign w:val="center"/>
          </w:tcPr>
          <w:p w14:paraId="716450F5">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eastAsia="宋体" w:cs="Times New Roman"/>
                <w:b/>
                <w:caps w:val="0"/>
                <w:smallCaps w:val="0"/>
                <w:snapToGrid/>
                <w:color w:val="auto"/>
                <w:spacing w:val="0"/>
                <w:kern w:val="0"/>
                <w:sz w:val="21"/>
                <w:szCs w:val="21"/>
                <w:highlight w:val="none"/>
                <w:u w:val="none"/>
              </w:rPr>
            </w:pPr>
            <w:bookmarkStart w:id="293" w:name="_Toc475742926"/>
            <w:bookmarkStart w:id="294" w:name="_Toc478721118"/>
            <w:bookmarkStart w:id="295" w:name="_Toc475747170"/>
            <w:bookmarkStart w:id="296" w:name="_Toc475886341"/>
            <w:bookmarkStart w:id="297" w:name="_Toc478721119"/>
            <w:bookmarkStart w:id="298" w:name="_Toc475747171"/>
            <w:bookmarkStart w:id="299" w:name="_Toc475886342"/>
            <w:bookmarkStart w:id="300" w:name="_Toc475742927"/>
            <w:r>
              <w:rPr>
                <w:rFonts w:hint="default" w:ascii="Times New Roman" w:hAnsi="Times New Roman" w:eastAsia="宋体" w:cs="Times New Roman"/>
                <w:b/>
                <w:caps w:val="0"/>
                <w:smallCaps w:val="0"/>
                <w:snapToGrid/>
                <w:color w:val="auto"/>
                <w:spacing w:val="0"/>
                <w:kern w:val="0"/>
                <w:sz w:val="21"/>
                <w:szCs w:val="21"/>
                <w:highlight w:val="none"/>
                <w:u w:val="none"/>
              </w:rPr>
              <w:t>建设前</w:t>
            </w:r>
            <w:bookmarkEnd w:id="293"/>
            <w:bookmarkEnd w:id="294"/>
            <w:bookmarkEnd w:id="295"/>
            <w:bookmarkEnd w:id="296"/>
            <w:r>
              <w:rPr>
                <w:rFonts w:hint="default" w:ascii="Times New Roman" w:hAnsi="Times New Roman" w:eastAsia="宋体" w:cs="Times New Roman"/>
                <w:b/>
                <w:caps w:val="0"/>
                <w:smallCaps w:val="0"/>
                <w:snapToGrid/>
                <w:color w:val="auto"/>
                <w:spacing w:val="0"/>
                <w:kern w:val="0"/>
                <w:sz w:val="21"/>
                <w:szCs w:val="21"/>
                <w:highlight w:val="none"/>
                <w:u w:val="none"/>
              </w:rPr>
              <w:t>（hm</w:t>
            </w:r>
            <w:r>
              <w:rPr>
                <w:rFonts w:hint="default" w:ascii="Times New Roman" w:hAnsi="Times New Roman" w:eastAsia="宋体" w:cs="Times New Roman"/>
                <w:b/>
                <w:caps w:val="0"/>
                <w:smallCaps w:val="0"/>
                <w:snapToGrid/>
                <w:color w:val="auto"/>
                <w:spacing w:val="0"/>
                <w:kern w:val="0"/>
                <w:sz w:val="21"/>
                <w:szCs w:val="21"/>
                <w:highlight w:val="none"/>
                <w:u w:val="none"/>
                <w:vertAlign w:val="superscript"/>
              </w:rPr>
              <w:t>2</w:t>
            </w:r>
            <w:r>
              <w:rPr>
                <w:rFonts w:hint="default" w:ascii="Times New Roman" w:hAnsi="Times New Roman" w:eastAsia="宋体" w:cs="Times New Roman"/>
                <w:b/>
                <w:caps w:val="0"/>
                <w:smallCaps w:val="0"/>
                <w:snapToGrid/>
                <w:color w:val="auto"/>
                <w:spacing w:val="0"/>
                <w:kern w:val="0"/>
                <w:sz w:val="21"/>
                <w:szCs w:val="21"/>
                <w:highlight w:val="none"/>
                <w:u w:val="none"/>
              </w:rPr>
              <w:t>）</w:t>
            </w:r>
          </w:p>
          <w:bookmarkEnd w:id="297"/>
          <w:bookmarkEnd w:id="298"/>
          <w:bookmarkEnd w:id="299"/>
          <w:bookmarkEnd w:id="300"/>
        </w:tc>
        <w:tc>
          <w:tcPr>
            <w:tcW w:w="1098" w:type="pct"/>
            <w:tcBorders>
              <w:tl2br w:val="nil"/>
              <w:tr2bl w:val="nil"/>
            </w:tcBorders>
            <w:noWrap w:val="0"/>
            <w:vAlign w:val="center"/>
          </w:tcPr>
          <w:p w14:paraId="10066999">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eastAsia="宋体" w:cs="Times New Roman"/>
                <w:b/>
                <w:caps w:val="0"/>
                <w:smallCaps w:val="0"/>
                <w:snapToGrid/>
                <w:color w:val="auto"/>
                <w:spacing w:val="0"/>
                <w:kern w:val="0"/>
                <w:sz w:val="21"/>
                <w:szCs w:val="21"/>
                <w:highlight w:val="none"/>
                <w:u w:val="none"/>
              </w:rPr>
            </w:pPr>
            <w:bookmarkStart w:id="301" w:name="_Toc478721120"/>
            <w:bookmarkStart w:id="302" w:name="_Toc475742928"/>
            <w:bookmarkStart w:id="303" w:name="_Toc475886343"/>
            <w:bookmarkStart w:id="304" w:name="_Toc475747172"/>
            <w:r>
              <w:rPr>
                <w:rFonts w:hint="default" w:ascii="Times New Roman" w:hAnsi="Times New Roman" w:eastAsia="宋体" w:cs="Times New Roman"/>
                <w:b/>
                <w:caps w:val="0"/>
                <w:smallCaps w:val="0"/>
                <w:snapToGrid/>
                <w:color w:val="auto"/>
                <w:spacing w:val="0"/>
                <w:kern w:val="0"/>
                <w:sz w:val="21"/>
                <w:szCs w:val="21"/>
                <w:highlight w:val="none"/>
                <w:u w:val="none"/>
              </w:rPr>
              <w:t>建设后（hm</w:t>
            </w:r>
            <w:r>
              <w:rPr>
                <w:rFonts w:hint="default" w:ascii="Times New Roman" w:hAnsi="Times New Roman" w:eastAsia="宋体" w:cs="Times New Roman"/>
                <w:b/>
                <w:caps w:val="0"/>
                <w:smallCaps w:val="0"/>
                <w:snapToGrid/>
                <w:color w:val="auto"/>
                <w:spacing w:val="0"/>
                <w:kern w:val="0"/>
                <w:sz w:val="21"/>
                <w:szCs w:val="21"/>
                <w:highlight w:val="none"/>
                <w:u w:val="none"/>
                <w:vertAlign w:val="superscript"/>
              </w:rPr>
              <w:t>2</w:t>
            </w:r>
            <w:r>
              <w:rPr>
                <w:rFonts w:hint="default" w:ascii="Times New Roman" w:hAnsi="Times New Roman" w:eastAsia="宋体" w:cs="Times New Roman"/>
                <w:b/>
                <w:caps w:val="0"/>
                <w:smallCaps w:val="0"/>
                <w:snapToGrid/>
                <w:color w:val="auto"/>
                <w:spacing w:val="0"/>
                <w:kern w:val="0"/>
                <w:sz w:val="21"/>
                <w:szCs w:val="21"/>
                <w:highlight w:val="none"/>
                <w:u w:val="none"/>
              </w:rPr>
              <w:t>）</w:t>
            </w:r>
          </w:p>
          <w:bookmarkEnd w:id="301"/>
          <w:bookmarkEnd w:id="302"/>
          <w:bookmarkEnd w:id="303"/>
          <w:bookmarkEnd w:id="304"/>
        </w:tc>
        <w:tc>
          <w:tcPr>
            <w:tcW w:w="1098" w:type="pct"/>
            <w:tcBorders>
              <w:tl2br w:val="nil"/>
              <w:tr2bl w:val="nil"/>
            </w:tcBorders>
            <w:noWrap w:val="0"/>
            <w:vAlign w:val="center"/>
          </w:tcPr>
          <w:p w14:paraId="2AF5F875">
            <w:pPr>
              <w:keepNext w:val="0"/>
              <w:keepLines w:val="0"/>
              <w:suppressLineNumbers w:val="0"/>
              <w:spacing w:before="0" w:beforeAutospacing="0" w:after="0" w:afterAutospacing="0" w:line="240" w:lineRule="auto"/>
              <w:ind w:left="0" w:right="0" w:firstLine="0" w:firstLineChars="0"/>
              <w:contextualSpacing/>
              <w:jc w:val="center"/>
              <w:rPr>
                <w:rFonts w:hint="default" w:ascii="Times New Roman" w:hAnsi="Times New Roman" w:eastAsia="宋体" w:cs="Times New Roman"/>
                <w:b/>
                <w:caps w:val="0"/>
                <w:smallCaps w:val="0"/>
                <w:snapToGrid/>
                <w:color w:val="auto"/>
                <w:spacing w:val="0"/>
                <w:kern w:val="0"/>
                <w:sz w:val="21"/>
                <w:szCs w:val="21"/>
                <w:highlight w:val="none"/>
                <w:u w:val="none"/>
              </w:rPr>
            </w:pPr>
            <w:r>
              <w:rPr>
                <w:rFonts w:hint="default" w:ascii="Times New Roman" w:hAnsi="Times New Roman" w:eastAsia="宋体" w:cs="Times New Roman"/>
                <w:b/>
                <w:caps w:val="0"/>
                <w:smallCaps w:val="0"/>
                <w:snapToGrid/>
                <w:color w:val="auto"/>
                <w:spacing w:val="0"/>
                <w:kern w:val="0"/>
                <w:sz w:val="21"/>
                <w:szCs w:val="21"/>
                <w:highlight w:val="none"/>
                <w:u w:val="none"/>
              </w:rPr>
              <w:t>变化值（hm</w:t>
            </w:r>
            <w:r>
              <w:rPr>
                <w:rFonts w:hint="default" w:ascii="Times New Roman" w:hAnsi="Times New Roman" w:eastAsia="宋体" w:cs="Times New Roman"/>
                <w:b/>
                <w:caps w:val="0"/>
                <w:smallCaps w:val="0"/>
                <w:snapToGrid/>
                <w:color w:val="auto"/>
                <w:spacing w:val="0"/>
                <w:kern w:val="0"/>
                <w:sz w:val="21"/>
                <w:szCs w:val="21"/>
                <w:highlight w:val="none"/>
                <w:u w:val="none"/>
                <w:vertAlign w:val="superscript"/>
              </w:rPr>
              <w:t>2</w:t>
            </w:r>
            <w:r>
              <w:rPr>
                <w:rFonts w:hint="default" w:ascii="Times New Roman" w:hAnsi="Times New Roman" w:eastAsia="宋体" w:cs="Times New Roman"/>
                <w:b/>
                <w:caps w:val="0"/>
                <w:smallCaps w:val="0"/>
                <w:snapToGrid/>
                <w:color w:val="auto"/>
                <w:spacing w:val="0"/>
                <w:kern w:val="0"/>
                <w:sz w:val="21"/>
                <w:szCs w:val="21"/>
                <w:highlight w:val="none"/>
                <w:u w:val="none"/>
              </w:rPr>
              <w:t>）</w:t>
            </w:r>
          </w:p>
        </w:tc>
      </w:tr>
      <w:tr w14:paraId="0B1DE7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14:paraId="7A2D45FA">
            <w:pPr>
              <w:keepNext w:val="0"/>
              <w:keepLines w:val="0"/>
              <w:numPr>
                <w:ilvl w:val="0"/>
                <w:numId w:val="24"/>
              </w:numPr>
              <w:suppressLineNumbers w:val="0"/>
              <w:spacing w:before="0" w:beforeAutospacing="0" w:after="0" w:afterAutospacing="0" w:line="240" w:lineRule="auto"/>
              <w:ind w:left="425" w:leftChars="0" w:right="0" w:rightChars="0" w:hanging="425" w:firstLineChars="0"/>
              <w:jc w:val="center"/>
              <w:rPr>
                <w:rFonts w:hint="default" w:ascii="Times New Roman" w:hAnsi="Times New Roman" w:eastAsia="宋体" w:cs="Times New Roman"/>
                <w:b w:val="0"/>
                <w:bCs/>
                <w:caps w:val="0"/>
                <w:smallCaps w:val="0"/>
                <w:snapToGrid/>
                <w:color w:val="auto"/>
                <w:spacing w:val="0"/>
                <w:kern w:val="0"/>
                <w:sz w:val="21"/>
                <w:szCs w:val="21"/>
                <w:highlight w:val="none"/>
                <w:u w:val="none"/>
                <w:lang w:val="en-US" w:eastAsia="zh-CN"/>
              </w:rPr>
            </w:pPr>
          </w:p>
        </w:tc>
        <w:tc>
          <w:tcPr>
            <w:tcW w:w="1276" w:type="pct"/>
            <w:tcBorders>
              <w:tl2br w:val="nil"/>
              <w:tr2bl w:val="nil"/>
            </w:tcBorders>
            <w:noWrap w:val="0"/>
            <w:vAlign w:val="center"/>
          </w:tcPr>
          <w:p w14:paraId="014E65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caps w:val="0"/>
                <w:smallCaps w:val="0"/>
                <w:snapToGrid/>
                <w:color w:val="auto"/>
                <w:spacing w:val="0"/>
                <w:kern w:val="0"/>
                <w:sz w:val="21"/>
                <w:szCs w:val="21"/>
                <w:highlight w:val="none"/>
                <w:u w:val="none"/>
              </w:rPr>
            </w:pPr>
            <w:r>
              <w:rPr>
                <w:rFonts w:hint="default" w:ascii="Times New Roman" w:hAnsi="Times New Roman" w:eastAsia="宋体" w:cs="Times New Roman"/>
                <w:sz w:val="21"/>
                <w:szCs w:val="21"/>
                <w:highlight w:val="none"/>
                <w:lang w:val="en-US" w:eastAsia="zh-CN"/>
              </w:rPr>
              <w:t>水田</w:t>
            </w:r>
          </w:p>
        </w:tc>
        <w:tc>
          <w:tcPr>
            <w:tcW w:w="1873" w:type="dxa"/>
            <w:tcBorders>
              <w:tl2br w:val="nil"/>
              <w:tr2bl w:val="nil"/>
            </w:tcBorders>
            <w:noWrap w:val="0"/>
            <w:vAlign w:val="center"/>
          </w:tcPr>
          <w:p w14:paraId="012ED9C2">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75.5443</w:t>
            </w:r>
          </w:p>
        </w:tc>
        <w:tc>
          <w:tcPr>
            <w:tcW w:w="1873" w:type="dxa"/>
            <w:tcBorders>
              <w:tl2br w:val="nil"/>
              <w:tr2bl w:val="nil"/>
            </w:tcBorders>
            <w:noWrap w:val="0"/>
            <w:vAlign w:val="center"/>
          </w:tcPr>
          <w:p w14:paraId="109A7A20">
            <w:pPr>
              <w:keepNext w:val="0"/>
              <w:keepLines w:val="0"/>
              <w:widowControl w:val="0"/>
              <w:suppressLineNumbers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75.5443</w:t>
            </w:r>
          </w:p>
        </w:tc>
        <w:tc>
          <w:tcPr>
            <w:tcW w:w="1098" w:type="pct"/>
            <w:tcBorders>
              <w:tl2br w:val="nil"/>
              <w:tr2bl w:val="nil"/>
            </w:tcBorders>
            <w:noWrap w:val="0"/>
            <w:vAlign w:val="center"/>
          </w:tcPr>
          <w:p w14:paraId="0EDF8796">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2C2227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14:paraId="106316EF">
            <w:pPr>
              <w:keepNext w:val="0"/>
              <w:keepLines w:val="0"/>
              <w:numPr>
                <w:ilvl w:val="0"/>
                <w:numId w:val="24"/>
              </w:numPr>
              <w:suppressLineNumbers w:val="0"/>
              <w:spacing w:before="0" w:beforeAutospacing="0" w:after="0" w:afterAutospacing="0" w:line="240" w:lineRule="auto"/>
              <w:ind w:left="425" w:leftChars="0" w:right="0" w:rightChars="0" w:hanging="425" w:firstLineChars="0"/>
              <w:jc w:val="center"/>
              <w:rPr>
                <w:rFonts w:hint="default" w:ascii="Times New Roman" w:hAnsi="Times New Roman" w:eastAsia="宋体" w:cs="Times New Roman"/>
                <w:b w:val="0"/>
                <w:bCs/>
                <w:caps w:val="0"/>
                <w:smallCaps w:val="0"/>
                <w:snapToGrid/>
                <w:color w:val="auto"/>
                <w:spacing w:val="0"/>
                <w:kern w:val="0"/>
                <w:sz w:val="21"/>
                <w:szCs w:val="21"/>
                <w:highlight w:val="none"/>
                <w:u w:val="none"/>
                <w:lang w:val="en-US" w:eastAsia="zh-CN"/>
              </w:rPr>
            </w:pPr>
          </w:p>
        </w:tc>
        <w:tc>
          <w:tcPr>
            <w:tcW w:w="1276" w:type="pct"/>
            <w:tcBorders>
              <w:tl2br w:val="nil"/>
              <w:tr2bl w:val="nil"/>
            </w:tcBorders>
            <w:noWrap w:val="0"/>
            <w:vAlign w:val="center"/>
          </w:tcPr>
          <w:p w14:paraId="3085C7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caps w:val="0"/>
                <w:smallCaps w:val="0"/>
                <w:snapToGrid/>
                <w:color w:val="auto"/>
                <w:spacing w:val="0"/>
                <w:kern w:val="0"/>
                <w:sz w:val="21"/>
                <w:szCs w:val="21"/>
                <w:highlight w:val="none"/>
                <w:u w:val="none"/>
              </w:rPr>
            </w:pPr>
            <w:r>
              <w:rPr>
                <w:rFonts w:hint="default" w:ascii="Times New Roman" w:hAnsi="Times New Roman" w:eastAsia="宋体" w:cs="Times New Roman"/>
                <w:sz w:val="21"/>
                <w:szCs w:val="21"/>
                <w:highlight w:val="none"/>
                <w:lang w:val="en-US" w:eastAsia="zh-CN"/>
              </w:rPr>
              <w:t>旱地</w:t>
            </w:r>
          </w:p>
        </w:tc>
        <w:tc>
          <w:tcPr>
            <w:tcW w:w="1873" w:type="dxa"/>
            <w:tcBorders>
              <w:tl2br w:val="nil"/>
              <w:tr2bl w:val="nil"/>
            </w:tcBorders>
            <w:noWrap w:val="0"/>
            <w:vAlign w:val="center"/>
          </w:tcPr>
          <w:p w14:paraId="320109E3">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30.0207</w:t>
            </w:r>
          </w:p>
        </w:tc>
        <w:tc>
          <w:tcPr>
            <w:tcW w:w="1873" w:type="dxa"/>
            <w:tcBorders>
              <w:tl2br w:val="nil"/>
              <w:tr2bl w:val="nil"/>
            </w:tcBorders>
            <w:noWrap w:val="0"/>
            <w:vAlign w:val="center"/>
          </w:tcPr>
          <w:p w14:paraId="321E145E">
            <w:pPr>
              <w:keepNext w:val="0"/>
              <w:keepLines w:val="0"/>
              <w:widowControl w:val="0"/>
              <w:suppressLineNumbers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30.0207</w:t>
            </w:r>
          </w:p>
        </w:tc>
        <w:tc>
          <w:tcPr>
            <w:tcW w:w="1098" w:type="pct"/>
            <w:tcBorders>
              <w:tl2br w:val="nil"/>
              <w:tr2bl w:val="nil"/>
            </w:tcBorders>
            <w:noWrap w:val="0"/>
            <w:vAlign w:val="center"/>
          </w:tcPr>
          <w:p w14:paraId="0A2131B5">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18E08A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14:paraId="39AA8993">
            <w:pPr>
              <w:keepNext w:val="0"/>
              <w:keepLines w:val="0"/>
              <w:numPr>
                <w:ilvl w:val="0"/>
                <w:numId w:val="24"/>
              </w:numPr>
              <w:suppressLineNumbers w:val="0"/>
              <w:spacing w:before="0" w:beforeAutospacing="0" w:after="0" w:afterAutospacing="0" w:line="240" w:lineRule="auto"/>
              <w:ind w:left="425" w:leftChars="0" w:right="0" w:rightChars="0" w:hanging="425" w:firstLineChars="0"/>
              <w:jc w:val="center"/>
              <w:rPr>
                <w:rFonts w:hint="default" w:ascii="Times New Roman" w:hAnsi="Times New Roman" w:eastAsia="宋体" w:cs="Times New Roman"/>
                <w:b w:val="0"/>
                <w:bCs/>
                <w:caps w:val="0"/>
                <w:smallCaps w:val="0"/>
                <w:snapToGrid/>
                <w:color w:val="auto"/>
                <w:spacing w:val="0"/>
                <w:kern w:val="0"/>
                <w:sz w:val="21"/>
                <w:szCs w:val="21"/>
                <w:highlight w:val="none"/>
                <w:u w:val="none"/>
                <w:lang w:val="en-US" w:eastAsia="zh-CN"/>
              </w:rPr>
            </w:pPr>
          </w:p>
        </w:tc>
        <w:tc>
          <w:tcPr>
            <w:tcW w:w="1276" w:type="pct"/>
            <w:tcBorders>
              <w:tl2br w:val="nil"/>
              <w:tr2bl w:val="nil"/>
            </w:tcBorders>
            <w:noWrap w:val="0"/>
            <w:vAlign w:val="center"/>
          </w:tcPr>
          <w:p w14:paraId="160FF4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caps w:val="0"/>
                <w:smallCaps w:val="0"/>
                <w:snapToGrid/>
                <w:color w:val="auto"/>
                <w:spacing w:val="0"/>
                <w:kern w:val="0"/>
                <w:sz w:val="21"/>
                <w:szCs w:val="21"/>
                <w:highlight w:val="none"/>
                <w:u w:val="none"/>
              </w:rPr>
            </w:pPr>
            <w:r>
              <w:rPr>
                <w:rFonts w:hint="default" w:ascii="Times New Roman" w:hAnsi="Times New Roman" w:eastAsia="宋体" w:cs="Times New Roman"/>
                <w:sz w:val="21"/>
                <w:szCs w:val="21"/>
                <w:highlight w:val="none"/>
                <w:lang w:val="en-US" w:eastAsia="zh-CN"/>
              </w:rPr>
              <w:t>乔木林地</w:t>
            </w:r>
          </w:p>
        </w:tc>
        <w:tc>
          <w:tcPr>
            <w:tcW w:w="1873" w:type="dxa"/>
            <w:tcBorders>
              <w:tl2br w:val="nil"/>
              <w:tr2bl w:val="nil"/>
            </w:tcBorders>
            <w:noWrap w:val="0"/>
            <w:vAlign w:val="center"/>
          </w:tcPr>
          <w:p w14:paraId="21B2148E">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360.1697</w:t>
            </w:r>
          </w:p>
        </w:tc>
        <w:tc>
          <w:tcPr>
            <w:tcW w:w="1873" w:type="dxa"/>
            <w:tcBorders>
              <w:tl2br w:val="nil"/>
              <w:tr2bl w:val="nil"/>
            </w:tcBorders>
            <w:noWrap w:val="0"/>
            <w:vAlign w:val="center"/>
          </w:tcPr>
          <w:p w14:paraId="383631AF">
            <w:pPr>
              <w:keepNext w:val="0"/>
              <w:keepLines w:val="0"/>
              <w:widowControl w:val="0"/>
              <w:suppressLineNumbers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360.1697</w:t>
            </w:r>
          </w:p>
        </w:tc>
        <w:tc>
          <w:tcPr>
            <w:tcW w:w="1098" w:type="pct"/>
            <w:tcBorders>
              <w:tl2br w:val="nil"/>
              <w:tr2bl w:val="nil"/>
            </w:tcBorders>
            <w:noWrap w:val="0"/>
            <w:vAlign w:val="center"/>
          </w:tcPr>
          <w:p w14:paraId="1FA5420A">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0E9BC5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14:paraId="2B37760B">
            <w:pPr>
              <w:keepNext w:val="0"/>
              <w:keepLines w:val="0"/>
              <w:numPr>
                <w:ilvl w:val="0"/>
                <w:numId w:val="24"/>
              </w:numPr>
              <w:suppressLineNumbers w:val="0"/>
              <w:spacing w:before="0" w:beforeAutospacing="0" w:after="0" w:afterAutospacing="0" w:line="240" w:lineRule="auto"/>
              <w:ind w:left="425" w:leftChars="0" w:right="0" w:rightChars="0" w:hanging="425" w:firstLineChars="0"/>
              <w:jc w:val="center"/>
              <w:rPr>
                <w:rFonts w:hint="default" w:ascii="Times New Roman" w:hAnsi="Times New Roman" w:eastAsia="宋体" w:cs="Times New Roman"/>
                <w:b w:val="0"/>
                <w:bCs/>
                <w:caps w:val="0"/>
                <w:smallCaps w:val="0"/>
                <w:snapToGrid/>
                <w:color w:val="auto"/>
                <w:spacing w:val="0"/>
                <w:kern w:val="0"/>
                <w:sz w:val="21"/>
                <w:szCs w:val="21"/>
                <w:highlight w:val="none"/>
                <w:u w:val="none"/>
                <w:lang w:val="en-US" w:eastAsia="zh-CN"/>
              </w:rPr>
            </w:pPr>
          </w:p>
        </w:tc>
        <w:tc>
          <w:tcPr>
            <w:tcW w:w="1276" w:type="pct"/>
            <w:tcBorders>
              <w:tl2br w:val="nil"/>
              <w:tr2bl w:val="nil"/>
            </w:tcBorders>
            <w:noWrap w:val="0"/>
            <w:vAlign w:val="center"/>
          </w:tcPr>
          <w:p w14:paraId="7F9FC1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caps w:val="0"/>
                <w:smallCaps w:val="0"/>
                <w:snapToGrid/>
                <w:color w:val="auto"/>
                <w:spacing w:val="0"/>
                <w:kern w:val="0"/>
                <w:sz w:val="21"/>
                <w:szCs w:val="21"/>
                <w:highlight w:val="none"/>
                <w:u w:val="none"/>
              </w:rPr>
            </w:pPr>
            <w:r>
              <w:rPr>
                <w:rFonts w:hint="default" w:ascii="Times New Roman" w:hAnsi="Times New Roman" w:eastAsia="宋体" w:cs="Times New Roman"/>
                <w:sz w:val="21"/>
                <w:szCs w:val="21"/>
                <w:highlight w:val="none"/>
                <w:lang w:val="en-US" w:eastAsia="zh-CN"/>
              </w:rPr>
              <w:t>竹林地</w:t>
            </w:r>
          </w:p>
        </w:tc>
        <w:tc>
          <w:tcPr>
            <w:tcW w:w="1873" w:type="dxa"/>
            <w:tcBorders>
              <w:tl2br w:val="nil"/>
              <w:tr2bl w:val="nil"/>
            </w:tcBorders>
            <w:noWrap w:val="0"/>
            <w:vAlign w:val="center"/>
          </w:tcPr>
          <w:p w14:paraId="5F3FC843">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66.0370</w:t>
            </w:r>
          </w:p>
        </w:tc>
        <w:tc>
          <w:tcPr>
            <w:tcW w:w="1873" w:type="dxa"/>
            <w:tcBorders>
              <w:tl2br w:val="nil"/>
              <w:tr2bl w:val="nil"/>
            </w:tcBorders>
            <w:noWrap w:val="0"/>
            <w:vAlign w:val="center"/>
          </w:tcPr>
          <w:p w14:paraId="5BED9D1B">
            <w:pPr>
              <w:keepNext w:val="0"/>
              <w:keepLines w:val="0"/>
              <w:widowControl w:val="0"/>
              <w:suppressLineNumbers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66.0370</w:t>
            </w:r>
          </w:p>
        </w:tc>
        <w:tc>
          <w:tcPr>
            <w:tcW w:w="1098" w:type="pct"/>
            <w:tcBorders>
              <w:tl2br w:val="nil"/>
              <w:tr2bl w:val="nil"/>
            </w:tcBorders>
            <w:noWrap w:val="0"/>
            <w:vAlign w:val="center"/>
          </w:tcPr>
          <w:p w14:paraId="61E19CCC">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2E7DA0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14:paraId="3A989A20">
            <w:pPr>
              <w:keepNext w:val="0"/>
              <w:keepLines w:val="0"/>
              <w:numPr>
                <w:ilvl w:val="0"/>
                <w:numId w:val="24"/>
              </w:numPr>
              <w:suppressLineNumbers w:val="0"/>
              <w:spacing w:before="0" w:beforeAutospacing="0" w:after="0" w:afterAutospacing="0" w:line="240" w:lineRule="auto"/>
              <w:ind w:left="425" w:leftChars="0" w:right="0" w:rightChars="0" w:hanging="425" w:firstLineChars="0"/>
              <w:jc w:val="center"/>
              <w:rPr>
                <w:rFonts w:hint="default" w:ascii="Times New Roman" w:hAnsi="Times New Roman" w:eastAsia="宋体" w:cs="Times New Roman"/>
                <w:b w:val="0"/>
                <w:bCs/>
                <w:caps w:val="0"/>
                <w:smallCaps w:val="0"/>
                <w:snapToGrid/>
                <w:color w:val="auto"/>
                <w:spacing w:val="0"/>
                <w:kern w:val="0"/>
                <w:sz w:val="21"/>
                <w:szCs w:val="21"/>
                <w:highlight w:val="none"/>
                <w:u w:val="none"/>
                <w:lang w:val="en-US" w:eastAsia="zh-CN"/>
              </w:rPr>
            </w:pPr>
          </w:p>
        </w:tc>
        <w:tc>
          <w:tcPr>
            <w:tcW w:w="1276" w:type="pct"/>
            <w:tcBorders>
              <w:tl2br w:val="nil"/>
              <w:tr2bl w:val="nil"/>
            </w:tcBorders>
            <w:noWrap w:val="0"/>
            <w:vAlign w:val="center"/>
          </w:tcPr>
          <w:p w14:paraId="0E1226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caps w:val="0"/>
                <w:smallCaps w:val="0"/>
                <w:snapToGrid/>
                <w:color w:val="auto"/>
                <w:spacing w:val="0"/>
                <w:kern w:val="0"/>
                <w:sz w:val="21"/>
                <w:szCs w:val="21"/>
                <w:highlight w:val="none"/>
                <w:u w:val="none"/>
              </w:rPr>
            </w:pPr>
            <w:r>
              <w:rPr>
                <w:rFonts w:hint="default" w:ascii="Times New Roman" w:hAnsi="Times New Roman" w:eastAsia="宋体" w:cs="Times New Roman"/>
                <w:sz w:val="21"/>
                <w:szCs w:val="21"/>
                <w:highlight w:val="none"/>
                <w:lang w:val="en-US" w:eastAsia="zh-CN"/>
              </w:rPr>
              <w:t>灌木林地</w:t>
            </w:r>
          </w:p>
        </w:tc>
        <w:tc>
          <w:tcPr>
            <w:tcW w:w="1873" w:type="dxa"/>
            <w:tcBorders>
              <w:tl2br w:val="nil"/>
              <w:tr2bl w:val="nil"/>
            </w:tcBorders>
            <w:noWrap w:val="0"/>
            <w:vAlign w:val="center"/>
          </w:tcPr>
          <w:p w14:paraId="4326B848">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92.1120</w:t>
            </w:r>
          </w:p>
        </w:tc>
        <w:tc>
          <w:tcPr>
            <w:tcW w:w="1098" w:type="pct"/>
            <w:tcBorders>
              <w:tl2br w:val="nil"/>
              <w:tr2bl w:val="nil"/>
            </w:tcBorders>
            <w:noWrap w:val="0"/>
            <w:vAlign w:val="center"/>
          </w:tcPr>
          <w:p w14:paraId="7E86CA55">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92.022</w:t>
            </w:r>
          </w:p>
        </w:tc>
        <w:tc>
          <w:tcPr>
            <w:tcW w:w="1098" w:type="pct"/>
            <w:tcBorders>
              <w:tl2br w:val="nil"/>
              <w:tr2bl w:val="nil"/>
            </w:tcBorders>
            <w:noWrap w:val="0"/>
            <w:vAlign w:val="center"/>
          </w:tcPr>
          <w:p w14:paraId="40976F6C">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-0.09</w:t>
            </w:r>
          </w:p>
        </w:tc>
      </w:tr>
      <w:tr w14:paraId="14F371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14:paraId="476926FE">
            <w:pPr>
              <w:keepNext w:val="0"/>
              <w:keepLines w:val="0"/>
              <w:numPr>
                <w:ilvl w:val="0"/>
                <w:numId w:val="24"/>
              </w:numPr>
              <w:suppressLineNumbers w:val="0"/>
              <w:spacing w:before="0" w:beforeAutospacing="0" w:after="0" w:afterAutospacing="0" w:line="240" w:lineRule="auto"/>
              <w:ind w:left="425" w:leftChars="0" w:right="0" w:rightChars="0" w:hanging="425" w:firstLineChars="0"/>
              <w:jc w:val="center"/>
              <w:rPr>
                <w:rFonts w:hint="default" w:ascii="Times New Roman" w:hAnsi="Times New Roman" w:eastAsia="宋体" w:cs="Times New Roman"/>
                <w:b w:val="0"/>
                <w:bCs/>
                <w:caps w:val="0"/>
                <w:smallCaps w:val="0"/>
                <w:snapToGrid/>
                <w:color w:val="auto"/>
                <w:spacing w:val="0"/>
                <w:kern w:val="0"/>
                <w:sz w:val="21"/>
                <w:szCs w:val="21"/>
                <w:highlight w:val="none"/>
                <w:u w:val="none"/>
                <w:lang w:val="en-US" w:eastAsia="zh-CN"/>
              </w:rPr>
            </w:pPr>
          </w:p>
        </w:tc>
        <w:tc>
          <w:tcPr>
            <w:tcW w:w="1276" w:type="pct"/>
            <w:tcBorders>
              <w:tl2br w:val="nil"/>
              <w:tr2bl w:val="nil"/>
            </w:tcBorders>
            <w:noWrap w:val="0"/>
            <w:vAlign w:val="center"/>
          </w:tcPr>
          <w:p w14:paraId="47D89D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caps w:val="0"/>
                <w:smallCaps w:val="0"/>
                <w:snapToGrid/>
                <w:color w:val="auto"/>
                <w:spacing w:val="0"/>
                <w:kern w:val="0"/>
                <w:sz w:val="21"/>
                <w:szCs w:val="21"/>
                <w:highlight w:val="none"/>
                <w:u w:val="none"/>
              </w:rPr>
            </w:pPr>
            <w:r>
              <w:rPr>
                <w:rFonts w:hint="default" w:ascii="Times New Roman" w:hAnsi="Times New Roman" w:eastAsia="宋体" w:cs="Times New Roman"/>
                <w:sz w:val="21"/>
                <w:szCs w:val="21"/>
                <w:highlight w:val="none"/>
                <w:lang w:val="en-US" w:eastAsia="zh-CN"/>
              </w:rPr>
              <w:t>其他草地</w:t>
            </w:r>
          </w:p>
        </w:tc>
        <w:tc>
          <w:tcPr>
            <w:tcW w:w="1873" w:type="dxa"/>
            <w:tcBorders>
              <w:tl2br w:val="nil"/>
              <w:tr2bl w:val="nil"/>
            </w:tcBorders>
            <w:noWrap w:val="0"/>
            <w:vAlign w:val="center"/>
          </w:tcPr>
          <w:p w14:paraId="4F6D954F">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44.7939</w:t>
            </w:r>
          </w:p>
        </w:tc>
        <w:tc>
          <w:tcPr>
            <w:tcW w:w="1098" w:type="pct"/>
            <w:tcBorders>
              <w:tl2br w:val="nil"/>
              <w:tr2bl w:val="nil"/>
            </w:tcBorders>
            <w:noWrap w:val="0"/>
            <w:vAlign w:val="center"/>
          </w:tcPr>
          <w:p w14:paraId="0D622ADC">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43.7639</w:t>
            </w:r>
          </w:p>
        </w:tc>
        <w:tc>
          <w:tcPr>
            <w:tcW w:w="1098" w:type="pct"/>
            <w:tcBorders>
              <w:tl2br w:val="nil"/>
              <w:tr2bl w:val="nil"/>
            </w:tcBorders>
            <w:noWrap w:val="0"/>
            <w:vAlign w:val="center"/>
          </w:tcPr>
          <w:p w14:paraId="1F2FCC52">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-1.03</w:t>
            </w:r>
          </w:p>
        </w:tc>
      </w:tr>
      <w:tr w14:paraId="16C1D3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14:paraId="1AE74134">
            <w:pPr>
              <w:keepNext w:val="0"/>
              <w:keepLines w:val="0"/>
              <w:numPr>
                <w:ilvl w:val="0"/>
                <w:numId w:val="24"/>
              </w:numPr>
              <w:suppressLineNumbers w:val="0"/>
              <w:spacing w:before="0" w:beforeAutospacing="0" w:after="0" w:afterAutospacing="0" w:line="240" w:lineRule="auto"/>
              <w:ind w:left="425" w:leftChars="0" w:right="0" w:rightChars="0" w:hanging="425" w:firstLineChars="0"/>
              <w:jc w:val="center"/>
              <w:rPr>
                <w:rFonts w:hint="default" w:ascii="Times New Roman" w:hAnsi="Times New Roman" w:eastAsia="宋体" w:cs="Times New Roman"/>
                <w:b w:val="0"/>
                <w:bCs/>
                <w:caps w:val="0"/>
                <w:smallCaps w:val="0"/>
                <w:snapToGrid/>
                <w:color w:val="auto"/>
                <w:spacing w:val="0"/>
                <w:kern w:val="0"/>
                <w:sz w:val="21"/>
                <w:szCs w:val="21"/>
                <w:highlight w:val="none"/>
                <w:u w:val="none"/>
              </w:rPr>
            </w:pPr>
          </w:p>
        </w:tc>
        <w:tc>
          <w:tcPr>
            <w:tcW w:w="1276" w:type="pct"/>
            <w:tcBorders>
              <w:tl2br w:val="nil"/>
              <w:tr2bl w:val="nil"/>
            </w:tcBorders>
            <w:noWrap w:val="0"/>
            <w:vAlign w:val="center"/>
          </w:tcPr>
          <w:p w14:paraId="14087E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caps w:val="0"/>
                <w:smallCaps w:val="0"/>
                <w:snapToGrid/>
                <w:color w:val="auto"/>
                <w:spacing w:val="0"/>
                <w:kern w:val="0"/>
                <w:sz w:val="21"/>
                <w:szCs w:val="21"/>
                <w:highlight w:val="none"/>
                <w:u w:val="none"/>
              </w:rPr>
            </w:pPr>
            <w:r>
              <w:rPr>
                <w:rFonts w:hint="default" w:ascii="Times New Roman" w:hAnsi="Times New Roman" w:eastAsia="宋体" w:cs="Times New Roman"/>
                <w:sz w:val="21"/>
                <w:szCs w:val="21"/>
                <w:highlight w:val="none"/>
                <w:lang w:val="en-US" w:eastAsia="zh-CN"/>
              </w:rPr>
              <w:t>工业用地</w:t>
            </w:r>
          </w:p>
        </w:tc>
        <w:tc>
          <w:tcPr>
            <w:tcW w:w="1873" w:type="dxa"/>
            <w:tcBorders>
              <w:tl2br w:val="nil"/>
              <w:tr2bl w:val="nil"/>
            </w:tcBorders>
            <w:noWrap w:val="0"/>
            <w:vAlign w:val="center"/>
          </w:tcPr>
          <w:p w14:paraId="57A67ABF">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1.4209</w:t>
            </w:r>
          </w:p>
        </w:tc>
        <w:tc>
          <w:tcPr>
            <w:tcW w:w="1873" w:type="dxa"/>
            <w:tcBorders>
              <w:tl2br w:val="nil"/>
              <w:tr2bl w:val="nil"/>
            </w:tcBorders>
            <w:noWrap w:val="0"/>
            <w:vAlign w:val="center"/>
          </w:tcPr>
          <w:p w14:paraId="0E601840">
            <w:pPr>
              <w:keepNext w:val="0"/>
              <w:keepLines w:val="0"/>
              <w:widowControl w:val="0"/>
              <w:suppressLineNumbers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1.4209</w:t>
            </w:r>
          </w:p>
        </w:tc>
        <w:tc>
          <w:tcPr>
            <w:tcW w:w="1098" w:type="pct"/>
            <w:tcBorders>
              <w:tl2br w:val="nil"/>
              <w:tr2bl w:val="nil"/>
            </w:tcBorders>
            <w:noWrap w:val="0"/>
            <w:vAlign w:val="center"/>
          </w:tcPr>
          <w:p w14:paraId="5F1EFF6E">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098612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14:paraId="2A1B946C">
            <w:pPr>
              <w:keepNext w:val="0"/>
              <w:keepLines w:val="0"/>
              <w:numPr>
                <w:ilvl w:val="0"/>
                <w:numId w:val="24"/>
              </w:numPr>
              <w:suppressLineNumbers w:val="0"/>
              <w:spacing w:before="0" w:beforeAutospacing="0" w:after="0" w:afterAutospacing="0" w:line="240" w:lineRule="auto"/>
              <w:ind w:left="425" w:leftChars="0" w:right="0" w:rightChars="0" w:hanging="425" w:firstLineChars="0"/>
              <w:jc w:val="center"/>
              <w:rPr>
                <w:rFonts w:hint="default" w:ascii="Times New Roman" w:hAnsi="Times New Roman" w:eastAsia="宋体" w:cs="Times New Roman"/>
                <w:b w:val="0"/>
                <w:bCs/>
                <w:caps w:val="0"/>
                <w:smallCaps w:val="0"/>
                <w:snapToGrid/>
                <w:color w:val="auto"/>
                <w:spacing w:val="0"/>
                <w:kern w:val="0"/>
                <w:sz w:val="21"/>
                <w:szCs w:val="21"/>
                <w:highlight w:val="none"/>
                <w:u w:val="none"/>
              </w:rPr>
            </w:pPr>
          </w:p>
        </w:tc>
        <w:tc>
          <w:tcPr>
            <w:tcW w:w="1276" w:type="pct"/>
            <w:tcBorders>
              <w:tl2br w:val="nil"/>
              <w:tr2bl w:val="nil"/>
            </w:tcBorders>
            <w:noWrap w:val="0"/>
            <w:vAlign w:val="center"/>
          </w:tcPr>
          <w:p w14:paraId="1EF710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napToGrid/>
                <w:color w:val="auto"/>
                <w:spacing w:val="0"/>
                <w:kern w:val="0"/>
                <w:sz w:val="21"/>
                <w:szCs w:val="21"/>
                <w:highlight w:val="none"/>
                <w:u w:val="none"/>
              </w:rPr>
            </w:pPr>
            <w:r>
              <w:rPr>
                <w:rFonts w:hint="default" w:ascii="Times New Roman" w:hAnsi="Times New Roman" w:eastAsia="宋体" w:cs="Times New Roman"/>
                <w:sz w:val="21"/>
                <w:szCs w:val="21"/>
                <w:highlight w:val="none"/>
                <w:lang w:val="en-US" w:eastAsia="zh-CN"/>
              </w:rPr>
              <w:t>农村宅基地</w:t>
            </w:r>
          </w:p>
        </w:tc>
        <w:tc>
          <w:tcPr>
            <w:tcW w:w="1873" w:type="dxa"/>
            <w:tcBorders>
              <w:tl2br w:val="nil"/>
              <w:tr2bl w:val="nil"/>
            </w:tcBorders>
            <w:noWrap w:val="0"/>
            <w:vAlign w:val="center"/>
          </w:tcPr>
          <w:p w14:paraId="3BB2BC09">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14.4863</w:t>
            </w:r>
          </w:p>
        </w:tc>
        <w:tc>
          <w:tcPr>
            <w:tcW w:w="1873" w:type="dxa"/>
            <w:tcBorders>
              <w:tl2br w:val="nil"/>
              <w:tr2bl w:val="nil"/>
            </w:tcBorders>
            <w:noWrap w:val="0"/>
            <w:vAlign w:val="center"/>
          </w:tcPr>
          <w:p w14:paraId="082445FB">
            <w:pPr>
              <w:keepNext w:val="0"/>
              <w:keepLines w:val="0"/>
              <w:widowControl w:val="0"/>
              <w:suppressLineNumbers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14.4863</w:t>
            </w:r>
          </w:p>
        </w:tc>
        <w:tc>
          <w:tcPr>
            <w:tcW w:w="1098" w:type="pct"/>
            <w:tcBorders>
              <w:tl2br w:val="nil"/>
              <w:tr2bl w:val="nil"/>
            </w:tcBorders>
            <w:noWrap w:val="0"/>
            <w:vAlign w:val="center"/>
          </w:tcPr>
          <w:p w14:paraId="407CF324">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464A03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14:paraId="14D3ADA2">
            <w:pPr>
              <w:keepNext w:val="0"/>
              <w:keepLines w:val="0"/>
              <w:numPr>
                <w:ilvl w:val="0"/>
                <w:numId w:val="24"/>
              </w:numPr>
              <w:suppressLineNumbers w:val="0"/>
              <w:spacing w:before="0" w:beforeAutospacing="0" w:after="0" w:afterAutospacing="0" w:line="240" w:lineRule="auto"/>
              <w:ind w:left="425" w:leftChars="0" w:right="0" w:rightChars="0" w:hanging="425" w:firstLineChars="0"/>
              <w:jc w:val="center"/>
              <w:rPr>
                <w:rFonts w:hint="default" w:ascii="Times New Roman" w:hAnsi="Times New Roman" w:eastAsia="宋体" w:cs="Times New Roman"/>
                <w:b w:val="0"/>
                <w:bCs/>
                <w:caps w:val="0"/>
                <w:smallCaps w:val="0"/>
                <w:snapToGrid/>
                <w:color w:val="auto"/>
                <w:spacing w:val="0"/>
                <w:kern w:val="0"/>
                <w:sz w:val="21"/>
                <w:szCs w:val="21"/>
                <w:highlight w:val="none"/>
                <w:u w:val="none"/>
              </w:rPr>
            </w:pPr>
          </w:p>
        </w:tc>
        <w:tc>
          <w:tcPr>
            <w:tcW w:w="1276" w:type="pct"/>
            <w:tcBorders>
              <w:tl2br w:val="nil"/>
              <w:tr2bl w:val="nil"/>
            </w:tcBorders>
            <w:noWrap w:val="0"/>
            <w:vAlign w:val="center"/>
          </w:tcPr>
          <w:p w14:paraId="72717B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napToGrid/>
                <w:color w:val="auto"/>
                <w:spacing w:val="0"/>
                <w:kern w:val="0"/>
                <w:sz w:val="21"/>
                <w:szCs w:val="21"/>
                <w:highlight w:val="none"/>
                <w:u w:val="none"/>
              </w:rPr>
            </w:pPr>
            <w:r>
              <w:rPr>
                <w:rFonts w:hint="default" w:ascii="Times New Roman" w:hAnsi="Times New Roman" w:eastAsia="宋体" w:cs="Times New Roman"/>
                <w:sz w:val="21"/>
                <w:szCs w:val="21"/>
                <w:highlight w:val="none"/>
                <w:lang w:val="en-US" w:eastAsia="zh-CN"/>
              </w:rPr>
              <w:t>公路用地</w:t>
            </w:r>
          </w:p>
        </w:tc>
        <w:tc>
          <w:tcPr>
            <w:tcW w:w="1873" w:type="dxa"/>
            <w:tcBorders>
              <w:tl2br w:val="nil"/>
              <w:tr2bl w:val="nil"/>
            </w:tcBorders>
            <w:noWrap w:val="0"/>
            <w:vAlign w:val="center"/>
          </w:tcPr>
          <w:p w14:paraId="389BBD76">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3.7307</w:t>
            </w:r>
          </w:p>
        </w:tc>
        <w:tc>
          <w:tcPr>
            <w:tcW w:w="1873" w:type="dxa"/>
            <w:tcBorders>
              <w:tl2br w:val="nil"/>
              <w:tr2bl w:val="nil"/>
            </w:tcBorders>
            <w:noWrap w:val="0"/>
            <w:vAlign w:val="center"/>
          </w:tcPr>
          <w:p w14:paraId="5006D957">
            <w:pPr>
              <w:keepNext w:val="0"/>
              <w:keepLines w:val="0"/>
              <w:widowControl w:val="0"/>
              <w:suppressLineNumbers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3.7307</w:t>
            </w:r>
          </w:p>
        </w:tc>
        <w:tc>
          <w:tcPr>
            <w:tcW w:w="1098" w:type="pct"/>
            <w:tcBorders>
              <w:tl2br w:val="nil"/>
              <w:tr2bl w:val="nil"/>
            </w:tcBorders>
            <w:noWrap w:val="0"/>
            <w:vAlign w:val="center"/>
          </w:tcPr>
          <w:p w14:paraId="5FEB5D1B">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70FD35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14:paraId="74730AC8">
            <w:pPr>
              <w:keepNext w:val="0"/>
              <w:keepLines w:val="0"/>
              <w:numPr>
                <w:ilvl w:val="0"/>
                <w:numId w:val="24"/>
              </w:numPr>
              <w:suppressLineNumbers w:val="0"/>
              <w:spacing w:before="0" w:beforeAutospacing="0" w:after="0" w:afterAutospacing="0" w:line="240" w:lineRule="auto"/>
              <w:ind w:left="425" w:leftChars="0" w:right="0" w:rightChars="0" w:hanging="425" w:firstLineChars="0"/>
              <w:jc w:val="center"/>
              <w:rPr>
                <w:rFonts w:hint="default" w:ascii="Times New Roman" w:hAnsi="Times New Roman" w:eastAsia="宋体" w:cs="Times New Roman"/>
                <w:b w:val="0"/>
                <w:bCs/>
                <w:caps w:val="0"/>
                <w:smallCaps w:val="0"/>
                <w:snapToGrid/>
                <w:color w:val="auto"/>
                <w:spacing w:val="0"/>
                <w:kern w:val="0"/>
                <w:sz w:val="21"/>
                <w:szCs w:val="21"/>
                <w:highlight w:val="none"/>
                <w:u w:val="none"/>
              </w:rPr>
            </w:pPr>
          </w:p>
        </w:tc>
        <w:tc>
          <w:tcPr>
            <w:tcW w:w="1276" w:type="pct"/>
            <w:tcBorders>
              <w:tl2br w:val="nil"/>
              <w:tr2bl w:val="nil"/>
            </w:tcBorders>
            <w:noWrap w:val="0"/>
            <w:vAlign w:val="center"/>
          </w:tcPr>
          <w:p w14:paraId="08E083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napToGrid/>
                <w:color w:val="auto"/>
                <w:spacing w:val="0"/>
                <w:kern w:val="0"/>
                <w:sz w:val="21"/>
                <w:szCs w:val="21"/>
                <w:highlight w:val="none"/>
                <w:u w:val="none"/>
              </w:rPr>
            </w:pPr>
            <w:r>
              <w:rPr>
                <w:rFonts w:hint="default" w:ascii="Times New Roman" w:hAnsi="Times New Roman" w:eastAsia="宋体" w:cs="Times New Roman"/>
                <w:sz w:val="21"/>
                <w:szCs w:val="21"/>
                <w:highlight w:val="none"/>
                <w:lang w:val="en-US" w:eastAsia="zh-CN"/>
              </w:rPr>
              <w:t>农村道路</w:t>
            </w:r>
          </w:p>
        </w:tc>
        <w:tc>
          <w:tcPr>
            <w:tcW w:w="1873" w:type="dxa"/>
            <w:tcBorders>
              <w:tl2br w:val="nil"/>
              <w:tr2bl w:val="nil"/>
            </w:tcBorders>
            <w:noWrap w:val="0"/>
            <w:vAlign w:val="center"/>
          </w:tcPr>
          <w:p w14:paraId="720845F5">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7.8022</w:t>
            </w:r>
          </w:p>
        </w:tc>
        <w:tc>
          <w:tcPr>
            <w:tcW w:w="1873" w:type="dxa"/>
            <w:tcBorders>
              <w:tl2br w:val="nil"/>
              <w:tr2bl w:val="nil"/>
            </w:tcBorders>
            <w:noWrap w:val="0"/>
            <w:vAlign w:val="center"/>
          </w:tcPr>
          <w:p w14:paraId="19260AFB">
            <w:pPr>
              <w:keepNext w:val="0"/>
              <w:keepLines w:val="0"/>
              <w:widowControl w:val="0"/>
              <w:suppressLineNumbers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7.8022</w:t>
            </w:r>
          </w:p>
        </w:tc>
        <w:tc>
          <w:tcPr>
            <w:tcW w:w="1098" w:type="pct"/>
            <w:tcBorders>
              <w:tl2br w:val="nil"/>
              <w:tr2bl w:val="nil"/>
            </w:tcBorders>
            <w:noWrap w:val="0"/>
            <w:vAlign w:val="center"/>
          </w:tcPr>
          <w:p w14:paraId="1E95354A">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0702CA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14:paraId="16EAFF9E">
            <w:pPr>
              <w:keepNext w:val="0"/>
              <w:keepLines w:val="0"/>
              <w:numPr>
                <w:ilvl w:val="0"/>
                <w:numId w:val="24"/>
              </w:numPr>
              <w:suppressLineNumbers w:val="0"/>
              <w:spacing w:before="0" w:beforeAutospacing="0" w:after="0" w:afterAutospacing="0" w:line="240" w:lineRule="auto"/>
              <w:ind w:left="425" w:leftChars="0" w:right="0" w:rightChars="0" w:hanging="425" w:firstLineChars="0"/>
              <w:jc w:val="center"/>
              <w:rPr>
                <w:rFonts w:hint="default" w:ascii="Times New Roman" w:hAnsi="Times New Roman" w:eastAsia="宋体" w:cs="Times New Roman"/>
                <w:b w:val="0"/>
                <w:bCs/>
                <w:caps w:val="0"/>
                <w:smallCaps w:val="0"/>
                <w:snapToGrid/>
                <w:color w:val="auto"/>
                <w:spacing w:val="0"/>
                <w:kern w:val="0"/>
                <w:sz w:val="21"/>
                <w:szCs w:val="21"/>
                <w:highlight w:val="none"/>
                <w:u w:val="none"/>
              </w:rPr>
            </w:pPr>
          </w:p>
        </w:tc>
        <w:tc>
          <w:tcPr>
            <w:tcW w:w="1276" w:type="pct"/>
            <w:tcBorders>
              <w:tl2br w:val="nil"/>
              <w:tr2bl w:val="nil"/>
            </w:tcBorders>
            <w:noWrap w:val="0"/>
            <w:vAlign w:val="center"/>
          </w:tcPr>
          <w:p w14:paraId="4A4D2E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napToGrid/>
                <w:color w:val="auto"/>
                <w:spacing w:val="0"/>
                <w:kern w:val="0"/>
                <w:sz w:val="21"/>
                <w:szCs w:val="21"/>
                <w:highlight w:val="none"/>
                <w:u w:val="none"/>
              </w:rPr>
            </w:pPr>
            <w:r>
              <w:rPr>
                <w:rFonts w:hint="default" w:ascii="Times New Roman" w:hAnsi="Times New Roman" w:eastAsia="宋体" w:cs="Times New Roman"/>
                <w:sz w:val="21"/>
                <w:szCs w:val="21"/>
                <w:highlight w:val="none"/>
                <w:lang w:val="en-US" w:eastAsia="zh-CN"/>
              </w:rPr>
              <w:t>水库水面</w:t>
            </w:r>
          </w:p>
        </w:tc>
        <w:tc>
          <w:tcPr>
            <w:tcW w:w="1873" w:type="dxa"/>
            <w:tcBorders>
              <w:tl2br w:val="nil"/>
              <w:tr2bl w:val="nil"/>
            </w:tcBorders>
            <w:noWrap w:val="0"/>
            <w:vAlign w:val="center"/>
          </w:tcPr>
          <w:p w14:paraId="173E3A56">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35.0549</w:t>
            </w:r>
          </w:p>
        </w:tc>
        <w:tc>
          <w:tcPr>
            <w:tcW w:w="1873" w:type="dxa"/>
            <w:tcBorders>
              <w:tl2br w:val="nil"/>
              <w:tr2bl w:val="nil"/>
            </w:tcBorders>
            <w:noWrap w:val="0"/>
            <w:vAlign w:val="center"/>
          </w:tcPr>
          <w:p w14:paraId="6F985BB8">
            <w:pPr>
              <w:keepNext w:val="0"/>
              <w:keepLines w:val="0"/>
              <w:widowControl w:val="0"/>
              <w:suppressLineNumbers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35.0549</w:t>
            </w:r>
          </w:p>
        </w:tc>
        <w:tc>
          <w:tcPr>
            <w:tcW w:w="1098" w:type="pct"/>
            <w:tcBorders>
              <w:tl2br w:val="nil"/>
              <w:tr2bl w:val="nil"/>
            </w:tcBorders>
            <w:noWrap w:val="0"/>
            <w:vAlign w:val="center"/>
          </w:tcPr>
          <w:p w14:paraId="66A0A149">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2221BC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14:paraId="74892B41">
            <w:pPr>
              <w:keepNext w:val="0"/>
              <w:keepLines w:val="0"/>
              <w:numPr>
                <w:ilvl w:val="0"/>
                <w:numId w:val="24"/>
              </w:numPr>
              <w:suppressLineNumbers w:val="0"/>
              <w:spacing w:before="0" w:beforeAutospacing="0" w:after="0" w:afterAutospacing="0" w:line="240" w:lineRule="auto"/>
              <w:ind w:left="425" w:leftChars="0" w:right="0" w:rightChars="0" w:hanging="425" w:firstLineChars="0"/>
              <w:jc w:val="center"/>
              <w:rPr>
                <w:rFonts w:hint="default" w:ascii="Times New Roman" w:hAnsi="Times New Roman" w:eastAsia="宋体" w:cs="Times New Roman"/>
                <w:b w:val="0"/>
                <w:bCs/>
                <w:caps w:val="0"/>
                <w:smallCaps w:val="0"/>
                <w:snapToGrid/>
                <w:color w:val="auto"/>
                <w:spacing w:val="0"/>
                <w:kern w:val="0"/>
                <w:sz w:val="21"/>
                <w:szCs w:val="21"/>
                <w:highlight w:val="none"/>
                <w:u w:val="none"/>
              </w:rPr>
            </w:pPr>
          </w:p>
        </w:tc>
        <w:tc>
          <w:tcPr>
            <w:tcW w:w="1276" w:type="pct"/>
            <w:tcBorders>
              <w:tl2br w:val="nil"/>
              <w:tr2bl w:val="nil"/>
            </w:tcBorders>
            <w:noWrap w:val="0"/>
            <w:vAlign w:val="center"/>
          </w:tcPr>
          <w:p w14:paraId="795B16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napToGrid/>
                <w:color w:val="auto"/>
                <w:spacing w:val="0"/>
                <w:kern w:val="0"/>
                <w:sz w:val="21"/>
                <w:szCs w:val="21"/>
                <w:highlight w:val="none"/>
                <w:u w:val="none"/>
                <w:lang w:val="en-US" w:eastAsia="zh-CN"/>
              </w:rPr>
            </w:pPr>
            <w:r>
              <w:rPr>
                <w:rFonts w:hint="default" w:ascii="Times New Roman" w:hAnsi="Times New Roman" w:eastAsia="宋体" w:cs="Times New Roman"/>
                <w:sz w:val="21"/>
                <w:szCs w:val="21"/>
                <w:highlight w:val="none"/>
                <w:lang w:val="en-US" w:eastAsia="zh-CN"/>
              </w:rPr>
              <w:t>坑塘水面</w:t>
            </w:r>
          </w:p>
        </w:tc>
        <w:tc>
          <w:tcPr>
            <w:tcW w:w="1873" w:type="dxa"/>
            <w:tcBorders>
              <w:tl2br w:val="nil"/>
              <w:tr2bl w:val="nil"/>
            </w:tcBorders>
            <w:noWrap w:val="0"/>
            <w:vAlign w:val="center"/>
          </w:tcPr>
          <w:p w14:paraId="0B2D2338">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11.2748</w:t>
            </w:r>
          </w:p>
        </w:tc>
        <w:tc>
          <w:tcPr>
            <w:tcW w:w="1873" w:type="dxa"/>
            <w:tcBorders>
              <w:tl2br w:val="nil"/>
              <w:tr2bl w:val="nil"/>
            </w:tcBorders>
            <w:noWrap w:val="0"/>
            <w:vAlign w:val="center"/>
          </w:tcPr>
          <w:p w14:paraId="3F93DE07">
            <w:pPr>
              <w:keepNext w:val="0"/>
              <w:keepLines w:val="0"/>
              <w:widowControl w:val="0"/>
              <w:suppressLineNumbers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11.2748</w:t>
            </w:r>
          </w:p>
        </w:tc>
        <w:tc>
          <w:tcPr>
            <w:tcW w:w="1098" w:type="pct"/>
            <w:tcBorders>
              <w:tl2br w:val="nil"/>
              <w:tr2bl w:val="nil"/>
            </w:tcBorders>
            <w:noWrap w:val="0"/>
            <w:vAlign w:val="center"/>
          </w:tcPr>
          <w:p w14:paraId="006F555C">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2C90F2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14:paraId="6FA73F54">
            <w:pPr>
              <w:keepNext w:val="0"/>
              <w:keepLines w:val="0"/>
              <w:numPr>
                <w:ilvl w:val="0"/>
                <w:numId w:val="24"/>
              </w:numPr>
              <w:suppressLineNumbers w:val="0"/>
              <w:spacing w:before="0" w:beforeAutospacing="0" w:after="0" w:afterAutospacing="0" w:line="240" w:lineRule="auto"/>
              <w:ind w:left="425" w:leftChars="0" w:right="0" w:rightChars="0" w:hanging="425" w:firstLineChars="0"/>
              <w:jc w:val="center"/>
              <w:rPr>
                <w:rFonts w:hint="default" w:ascii="Times New Roman" w:hAnsi="Times New Roman" w:eastAsia="宋体" w:cs="Times New Roman"/>
                <w:b w:val="0"/>
                <w:bCs/>
                <w:caps w:val="0"/>
                <w:smallCaps w:val="0"/>
                <w:snapToGrid/>
                <w:color w:val="auto"/>
                <w:spacing w:val="0"/>
                <w:kern w:val="0"/>
                <w:sz w:val="21"/>
                <w:szCs w:val="21"/>
                <w:highlight w:val="none"/>
                <w:u w:val="none"/>
              </w:rPr>
            </w:pPr>
          </w:p>
        </w:tc>
        <w:tc>
          <w:tcPr>
            <w:tcW w:w="1276" w:type="pct"/>
            <w:tcBorders>
              <w:tl2br w:val="nil"/>
              <w:tr2bl w:val="nil"/>
            </w:tcBorders>
            <w:noWrap w:val="0"/>
            <w:vAlign w:val="center"/>
          </w:tcPr>
          <w:p w14:paraId="53F20F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aps w:val="0"/>
                <w:smallCaps w:val="0"/>
                <w:snapToGrid/>
                <w:color w:val="auto"/>
                <w:spacing w:val="0"/>
                <w:kern w:val="0"/>
                <w:sz w:val="21"/>
                <w:szCs w:val="21"/>
                <w:highlight w:val="none"/>
                <w:u w:val="none"/>
                <w:lang w:val="en-US" w:eastAsia="zh-CN"/>
              </w:rPr>
            </w:pPr>
            <w:r>
              <w:rPr>
                <w:rFonts w:hint="default" w:ascii="Times New Roman" w:hAnsi="Times New Roman" w:eastAsia="宋体" w:cs="Times New Roman"/>
                <w:sz w:val="21"/>
                <w:szCs w:val="21"/>
                <w:highlight w:val="none"/>
                <w:lang w:val="en-US" w:eastAsia="zh-CN"/>
              </w:rPr>
              <w:t>内陆滩涂</w:t>
            </w:r>
          </w:p>
        </w:tc>
        <w:tc>
          <w:tcPr>
            <w:tcW w:w="1873" w:type="dxa"/>
            <w:tcBorders>
              <w:tl2br w:val="nil"/>
              <w:tr2bl w:val="nil"/>
            </w:tcBorders>
            <w:noWrap w:val="0"/>
            <w:vAlign w:val="center"/>
          </w:tcPr>
          <w:p w14:paraId="2C7B300A">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21.8051</w:t>
            </w:r>
          </w:p>
        </w:tc>
        <w:tc>
          <w:tcPr>
            <w:tcW w:w="1873" w:type="dxa"/>
            <w:tcBorders>
              <w:tl2br w:val="nil"/>
              <w:tr2bl w:val="nil"/>
            </w:tcBorders>
            <w:noWrap w:val="0"/>
            <w:vAlign w:val="center"/>
          </w:tcPr>
          <w:p w14:paraId="0009555C">
            <w:pPr>
              <w:keepNext w:val="0"/>
              <w:keepLines w:val="0"/>
              <w:widowControl w:val="0"/>
              <w:suppressLineNumbers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21.8051</w:t>
            </w:r>
          </w:p>
        </w:tc>
        <w:tc>
          <w:tcPr>
            <w:tcW w:w="1098" w:type="pct"/>
            <w:tcBorders>
              <w:tl2br w:val="nil"/>
              <w:tr2bl w:val="nil"/>
            </w:tcBorders>
            <w:noWrap w:val="0"/>
            <w:vAlign w:val="center"/>
          </w:tcPr>
          <w:p w14:paraId="26E98B76">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38EDD5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14:paraId="07D250EE">
            <w:pPr>
              <w:keepNext w:val="0"/>
              <w:keepLines w:val="0"/>
              <w:numPr>
                <w:ilvl w:val="0"/>
                <w:numId w:val="24"/>
              </w:numPr>
              <w:suppressLineNumbers w:val="0"/>
              <w:spacing w:before="0" w:beforeAutospacing="0" w:after="0" w:afterAutospacing="0" w:line="240" w:lineRule="auto"/>
              <w:ind w:left="425" w:leftChars="0" w:right="0" w:rightChars="0" w:hanging="425" w:firstLineChars="0"/>
              <w:jc w:val="center"/>
              <w:rPr>
                <w:rFonts w:hint="default" w:ascii="Times New Roman" w:hAnsi="Times New Roman" w:eastAsia="宋体" w:cs="Times New Roman"/>
                <w:b w:val="0"/>
                <w:bCs/>
                <w:caps w:val="0"/>
                <w:smallCaps w:val="0"/>
                <w:snapToGrid/>
                <w:color w:val="auto"/>
                <w:spacing w:val="0"/>
                <w:kern w:val="0"/>
                <w:sz w:val="21"/>
                <w:szCs w:val="21"/>
                <w:highlight w:val="none"/>
                <w:u w:val="none"/>
              </w:rPr>
            </w:pPr>
          </w:p>
        </w:tc>
        <w:tc>
          <w:tcPr>
            <w:tcW w:w="1276" w:type="pct"/>
            <w:tcBorders>
              <w:tl2br w:val="nil"/>
              <w:tr2bl w:val="nil"/>
            </w:tcBorders>
            <w:noWrap w:val="0"/>
            <w:vAlign w:val="center"/>
          </w:tcPr>
          <w:p w14:paraId="38EDC1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kern w:val="0"/>
                <w:sz w:val="21"/>
                <w:szCs w:val="21"/>
                <w:highlight w:val="none"/>
                <w:u w:val="none"/>
                <w:lang w:val="en-US" w:eastAsia="zh-CN" w:bidi="ar"/>
              </w:rPr>
            </w:pPr>
            <w:r>
              <w:rPr>
                <w:rFonts w:hint="default" w:ascii="Times New Roman" w:hAnsi="Times New Roman" w:eastAsia="宋体" w:cs="Times New Roman"/>
                <w:sz w:val="21"/>
                <w:szCs w:val="21"/>
                <w:highlight w:val="none"/>
                <w:lang w:val="en-US" w:eastAsia="zh-CN"/>
              </w:rPr>
              <w:t>水工建筑用地</w:t>
            </w:r>
          </w:p>
        </w:tc>
        <w:tc>
          <w:tcPr>
            <w:tcW w:w="1873" w:type="dxa"/>
            <w:tcBorders>
              <w:tl2br w:val="nil"/>
              <w:tr2bl w:val="nil"/>
            </w:tcBorders>
            <w:noWrap w:val="0"/>
            <w:vAlign w:val="center"/>
          </w:tcPr>
          <w:p w14:paraId="7A0EC680">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6.5834</w:t>
            </w:r>
          </w:p>
        </w:tc>
        <w:tc>
          <w:tcPr>
            <w:tcW w:w="1098" w:type="pct"/>
            <w:tcBorders>
              <w:tl2br w:val="nil"/>
              <w:tr2bl w:val="nil"/>
            </w:tcBorders>
            <w:noWrap w:val="0"/>
            <w:vAlign w:val="center"/>
          </w:tcPr>
          <w:p w14:paraId="69CBC6D3">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7.7034</w:t>
            </w:r>
          </w:p>
        </w:tc>
        <w:tc>
          <w:tcPr>
            <w:tcW w:w="1098" w:type="pct"/>
            <w:tcBorders>
              <w:tl2br w:val="nil"/>
              <w:tr2bl w:val="nil"/>
            </w:tcBorders>
            <w:noWrap w:val="0"/>
            <w:vAlign w:val="center"/>
          </w:tcPr>
          <w:p w14:paraId="0EC400FA">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+1.12</w:t>
            </w:r>
          </w:p>
        </w:tc>
      </w:tr>
      <w:tr w14:paraId="5BCF3E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14:paraId="0B6A4E25">
            <w:pPr>
              <w:keepNext w:val="0"/>
              <w:keepLines w:val="0"/>
              <w:numPr>
                <w:ilvl w:val="0"/>
                <w:numId w:val="24"/>
              </w:numPr>
              <w:suppressLineNumbers w:val="0"/>
              <w:spacing w:before="0" w:beforeAutospacing="0" w:after="0" w:afterAutospacing="0" w:line="240" w:lineRule="auto"/>
              <w:ind w:left="425" w:leftChars="0" w:right="0" w:rightChars="0" w:hanging="425" w:firstLineChars="0"/>
              <w:jc w:val="center"/>
              <w:rPr>
                <w:rFonts w:hint="default" w:ascii="Times New Roman" w:hAnsi="Times New Roman" w:eastAsia="宋体" w:cs="Times New Roman"/>
                <w:b w:val="0"/>
                <w:bCs/>
                <w:caps w:val="0"/>
                <w:smallCaps w:val="0"/>
                <w:snapToGrid/>
                <w:color w:val="auto"/>
                <w:spacing w:val="0"/>
                <w:kern w:val="0"/>
                <w:sz w:val="21"/>
                <w:szCs w:val="21"/>
                <w:highlight w:val="none"/>
                <w:u w:val="none"/>
              </w:rPr>
            </w:pPr>
          </w:p>
        </w:tc>
        <w:tc>
          <w:tcPr>
            <w:tcW w:w="1276" w:type="pct"/>
            <w:tcBorders>
              <w:tl2br w:val="nil"/>
              <w:tr2bl w:val="nil"/>
            </w:tcBorders>
            <w:noWrap w:val="0"/>
            <w:vAlign w:val="center"/>
          </w:tcPr>
          <w:p w14:paraId="7DA604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kern w:val="0"/>
                <w:sz w:val="21"/>
                <w:szCs w:val="21"/>
                <w:highlight w:val="none"/>
                <w:u w:val="none"/>
                <w:lang w:val="en-US" w:eastAsia="zh-CN" w:bidi="ar"/>
              </w:rPr>
            </w:pPr>
            <w:r>
              <w:rPr>
                <w:rFonts w:hint="default" w:ascii="Times New Roman" w:hAnsi="Times New Roman" w:eastAsia="宋体" w:cs="Times New Roman"/>
                <w:sz w:val="21"/>
                <w:szCs w:val="21"/>
                <w:highlight w:val="none"/>
                <w:lang w:val="en-US" w:eastAsia="zh-CN"/>
              </w:rPr>
              <w:t>裸土地</w:t>
            </w:r>
          </w:p>
        </w:tc>
        <w:tc>
          <w:tcPr>
            <w:tcW w:w="1873" w:type="dxa"/>
            <w:tcBorders>
              <w:tl2br w:val="nil"/>
              <w:tr2bl w:val="nil"/>
            </w:tcBorders>
            <w:noWrap w:val="0"/>
            <w:vAlign w:val="center"/>
          </w:tcPr>
          <w:p w14:paraId="1C91A5FD">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0.3095</w:t>
            </w:r>
          </w:p>
        </w:tc>
        <w:tc>
          <w:tcPr>
            <w:tcW w:w="1098" w:type="pct"/>
            <w:tcBorders>
              <w:tl2br w:val="nil"/>
              <w:tr2bl w:val="nil"/>
            </w:tcBorders>
            <w:noWrap w:val="0"/>
            <w:vAlign w:val="center"/>
          </w:tcPr>
          <w:p w14:paraId="1FBCF6E0">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0.3095</w:t>
            </w:r>
          </w:p>
        </w:tc>
        <w:tc>
          <w:tcPr>
            <w:tcW w:w="1098" w:type="pct"/>
            <w:tcBorders>
              <w:tl2br w:val="nil"/>
              <w:tr2bl w:val="nil"/>
            </w:tcBorders>
            <w:noWrap w:val="0"/>
            <w:vAlign w:val="center"/>
          </w:tcPr>
          <w:p w14:paraId="2D564B93">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16C85C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4" w:type="pct"/>
            <w:gridSpan w:val="2"/>
            <w:tcBorders>
              <w:tl2br w:val="nil"/>
              <w:tr2bl w:val="nil"/>
            </w:tcBorders>
            <w:noWrap w:val="0"/>
            <w:vAlign w:val="center"/>
          </w:tcPr>
          <w:p w14:paraId="1C8E179C">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kern w:val="0"/>
                <w:sz w:val="21"/>
                <w:szCs w:val="21"/>
                <w:highlight w:val="none"/>
                <w:u w:val="none"/>
                <w:lang w:val="en-US" w:eastAsia="zh-CN" w:bidi="ar"/>
              </w:rPr>
            </w:pPr>
            <w:r>
              <w:rPr>
                <w:rFonts w:hint="default" w:ascii="Times New Roman" w:hAnsi="Times New Roman" w:eastAsia="宋体" w:cs="Times New Roman"/>
                <w:caps w:val="0"/>
                <w:smallCaps w:val="0"/>
                <w:kern w:val="0"/>
                <w:sz w:val="21"/>
                <w:szCs w:val="21"/>
                <w:highlight w:val="none"/>
                <w:u w:val="none"/>
                <w:lang w:val="en-US" w:eastAsia="zh-CN" w:bidi="ar"/>
              </w:rPr>
              <w:t>合计</w:t>
            </w:r>
          </w:p>
        </w:tc>
        <w:tc>
          <w:tcPr>
            <w:tcW w:w="1873" w:type="dxa"/>
            <w:tcBorders>
              <w:tl2br w:val="nil"/>
              <w:tr2bl w:val="nil"/>
            </w:tcBorders>
            <w:noWrap w:val="0"/>
            <w:vAlign w:val="center"/>
          </w:tcPr>
          <w:p w14:paraId="3CFDC08E">
            <w:pPr>
              <w:keepNext w:val="0"/>
              <w:keepLines w:val="0"/>
              <w:widowControl w:val="0"/>
              <w:suppressLineNumbers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kern w:val="2"/>
                <w:sz w:val="21"/>
                <w:szCs w:val="21"/>
                <w:highlight w:val="none"/>
                <w:u w:val="none"/>
                <w:lang w:val="en-US" w:eastAsia="zh-CN" w:bidi="ar"/>
              </w:rPr>
              <w:t>771.1454</w:t>
            </w:r>
          </w:p>
        </w:tc>
        <w:tc>
          <w:tcPr>
            <w:tcW w:w="1098" w:type="pct"/>
            <w:tcBorders>
              <w:tl2br w:val="nil"/>
              <w:tr2bl w:val="nil"/>
            </w:tcBorders>
            <w:noWrap w:val="0"/>
            <w:vAlign w:val="center"/>
          </w:tcPr>
          <w:p w14:paraId="65E74FCE">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771.1454</w:t>
            </w:r>
          </w:p>
        </w:tc>
        <w:tc>
          <w:tcPr>
            <w:tcW w:w="1098" w:type="pct"/>
            <w:tcBorders>
              <w:tl2br w:val="nil"/>
              <w:tr2bl w:val="nil"/>
            </w:tcBorders>
            <w:noWrap w:val="0"/>
            <w:vAlign w:val="center"/>
          </w:tcPr>
          <w:p w14:paraId="20122A6D">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bl>
    <w:p w14:paraId="4518E84D">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1"/>
          <w:highlight w:val="none"/>
          <w:u w:val="none"/>
        </w:rPr>
      </w:pPr>
      <w:r>
        <w:rPr>
          <w:rFonts w:hint="default" w:ascii="Times New Roman" w:hAnsi="Times New Roman" w:eastAsia="宋体" w:cs="Times New Roman"/>
          <w:caps w:val="0"/>
          <w:smallCaps w:val="0"/>
          <w:snapToGrid/>
          <w:color w:val="auto"/>
          <w:spacing w:val="0"/>
          <w:kern w:val="0"/>
          <w:sz w:val="24"/>
          <w:szCs w:val="21"/>
          <w:highlight w:val="none"/>
          <w:u w:val="none"/>
        </w:rPr>
        <w:t>由上表可知，工程建设前后，评价区土地利用格局发生了变化。主要为</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草地</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等</w:t>
      </w:r>
      <w:r>
        <w:rPr>
          <w:rFonts w:hint="default" w:ascii="Times New Roman" w:hAnsi="Times New Roman" w:eastAsia="宋体" w:cs="Times New Roman"/>
          <w:caps w:val="0"/>
          <w:smallCaps w:val="0"/>
          <w:snapToGrid/>
          <w:color w:val="auto"/>
          <w:spacing w:val="0"/>
          <w:kern w:val="0"/>
          <w:sz w:val="24"/>
          <w:szCs w:val="21"/>
          <w:highlight w:val="none"/>
          <w:u w:val="none"/>
        </w:rPr>
        <w:t>的面积有所减少，在采取水土保持措施、生态恢复等措施后，一定程度上能减少影响。</w:t>
      </w:r>
    </w:p>
    <w:p w14:paraId="69035FA2">
      <w:pPr>
        <w:pStyle w:val="5"/>
        <w:bidi w:val="0"/>
        <w:rPr>
          <w:rFonts w:hint="default" w:ascii="Times New Roman" w:hAnsi="Times New Roman" w:cs="Times New Roman"/>
          <w:lang w:val="en-US" w:eastAsia="zh-CN"/>
        </w:rPr>
      </w:pPr>
      <w:bookmarkStart w:id="305" w:name="_Toc10097"/>
      <w:bookmarkStart w:id="306" w:name="_Toc10439"/>
      <w:bookmarkStart w:id="307" w:name="_Toc11521"/>
      <w:bookmarkStart w:id="308" w:name="_Toc16951"/>
      <w:r>
        <w:rPr>
          <w:rFonts w:hint="default" w:ascii="Times New Roman" w:hAnsi="Times New Roman" w:cs="Times New Roman"/>
          <w:lang w:val="en-US" w:eastAsia="zh-CN"/>
        </w:rPr>
        <w:t>对生态系统的影响</w:t>
      </w:r>
      <w:bookmarkEnd w:id="305"/>
      <w:bookmarkEnd w:id="306"/>
      <w:bookmarkEnd w:id="307"/>
      <w:bookmarkEnd w:id="308"/>
    </w:p>
    <w:p w14:paraId="2BCE851B">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对生态系统功能的影响</w:t>
      </w:r>
    </w:p>
    <w:p w14:paraId="521A142A">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2"/>
          <w:highlight w:val="none"/>
          <w:u w:val="none"/>
          <w:lang w:eastAsia="zh-CN"/>
        </w:rPr>
      </w:pPr>
      <w:r>
        <w:rPr>
          <w:rFonts w:hint="default" w:ascii="Times New Roman" w:hAnsi="Times New Roman" w:eastAsia="宋体" w:cs="Times New Roman"/>
          <w:caps w:val="0"/>
          <w:smallCaps w:val="0"/>
          <w:snapToGrid/>
          <w:color w:val="auto"/>
          <w:spacing w:val="0"/>
          <w:kern w:val="0"/>
          <w:sz w:val="24"/>
          <w:szCs w:val="21"/>
          <w:highlight w:val="none"/>
          <w:u w:val="none"/>
        </w:rPr>
        <w:t>根据遥感解译，</w:t>
      </w:r>
      <w:r>
        <w:rPr>
          <w:rFonts w:hint="default" w:ascii="Times New Roman" w:hAnsi="Times New Roman" w:eastAsia="宋体" w:cs="Times New Roman"/>
          <w:caps w:val="0"/>
          <w:smallCaps w:val="0"/>
          <w:snapToGrid/>
          <w:color w:val="auto"/>
          <w:spacing w:val="0"/>
          <w:kern w:val="0"/>
          <w:sz w:val="24"/>
          <w:szCs w:val="22"/>
          <w:highlight w:val="none"/>
          <w:u w:val="none"/>
        </w:rPr>
        <w:t>工程占地区各生态系统类型面积见</w:t>
      </w:r>
      <w:r>
        <w:rPr>
          <w:rFonts w:hint="default" w:ascii="Times New Roman" w:hAnsi="Times New Roman" w:eastAsia="宋体" w:cs="Times New Roman"/>
          <w:caps w:val="0"/>
          <w:smallCaps w:val="0"/>
          <w:snapToGrid/>
          <w:color w:val="auto"/>
          <w:spacing w:val="0"/>
          <w:kern w:val="0"/>
          <w:sz w:val="24"/>
          <w:szCs w:val="22"/>
          <w:highlight w:val="none"/>
          <w:u w:val="none"/>
          <w:lang w:eastAsia="zh-CN"/>
        </w:rPr>
        <w:t>下表。</w:t>
      </w:r>
    </w:p>
    <w:p w14:paraId="07EDFB49">
      <w:pPr>
        <w:bidi w:val="0"/>
        <w:jc w:val="center"/>
        <w:rPr>
          <w:rFonts w:hint="default" w:ascii="Times New Roman" w:hAnsi="Times New Roman" w:eastAsia="宋体" w:cs="Times New Roman"/>
          <w:b/>
          <w:bCs/>
          <w:lang w:eastAsia="zh-CN"/>
        </w:rPr>
      </w:pPr>
      <w:r>
        <w:rPr>
          <w:rFonts w:hint="default" w:ascii="Times New Roman" w:hAnsi="Times New Roman" w:eastAsia="宋体" w:cs="Times New Roman"/>
          <w:b/>
          <w:bCs/>
          <w:lang w:eastAsia="zh-CN"/>
        </w:rPr>
        <w:t>表</w:t>
      </w:r>
      <w:r>
        <w:rPr>
          <w:rFonts w:hint="eastAsia" w:ascii="Times New Roman" w:hAnsi="Times New Roman" w:eastAsia="宋体" w:cs="Times New Roman"/>
          <w:b/>
          <w:bCs/>
          <w:lang w:val="en-US" w:eastAsia="zh-CN"/>
        </w:rPr>
        <w:t>4.2</w:t>
      </w:r>
      <w:r>
        <w:rPr>
          <w:rFonts w:hint="default" w:ascii="Times New Roman" w:hAnsi="Times New Roman" w:eastAsia="宋体" w:cs="Times New Roman"/>
          <w:b/>
          <w:bCs/>
          <w:lang w:eastAsia="zh-CN"/>
        </w:rPr>
        <w:t>-</w:t>
      </w:r>
      <w:r>
        <w:rPr>
          <w:rFonts w:hint="eastAsia" w:ascii="Times New Roman" w:hAnsi="Times New Roman" w:eastAsia="宋体" w:cs="Times New Roman"/>
          <w:b/>
          <w:bCs/>
          <w:lang w:val="en-US" w:eastAsia="zh-CN"/>
        </w:rPr>
        <w:t xml:space="preserve">8  </w:t>
      </w:r>
      <w:r>
        <w:rPr>
          <w:rFonts w:hint="default" w:ascii="Times New Roman" w:hAnsi="Times New Roman" w:eastAsia="宋体" w:cs="Times New Roman"/>
          <w:b/>
          <w:bCs/>
          <w:lang w:val="en-US" w:eastAsia="zh-CN"/>
        </w:rPr>
        <w:t xml:space="preserve"> </w:t>
      </w:r>
      <w:r>
        <w:rPr>
          <w:rFonts w:hint="default" w:ascii="Times New Roman" w:hAnsi="Times New Roman" w:eastAsia="宋体" w:cs="Times New Roman"/>
          <w:b/>
          <w:bCs/>
        </w:rPr>
        <w:t>工程占地区各生态系统类型面积统计表</w:t>
      </w:r>
      <w:r>
        <w:rPr>
          <w:rFonts w:hint="default" w:ascii="Times New Roman" w:hAnsi="Times New Roman" w:eastAsia="宋体" w:cs="Times New Roman"/>
          <w:b/>
          <w:bCs/>
          <w:lang w:eastAsia="zh-CN"/>
        </w:rPr>
        <w:t>（单位：</w:t>
      </w:r>
      <w:r>
        <w:rPr>
          <w:rFonts w:hint="default" w:ascii="Times New Roman" w:hAnsi="Times New Roman" w:eastAsia="宋体" w:cs="Times New Roman"/>
          <w:b/>
          <w:bCs/>
        </w:rPr>
        <w:t>hm</w:t>
      </w:r>
      <w:r>
        <w:rPr>
          <w:rFonts w:hint="default" w:ascii="Times New Roman" w:hAnsi="Times New Roman" w:eastAsia="宋体" w:cs="Times New Roman"/>
          <w:b/>
          <w:bCs/>
          <w:vertAlign w:val="superscript"/>
        </w:rPr>
        <w:t>2</w:t>
      </w:r>
      <w:r>
        <w:rPr>
          <w:rFonts w:hint="default" w:ascii="Times New Roman" w:hAnsi="Times New Roman" w:eastAsia="宋体" w:cs="Times New Roman"/>
          <w:b/>
          <w:bCs/>
          <w:lang w:eastAsia="zh-CN"/>
        </w:rPr>
        <w:t>）</w:t>
      </w:r>
    </w:p>
    <w:tbl>
      <w:tblPr>
        <w:tblStyle w:val="3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98"/>
        <w:gridCol w:w="1938"/>
        <w:gridCol w:w="1938"/>
        <w:gridCol w:w="1939"/>
      </w:tblGrid>
      <w:tr w14:paraId="1373F2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4" w:type="pct"/>
            <w:tcBorders>
              <w:tl2br w:val="nil"/>
              <w:tr2bl w:val="nil"/>
            </w:tcBorders>
            <w:noWrap w:val="0"/>
            <w:vAlign w:val="center"/>
          </w:tcPr>
          <w:p w14:paraId="5DE7BFFE">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highlight w:val="none"/>
                <w:u w:val="none"/>
              </w:rPr>
            </w:pPr>
            <w:r>
              <w:rPr>
                <w:rFonts w:hint="default" w:ascii="Times New Roman" w:hAnsi="Times New Roman" w:eastAsia="宋体" w:cs="Times New Roman"/>
                <w:b/>
                <w:bCs/>
                <w:caps w:val="0"/>
                <w:smallCaps w:val="0"/>
                <w:snapToGrid/>
                <w:color w:val="auto"/>
                <w:spacing w:val="0"/>
                <w:kern w:val="0"/>
                <w:sz w:val="21"/>
                <w:szCs w:val="21"/>
                <w:highlight w:val="none"/>
                <w:u w:val="none"/>
                <w:lang w:eastAsia="zh-CN"/>
              </w:rPr>
              <w:t>系统</w:t>
            </w:r>
            <w:r>
              <w:rPr>
                <w:rFonts w:hint="default" w:ascii="Times New Roman" w:hAnsi="Times New Roman" w:eastAsia="宋体" w:cs="Times New Roman"/>
                <w:b/>
                <w:bCs/>
                <w:caps w:val="0"/>
                <w:smallCaps w:val="0"/>
                <w:snapToGrid/>
                <w:color w:val="auto"/>
                <w:spacing w:val="0"/>
                <w:kern w:val="0"/>
                <w:sz w:val="21"/>
                <w:szCs w:val="21"/>
                <w:highlight w:val="none"/>
                <w:u w:val="none"/>
              </w:rPr>
              <w:t>类型</w:t>
            </w:r>
          </w:p>
        </w:tc>
        <w:tc>
          <w:tcPr>
            <w:tcW w:w="1138" w:type="pct"/>
            <w:tcBorders>
              <w:tl2br w:val="nil"/>
              <w:tr2bl w:val="nil"/>
            </w:tcBorders>
            <w:noWrap w:val="0"/>
            <w:vAlign w:val="center"/>
          </w:tcPr>
          <w:p w14:paraId="526C4272">
            <w:pPr>
              <w:keepNext w:val="0"/>
              <w:keepLines w:val="0"/>
              <w:suppressLineNumbers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caps w:val="0"/>
                <w:smallCaps w:val="0"/>
                <w:sz w:val="21"/>
                <w:szCs w:val="21"/>
                <w:highlight w:val="none"/>
                <w:u w:val="none"/>
                <w:lang w:val="en-US" w:eastAsia="zh-CN"/>
              </w:rPr>
            </w:pPr>
            <w:r>
              <w:rPr>
                <w:rFonts w:hint="default" w:ascii="Times New Roman" w:hAnsi="Times New Roman" w:eastAsia="宋体" w:cs="Times New Roman"/>
                <w:b/>
                <w:caps w:val="0"/>
                <w:smallCaps w:val="0"/>
                <w:snapToGrid/>
                <w:color w:val="auto"/>
                <w:spacing w:val="0"/>
                <w:kern w:val="0"/>
                <w:sz w:val="21"/>
                <w:szCs w:val="21"/>
                <w:highlight w:val="none"/>
                <w:u w:val="none"/>
              </w:rPr>
              <w:t>建设前（hm</w:t>
            </w:r>
            <w:r>
              <w:rPr>
                <w:rFonts w:hint="default" w:ascii="Times New Roman" w:hAnsi="Times New Roman" w:eastAsia="宋体" w:cs="Times New Roman"/>
                <w:b/>
                <w:caps w:val="0"/>
                <w:smallCaps w:val="0"/>
                <w:snapToGrid/>
                <w:color w:val="auto"/>
                <w:spacing w:val="0"/>
                <w:kern w:val="0"/>
                <w:sz w:val="21"/>
                <w:szCs w:val="21"/>
                <w:highlight w:val="none"/>
                <w:u w:val="none"/>
                <w:vertAlign w:val="superscript"/>
              </w:rPr>
              <w:t>2</w:t>
            </w:r>
            <w:r>
              <w:rPr>
                <w:rFonts w:hint="default" w:ascii="Times New Roman" w:hAnsi="Times New Roman" w:eastAsia="宋体" w:cs="Times New Roman"/>
                <w:b/>
                <w:caps w:val="0"/>
                <w:smallCaps w:val="0"/>
                <w:snapToGrid/>
                <w:color w:val="auto"/>
                <w:spacing w:val="0"/>
                <w:kern w:val="0"/>
                <w:sz w:val="21"/>
                <w:szCs w:val="21"/>
                <w:highlight w:val="none"/>
                <w:u w:val="none"/>
              </w:rPr>
              <w:t>）</w:t>
            </w:r>
          </w:p>
        </w:tc>
        <w:tc>
          <w:tcPr>
            <w:tcW w:w="1138" w:type="pct"/>
            <w:tcBorders>
              <w:tl2br w:val="nil"/>
              <w:tr2bl w:val="nil"/>
            </w:tcBorders>
            <w:noWrap w:val="0"/>
            <w:vAlign w:val="center"/>
          </w:tcPr>
          <w:p w14:paraId="0BA325AA">
            <w:pPr>
              <w:keepNext w:val="0"/>
              <w:keepLines w:val="0"/>
              <w:suppressLineNumbers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bCs/>
                <w:caps w:val="0"/>
                <w:smallCaps w:val="0"/>
                <w:sz w:val="21"/>
                <w:szCs w:val="21"/>
                <w:highlight w:val="none"/>
                <w:u w:val="none"/>
                <w:lang w:val="en-US" w:eastAsia="zh-CN"/>
              </w:rPr>
            </w:pPr>
            <w:r>
              <w:rPr>
                <w:rFonts w:hint="default" w:ascii="Times New Roman" w:hAnsi="Times New Roman" w:eastAsia="宋体" w:cs="Times New Roman"/>
                <w:b/>
                <w:caps w:val="0"/>
                <w:smallCaps w:val="0"/>
                <w:snapToGrid/>
                <w:color w:val="auto"/>
                <w:spacing w:val="0"/>
                <w:kern w:val="0"/>
                <w:sz w:val="21"/>
                <w:szCs w:val="21"/>
                <w:highlight w:val="none"/>
                <w:u w:val="none"/>
              </w:rPr>
              <w:t>建设后（hm</w:t>
            </w:r>
            <w:r>
              <w:rPr>
                <w:rFonts w:hint="default" w:ascii="Times New Roman" w:hAnsi="Times New Roman" w:eastAsia="宋体" w:cs="Times New Roman"/>
                <w:b/>
                <w:caps w:val="0"/>
                <w:smallCaps w:val="0"/>
                <w:snapToGrid/>
                <w:color w:val="auto"/>
                <w:spacing w:val="0"/>
                <w:kern w:val="0"/>
                <w:sz w:val="21"/>
                <w:szCs w:val="21"/>
                <w:highlight w:val="none"/>
                <w:u w:val="none"/>
                <w:vertAlign w:val="superscript"/>
              </w:rPr>
              <w:t>2</w:t>
            </w:r>
            <w:r>
              <w:rPr>
                <w:rFonts w:hint="default" w:ascii="Times New Roman" w:hAnsi="Times New Roman" w:eastAsia="宋体" w:cs="Times New Roman"/>
                <w:b/>
                <w:caps w:val="0"/>
                <w:smallCaps w:val="0"/>
                <w:snapToGrid/>
                <w:color w:val="auto"/>
                <w:spacing w:val="0"/>
                <w:kern w:val="0"/>
                <w:sz w:val="21"/>
                <w:szCs w:val="21"/>
                <w:highlight w:val="none"/>
                <w:u w:val="none"/>
              </w:rPr>
              <w:t>）</w:t>
            </w:r>
          </w:p>
        </w:tc>
        <w:tc>
          <w:tcPr>
            <w:tcW w:w="1138" w:type="pct"/>
            <w:tcBorders>
              <w:tl2br w:val="nil"/>
              <w:tr2bl w:val="nil"/>
            </w:tcBorders>
            <w:noWrap w:val="0"/>
            <w:vAlign w:val="center"/>
          </w:tcPr>
          <w:p w14:paraId="10B2FCF3">
            <w:pPr>
              <w:keepNext w:val="0"/>
              <w:keepLines w:val="0"/>
              <w:suppressLineNumbers w:val="0"/>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
                <w:bCs/>
                <w:caps w:val="0"/>
                <w:smallCaps w:val="0"/>
                <w:sz w:val="21"/>
                <w:szCs w:val="21"/>
                <w:highlight w:val="none"/>
                <w:u w:val="none"/>
                <w:lang w:val="en-US" w:eastAsia="zh-CN"/>
              </w:rPr>
            </w:pPr>
            <w:r>
              <w:rPr>
                <w:rFonts w:hint="default" w:ascii="Times New Roman" w:hAnsi="Times New Roman" w:eastAsia="宋体" w:cs="Times New Roman"/>
                <w:b/>
                <w:caps w:val="0"/>
                <w:smallCaps w:val="0"/>
                <w:snapToGrid/>
                <w:color w:val="auto"/>
                <w:spacing w:val="0"/>
                <w:kern w:val="0"/>
                <w:sz w:val="21"/>
                <w:szCs w:val="21"/>
                <w:highlight w:val="none"/>
                <w:u w:val="none"/>
              </w:rPr>
              <w:t>变化值（hm</w:t>
            </w:r>
            <w:r>
              <w:rPr>
                <w:rFonts w:hint="default" w:ascii="Times New Roman" w:hAnsi="Times New Roman" w:eastAsia="宋体" w:cs="Times New Roman"/>
                <w:b/>
                <w:caps w:val="0"/>
                <w:smallCaps w:val="0"/>
                <w:snapToGrid/>
                <w:color w:val="auto"/>
                <w:spacing w:val="0"/>
                <w:kern w:val="0"/>
                <w:sz w:val="21"/>
                <w:szCs w:val="21"/>
                <w:highlight w:val="none"/>
                <w:u w:val="none"/>
                <w:vertAlign w:val="superscript"/>
              </w:rPr>
              <w:t>2</w:t>
            </w:r>
            <w:r>
              <w:rPr>
                <w:rFonts w:hint="default" w:ascii="Times New Roman" w:hAnsi="Times New Roman" w:eastAsia="宋体" w:cs="Times New Roman"/>
                <w:b/>
                <w:caps w:val="0"/>
                <w:smallCaps w:val="0"/>
                <w:snapToGrid/>
                <w:color w:val="auto"/>
                <w:spacing w:val="0"/>
                <w:kern w:val="0"/>
                <w:sz w:val="21"/>
                <w:szCs w:val="21"/>
                <w:highlight w:val="none"/>
                <w:u w:val="none"/>
              </w:rPr>
              <w:t>）</w:t>
            </w:r>
          </w:p>
        </w:tc>
      </w:tr>
      <w:tr w14:paraId="59167D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4" w:type="pct"/>
            <w:tcBorders>
              <w:tl2br w:val="nil"/>
              <w:tr2bl w:val="nil"/>
            </w:tcBorders>
            <w:noWrap w:val="0"/>
            <w:vAlign w:val="center"/>
          </w:tcPr>
          <w:p w14:paraId="7C9831CF">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highlight w:val="none"/>
                <w:u w:val="none"/>
              </w:rPr>
            </w:pPr>
            <w: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rPr>
              <w:t>森林生态系统</w:t>
            </w:r>
          </w:p>
        </w:tc>
        <w:tc>
          <w:tcPr>
            <w:tcW w:w="1941" w:type="dxa"/>
            <w:tcBorders>
              <w:tl2br w:val="nil"/>
              <w:tr2bl w:val="nil"/>
            </w:tcBorders>
            <w:noWrap w:val="0"/>
            <w:vAlign w:val="center"/>
          </w:tcPr>
          <w:p w14:paraId="69985CC1">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sz w:val="21"/>
                <w:szCs w:val="21"/>
                <w:highlight w:val="none"/>
                <w:u w:val="none"/>
                <w:lang w:val="en-US" w:eastAsia="zh-CN"/>
              </w:rPr>
            </w:pPr>
            <w:r>
              <w:rPr>
                <w:rFonts w:hint="default" w:ascii="Times New Roman" w:hAnsi="Times New Roman" w:eastAsia="宋体" w:cs="Times New Roman"/>
                <w:i w:val="0"/>
                <w:iCs w:val="0"/>
                <w:color w:val="000000"/>
                <w:kern w:val="2"/>
                <w:sz w:val="21"/>
                <w:szCs w:val="21"/>
                <w:highlight w:val="none"/>
                <w:u w:val="none"/>
                <w:lang w:val="en-US" w:eastAsia="zh-CN" w:bidi="ar-SA"/>
              </w:rPr>
              <w:t xml:space="preserve">426.2067 </w:t>
            </w:r>
          </w:p>
        </w:tc>
        <w:tc>
          <w:tcPr>
            <w:tcW w:w="1941" w:type="dxa"/>
            <w:tcBorders>
              <w:tl2br w:val="nil"/>
              <w:tr2bl w:val="nil"/>
            </w:tcBorders>
            <w:noWrap w:val="0"/>
            <w:vAlign w:val="center"/>
          </w:tcPr>
          <w:p w14:paraId="7B6F3940">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kern w:val="2"/>
                <w:sz w:val="21"/>
                <w:szCs w:val="21"/>
                <w:highlight w:val="none"/>
                <w:u w:val="none"/>
                <w:lang w:val="en-US" w:eastAsia="zh-CN" w:bidi="ar-SA"/>
              </w:rPr>
            </w:pPr>
            <w:r>
              <w:rPr>
                <w:rFonts w:hint="default" w:ascii="Times New Roman" w:hAnsi="Times New Roman" w:eastAsia="宋体" w:cs="Times New Roman"/>
                <w:i w:val="0"/>
                <w:iCs w:val="0"/>
                <w:color w:val="000000"/>
                <w:kern w:val="2"/>
                <w:sz w:val="21"/>
                <w:szCs w:val="21"/>
                <w:highlight w:val="none"/>
                <w:u w:val="none"/>
                <w:lang w:val="en-US" w:eastAsia="zh-CN" w:bidi="ar-SA"/>
              </w:rPr>
              <w:t>426.2067</w:t>
            </w:r>
          </w:p>
        </w:tc>
        <w:tc>
          <w:tcPr>
            <w:tcW w:w="1138" w:type="pct"/>
            <w:tcBorders>
              <w:tl2br w:val="nil"/>
              <w:tr2bl w:val="nil"/>
            </w:tcBorders>
            <w:noWrap w:val="0"/>
            <w:vAlign w:val="center"/>
          </w:tcPr>
          <w:p w14:paraId="13D29C0E">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kern w:val="2"/>
                <w:sz w:val="21"/>
                <w:szCs w:val="21"/>
                <w:highlight w:val="none"/>
                <w:u w:val="none"/>
                <w:lang w:val="en-US" w:eastAsia="zh-CN" w:bidi="ar-SA"/>
              </w:rPr>
            </w:pPr>
            <w:r>
              <w:rPr>
                <w:rFonts w:hint="default" w:ascii="Times New Roman" w:hAnsi="Times New Roman" w:eastAsia="宋体" w:cs="Times New Roman"/>
                <w:caps w:val="0"/>
                <w:smallCaps w:val="0"/>
                <w:kern w:val="2"/>
                <w:sz w:val="21"/>
                <w:szCs w:val="21"/>
                <w:highlight w:val="none"/>
                <w:u w:val="none"/>
                <w:lang w:val="en-US" w:eastAsia="zh-CN" w:bidi="ar-SA"/>
              </w:rPr>
              <w:t>/</w:t>
            </w:r>
          </w:p>
        </w:tc>
      </w:tr>
      <w:tr w14:paraId="707406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4" w:type="pct"/>
            <w:tcBorders>
              <w:tl2br w:val="nil"/>
              <w:tr2bl w:val="nil"/>
            </w:tcBorders>
            <w:noWrap w:val="0"/>
            <w:vAlign w:val="center"/>
          </w:tcPr>
          <w:p w14:paraId="18F5F76E">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rPr>
            </w:pPr>
            <w: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rPr>
              <w:t>灌丛生态系统</w:t>
            </w:r>
          </w:p>
        </w:tc>
        <w:tc>
          <w:tcPr>
            <w:tcW w:w="1941" w:type="dxa"/>
            <w:tcBorders>
              <w:tl2br w:val="nil"/>
              <w:tr2bl w:val="nil"/>
            </w:tcBorders>
            <w:noWrap w:val="0"/>
            <w:vAlign w:val="center"/>
          </w:tcPr>
          <w:p w14:paraId="52E9B9F9">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sz w:val="21"/>
                <w:szCs w:val="21"/>
                <w:highlight w:val="none"/>
                <w:u w:val="none"/>
                <w:lang w:val="en-US" w:eastAsia="zh-CN"/>
              </w:rPr>
            </w:pPr>
            <w:r>
              <w:rPr>
                <w:rFonts w:hint="default" w:ascii="Times New Roman" w:hAnsi="Times New Roman" w:eastAsia="宋体" w:cs="Times New Roman"/>
                <w:i w:val="0"/>
                <w:iCs w:val="0"/>
                <w:color w:val="000000"/>
                <w:kern w:val="2"/>
                <w:sz w:val="21"/>
                <w:szCs w:val="21"/>
                <w:highlight w:val="none"/>
                <w:u w:val="none"/>
                <w:lang w:val="en-US" w:eastAsia="zh-CN" w:bidi="ar-SA"/>
              </w:rPr>
              <w:t xml:space="preserve">92.1120 </w:t>
            </w:r>
          </w:p>
        </w:tc>
        <w:tc>
          <w:tcPr>
            <w:tcW w:w="1941" w:type="dxa"/>
            <w:tcBorders>
              <w:tl2br w:val="nil"/>
              <w:tr2bl w:val="nil"/>
            </w:tcBorders>
            <w:noWrap w:val="0"/>
            <w:vAlign w:val="center"/>
          </w:tcPr>
          <w:p w14:paraId="3B993370">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kern w:val="2"/>
                <w:sz w:val="21"/>
                <w:szCs w:val="21"/>
                <w:highlight w:val="none"/>
                <w:u w:val="none"/>
                <w:lang w:val="en-US" w:eastAsia="zh-CN" w:bidi="ar-SA"/>
              </w:rPr>
            </w:pPr>
            <w:r>
              <w:rPr>
                <w:rFonts w:hint="default" w:ascii="Times New Roman" w:hAnsi="Times New Roman" w:eastAsia="宋体" w:cs="Times New Roman"/>
                <w:caps w:val="0"/>
                <w:smallCaps w:val="0"/>
                <w:kern w:val="2"/>
                <w:sz w:val="21"/>
                <w:szCs w:val="21"/>
                <w:highlight w:val="none"/>
                <w:u w:val="none"/>
                <w:lang w:val="en-US" w:eastAsia="zh-CN" w:bidi="ar-SA"/>
              </w:rPr>
              <w:t>92.022</w:t>
            </w:r>
          </w:p>
        </w:tc>
        <w:tc>
          <w:tcPr>
            <w:tcW w:w="1941" w:type="dxa"/>
            <w:tcBorders>
              <w:tl2br w:val="nil"/>
              <w:tr2bl w:val="nil"/>
            </w:tcBorders>
            <w:noWrap w:val="0"/>
            <w:vAlign w:val="center"/>
          </w:tcPr>
          <w:p w14:paraId="3CA46063">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sz w:val="21"/>
                <w:szCs w:val="21"/>
                <w:highlight w:val="none"/>
                <w:u w:val="none"/>
                <w:lang w:val="en-US" w:eastAsia="zh-CN"/>
              </w:rPr>
            </w:pPr>
            <w:r>
              <w:rPr>
                <w:rFonts w:hint="default" w:ascii="Times New Roman" w:hAnsi="Times New Roman" w:eastAsia="宋体" w:cs="Times New Roman"/>
                <w:sz w:val="21"/>
                <w:szCs w:val="21"/>
                <w:highlight w:val="none"/>
                <w:lang w:val="en-US" w:eastAsia="zh-CN"/>
              </w:rPr>
              <w:t>-0.09</w:t>
            </w:r>
          </w:p>
        </w:tc>
      </w:tr>
      <w:tr w14:paraId="1D8DA9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4" w:type="pct"/>
            <w:tcBorders>
              <w:tl2br w:val="nil"/>
              <w:tr2bl w:val="nil"/>
            </w:tcBorders>
            <w:noWrap w:val="0"/>
            <w:vAlign w:val="center"/>
          </w:tcPr>
          <w:p w14:paraId="7B133483">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rPr>
            </w:pPr>
            <w: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rPr>
              <w:t>草地生态系统</w:t>
            </w:r>
          </w:p>
        </w:tc>
        <w:tc>
          <w:tcPr>
            <w:tcW w:w="1941" w:type="dxa"/>
            <w:tcBorders>
              <w:tl2br w:val="nil"/>
              <w:tr2bl w:val="nil"/>
            </w:tcBorders>
            <w:noWrap w:val="0"/>
            <w:vAlign w:val="center"/>
          </w:tcPr>
          <w:p w14:paraId="070A1C26">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sz w:val="21"/>
                <w:szCs w:val="21"/>
                <w:highlight w:val="none"/>
                <w:u w:val="none"/>
                <w:lang w:val="en-US" w:eastAsia="zh-CN"/>
              </w:rPr>
            </w:pPr>
            <w:r>
              <w:rPr>
                <w:rFonts w:hint="default" w:ascii="Times New Roman" w:hAnsi="Times New Roman" w:eastAsia="宋体" w:cs="Times New Roman"/>
                <w:i w:val="0"/>
                <w:iCs w:val="0"/>
                <w:color w:val="000000"/>
                <w:kern w:val="2"/>
                <w:sz w:val="21"/>
                <w:szCs w:val="21"/>
                <w:highlight w:val="none"/>
                <w:u w:val="none"/>
                <w:lang w:val="en-US" w:eastAsia="zh-CN" w:bidi="ar-SA"/>
              </w:rPr>
              <w:t xml:space="preserve">44.7939 </w:t>
            </w:r>
          </w:p>
        </w:tc>
        <w:tc>
          <w:tcPr>
            <w:tcW w:w="1941" w:type="dxa"/>
            <w:tcBorders>
              <w:tl2br w:val="nil"/>
              <w:tr2bl w:val="nil"/>
            </w:tcBorders>
            <w:noWrap w:val="0"/>
            <w:vAlign w:val="center"/>
          </w:tcPr>
          <w:p w14:paraId="6888BA1C">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kern w:val="2"/>
                <w:sz w:val="21"/>
                <w:szCs w:val="21"/>
                <w:highlight w:val="none"/>
                <w:u w:val="none"/>
                <w:lang w:val="en-US" w:eastAsia="zh-CN" w:bidi="ar-SA"/>
              </w:rPr>
            </w:pPr>
            <w:r>
              <w:rPr>
                <w:rFonts w:hint="default" w:ascii="Times New Roman" w:hAnsi="Times New Roman" w:eastAsia="宋体" w:cs="Times New Roman"/>
                <w:caps w:val="0"/>
                <w:smallCaps w:val="0"/>
                <w:kern w:val="2"/>
                <w:sz w:val="21"/>
                <w:szCs w:val="21"/>
                <w:highlight w:val="none"/>
                <w:u w:val="none"/>
                <w:lang w:val="en-US" w:eastAsia="zh-CN" w:bidi="ar-SA"/>
              </w:rPr>
              <w:t>43.7639</w:t>
            </w:r>
          </w:p>
        </w:tc>
        <w:tc>
          <w:tcPr>
            <w:tcW w:w="1941" w:type="dxa"/>
            <w:tcBorders>
              <w:tl2br w:val="nil"/>
              <w:tr2bl w:val="nil"/>
            </w:tcBorders>
            <w:noWrap w:val="0"/>
            <w:vAlign w:val="center"/>
          </w:tcPr>
          <w:p w14:paraId="734A8AA5">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sz w:val="21"/>
                <w:szCs w:val="21"/>
                <w:highlight w:val="none"/>
                <w:u w:val="none"/>
                <w:lang w:val="en-US" w:eastAsia="zh-CN"/>
              </w:rPr>
            </w:pPr>
            <w:r>
              <w:rPr>
                <w:rFonts w:hint="default" w:ascii="Times New Roman" w:hAnsi="Times New Roman" w:eastAsia="宋体" w:cs="Times New Roman"/>
                <w:sz w:val="21"/>
                <w:szCs w:val="21"/>
                <w:highlight w:val="none"/>
                <w:lang w:val="en-US" w:eastAsia="zh-CN"/>
              </w:rPr>
              <w:t>-1.03</w:t>
            </w:r>
          </w:p>
        </w:tc>
      </w:tr>
      <w:tr w14:paraId="667998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4" w:type="pct"/>
            <w:tcBorders>
              <w:tl2br w:val="nil"/>
              <w:tr2bl w:val="nil"/>
            </w:tcBorders>
            <w:noWrap w:val="0"/>
            <w:vAlign w:val="center"/>
          </w:tcPr>
          <w:p w14:paraId="505CB3E0">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kern w:val="2"/>
                <w:sz w:val="21"/>
                <w:szCs w:val="21"/>
                <w:highlight w:val="none"/>
                <w:u w:val="none"/>
                <w:lang w:val="en-US" w:eastAsia="zh-CN" w:bidi="ar-SA"/>
              </w:rPr>
            </w:pPr>
            <w: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rPr>
              <w:t>湿地生态系统</w:t>
            </w:r>
          </w:p>
        </w:tc>
        <w:tc>
          <w:tcPr>
            <w:tcW w:w="1941" w:type="dxa"/>
            <w:tcBorders>
              <w:tl2br w:val="nil"/>
              <w:tr2bl w:val="nil"/>
            </w:tcBorders>
            <w:noWrap w:val="0"/>
            <w:vAlign w:val="center"/>
          </w:tcPr>
          <w:p w14:paraId="5CC4662B">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kern w:val="2"/>
                <w:sz w:val="21"/>
                <w:szCs w:val="21"/>
                <w:highlight w:val="none"/>
                <w:u w:val="none"/>
                <w:lang w:val="en-US" w:eastAsia="zh-CN" w:bidi="ar-SA"/>
              </w:rPr>
            </w:pPr>
            <w:r>
              <w:rPr>
                <w:rFonts w:hint="default" w:ascii="Times New Roman" w:hAnsi="Times New Roman" w:eastAsia="宋体" w:cs="Times New Roman"/>
                <w:i w:val="0"/>
                <w:iCs w:val="0"/>
                <w:color w:val="000000"/>
                <w:kern w:val="2"/>
                <w:sz w:val="21"/>
                <w:szCs w:val="21"/>
                <w:highlight w:val="none"/>
                <w:u w:val="none"/>
                <w:lang w:val="en-US" w:eastAsia="zh-CN" w:bidi="ar-SA"/>
              </w:rPr>
              <w:t xml:space="preserve">68.1348 </w:t>
            </w:r>
          </w:p>
        </w:tc>
        <w:tc>
          <w:tcPr>
            <w:tcW w:w="1941" w:type="dxa"/>
            <w:tcBorders>
              <w:tl2br w:val="nil"/>
              <w:tr2bl w:val="nil"/>
            </w:tcBorders>
            <w:noWrap w:val="0"/>
            <w:vAlign w:val="center"/>
          </w:tcPr>
          <w:p w14:paraId="697E0E67">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kern w:val="2"/>
                <w:sz w:val="21"/>
                <w:szCs w:val="21"/>
                <w:highlight w:val="none"/>
                <w:u w:val="none"/>
                <w:lang w:val="en-US" w:eastAsia="zh-CN" w:bidi="ar-SA"/>
              </w:rPr>
            </w:pPr>
            <w:r>
              <w:rPr>
                <w:rFonts w:hint="default" w:ascii="Times New Roman" w:hAnsi="Times New Roman" w:eastAsia="宋体" w:cs="Times New Roman"/>
                <w:i w:val="0"/>
                <w:iCs w:val="0"/>
                <w:color w:val="000000"/>
                <w:kern w:val="2"/>
                <w:sz w:val="21"/>
                <w:szCs w:val="21"/>
                <w:highlight w:val="none"/>
                <w:u w:val="none"/>
                <w:lang w:val="en-US" w:eastAsia="zh-CN" w:bidi="ar-SA"/>
              </w:rPr>
              <w:t xml:space="preserve">68.1348 </w:t>
            </w:r>
          </w:p>
        </w:tc>
        <w:tc>
          <w:tcPr>
            <w:tcW w:w="1138" w:type="pct"/>
            <w:tcBorders>
              <w:tl2br w:val="nil"/>
              <w:tr2bl w:val="nil"/>
            </w:tcBorders>
            <w:noWrap w:val="0"/>
            <w:vAlign w:val="center"/>
          </w:tcPr>
          <w:p w14:paraId="5DDD7EBF">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kern w:val="2"/>
                <w:sz w:val="21"/>
                <w:szCs w:val="21"/>
                <w:highlight w:val="none"/>
                <w:u w:val="none"/>
                <w:lang w:val="en-US" w:eastAsia="zh-CN" w:bidi="ar-SA"/>
              </w:rPr>
            </w:pPr>
            <w:r>
              <w:rPr>
                <w:rFonts w:hint="default" w:ascii="Times New Roman" w:hAnsi="Times New Roman" w:eastAsia="宋体" w:cs="Times New Roman"/>
                <w:caps w:val="0"/>
                <w:smallCaps w:val="0"/>
                <w:kern w:val="2"/>
                <w:sz w:val="21"/>
                <w:szCs w:val="21"/>
                <w:highlight w:val="none"/>
                <w:u w:val="none"/>
                <w:lang w:val="en-US" w:eastAsia="zh-CN" w:bidi="ar-SA"/>
              </w:rPr>
              <w:t>/</w:t>
            </w:r>
          </w:p>
        </w:tc>
      </w:tr>
      <w:tr w14:paraId="5EF2A8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4" w:type="pct"/>
            <w:tcBorders>
              <w:tl2br w:val="nil"/>
              <w:tr2bl w:val="nil"/>
            </w:tcBorders>
            <w:noWrap w:val="0"/>
            <w:vAlign w:val="center"/>
          </w:tcPr>
          <w:p w14:paraId="16858F71">
            <w:pPr>
              <w:keepNext w:val="0"/>
              <w:keepLines w:val="0"/>
              <w:widowControl/>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rPr>
            </w:pPr>
            <w: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rPr>
              <w:t>农田生态系统</w:t>
            </w:r>
          </w:p>
        </w:tc>
        <w:tc>
          <w:tcPr>
            <w:tcW w:w="1941" w:type="dxa"/>
            <w:tcBorders>
              <w:tl2br w:val="nil"/>
              <w:tr2bl w:val="nil"/>
            </w:tcBorders>
            <w:noWrap w:val="0"/>
            <w:vAlign w:val="center"/>
          </w:tcPr>
          <w:p w14:paraId="045D9C8B">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kern w:val="2"/>
                <w:sz w:val="21"/>
                <w:szCs w:val="21"/>
                <w:highlight w:val="none"/>
                <w:u w:val="none"/>
                <w:lang w:val="en-US" w:eastAsia="zh-CN" w:bidi="ar-SA"/>
              </w:rPr>
            </w:pPr>
            <w:r>
              <w:rPr>
                <w:rFonts w:hint="default" w:ascii="Times New Roman" w:hAnsi="Times New Roman" w:eastAsia="宋体" w:cs="Times New Roman"/>
                <w:i w:val="0"/>
                <w:iCs w:val="0"/>
                <w:color w:val="000000"/>
                <w:kern w:val="2"/>
                <w:sz w:val="21"/>
                <w:szCs w:val="21"/>
                <w:highlight w:val="none"/>
                <w:u w:val="none"/>
                <w:lang w:val="en-US" w:eastAsia="zh-CN" w:bidi="ar-SA"/>
              </w:rPr>
              <w:t xml:space="preserve">105.5650 </w:t>
            </w:r>
          </w:p>
        </w:tc>
        <w:tc>
          <w:tcPr>
            <w:tcW w:w="1941" w:type="dxa"/>
            <w:tcBorders>
              <w:tl2br w:val="nil"/>
              <w:tr2bl w:val="nil"/>
            </w:tcBorders>
            <w:noWrap w:val="0"/>
            <w:vAlign w:val="center"/>
          </w:tcPr>
          <w:p w14:paraId="2157D340">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caps w:val="0"/>
                <w:smallCaps w:val="0"/>
                <w:kern w:val="2"/>
                <w:sz w:val="21"/>
                <w:szCs w:val="21"/>
                <w:highlight w:val="none"/>
                <w:u w:val="none"/>
                <w:lang w:val="en-US" w:eastAsia="zh-CN" w:bidi="ar-SA"/>
              </w:rPr>
            </w:pPr>
            <w:r>
              <w:rPr>
                <w:rFonts w:hint="default" w:ascii="Times New Roman" w:hAnsi="Times New Roman" w:eastAsia="宋体" w:cs="Times New Roman"/>
                <w:i w:val="0"/>
                <w:iCs w:val="0"/>
                <w:color w:val="000000"/>
                <w:kern w:val="2"/>
                <w:sz w:val="21"/>
                <w:szCs w:val="21"/>
                <w:highlight w:val="none"/>
                <w:u w:val="none"/>
                <w:lang w:val="en-US" w:eastAsia="zh-CN" w:bidi="ar-SA"/>
              </w:rPr>
              <w:t xml:space="preserve">105.5650 </w:t>
            </w:r>
          </w:p>
        </w:tc>
        <w:tc>
          <w:tcPr>
            <w:tcW w:w="1138" w:type="pct"/>
            <w:tcBorders>
              <w:tl2br w:val="nil"/>
              <w:tr2bl w:val="nil"/>
            </w:tcBorders>
            <w:noWrap w:val="0"/>
            <w:vAlign w:val="center"/>
          </w:tcPr>
          <w:p w14:paraId="5C087EF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sz w:val="21"/>
                <w:szCs w:val="21"/>
                <w:highlight w:val="none"/>
                <w:u w:val="none"/>
                <w:lang w:val="en-US" w:eastAsia="zh-CN"/>
              </w:rPr>
            </w:pPr>
            <w:r>
              <w:rPr>
                <w:rFonts w:hint="default" w:ascii="Times New Roman" w:hAnsi="Times New Roman" w:eastAsia="宋体" w:cs="Times New Roman"/>
                <w:caps w:val="0"/>
                <w:smallCaps w:val="0"/>
                <w:sz w:val="21"/>
                <w:szCs w:val="21"/>
                <w:highlight w:val="none"/>
                <w:u w:val="none"/>
                <w:lang w:val="en-US" w:eastAsia="zh-CN"/>
              </w:rPr>
              <w:t>/</w:t>
            </w:r>
          </w:p>
        </w:tc>
      </w:tr>
      <w:tr w14:paraId="4993BF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4" w:type="pct"/>
            <w:tcBorders>
              <w:tl2br w:val="nil"/>
              <w:tr2bl w:val="nil"/>
            </w:tcBorders>
            <w:noWrap w:val="0"/>
            <w:vAlign w:val="center"/>
          </w:tcPr>
          <w:p w14:paraId="63EAB86D">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rPr>
            </w:pPr>
            <w: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rPr>
              <w:t>城镇生态系统</w:t>
            </w:r>
          </w:p>
        </w:tc>
        <w:tc>
          <w:tcPr>
            <w:tcW w:w="1941" w:type="dxa"/>
            <w:tcBorders>
              <w:tl2br w:val="nil"/>
              <w:tr2bl w:val="nil"/>
            </w:tcBorders>
            <w:noWrap w:val="0"/>
            <w:vAlign w:val="center"/>
          </w:tcPr>
          <w:p w14:paraId="6AE4C7BD">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rPr>
            </w:pPr>
            <w:r>
              <w:rPr>
                <w:rFonts w:hint="default" w:ascii="Times New Roman" w:hAnsi="Times New Roman" w:eastAsia="宋体" w:cs="Times New Roman"/>
                <w:i w:val="0"/>
                <w:iCs w:val="0"/>
                <w:color w:val="000000"/>
                <w:kern w:val="2"/>
                <w:sz w:val="21"/>
                <w:szCs w:val="21"/>
                <w:highlight w:val="none"/>
                <w:u w:val="none"/>
                <w:lang w:val="en-US" w:eastAsia="zh-CN" w:bidi="ar-SA"/>
              </w:rPr>
              <w:t>34.0235</w:t>
            </w:r>
          </w:p>
        </w:tc>
        <w:tc>
          <w:tcPr>
            <w:tcW w:w="1941" w:type="dxa"/>
            <w:tcBorders>
              <w:tl2br w:val="nil"/>
              <w:tr2bl w:val="nil"/>
            </w:tcBorders>
            <w:noWrap w:val="0"/>
            <w:vAlign w:val="center"/>
          </w:tcPr>
          <w:p w14:paraId="6F70A097">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kern w:val="2"/>
                <w:sz w:val="21"/>
                <w:szCs w:val="21"/>
                <w:highlight w:val="none"/>
                <w:u w:val="none"/>
                <w:lang w:val="en-US" w:eastAsia="zh-CN" w:bidi="ar-SA"/>
              </w:rPr>
            </w:pPr>
            <w:r>
              <w:rPr>
                <w:rFonts w:hint="default" w:ascii="Times New Roman" w:hAnsi="Times New Roman" w:eastAsia="宋体" w:cs="Times New Roman"/>
                <w:caps w:val="0"/>
                <w:smallCaps w:val="0"/>
                <w:kern w:val="2"/>
                <w:sz w:val="21"/>
                <w:szCs w:val="21"/>
                <w:highlight w:val="none"/>
                <w:u w:val="none"/>
                <w:lang w:val="en-US" w:eastAsia="zh-CN" w:bidi="ar-SA"/>
              </w:rPr>
              <w:t>35.1435</w:t>
            </w:r>
          </w:p>
        </w:tc>
        <w:tc>
          <w:tcPr>
            <w:tcW w:w="1138" w:type="pct"/>
            <w:tcBorders>
              <w:tl2br w:val="nil"/>
              <w:tr2bl w:val="nil"/>
            </w:tcBorders>
            <w:noWrap w:val="0"/>
            <w:vAlign w:val="center"/>
          </w:tcPr>
          <w:p w14:paraId="60CC1E04">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bidi="ar-SA"/>
              </w:rPr>
            </w:pPr>
            <w:r>
              <w:rPr>
                <w:rFonts w:hint="default" w:ascii="Times New Roman" w:hAnsi="Times New Roman" w:eastAsia="宋体" w:cs="Times New Roman"/>
                <w:sz w:val="21"/>
                <w:szCs w:val="21"/>
                <w:highlight w:val="none"/>
                <w:lang w:val="en-US" w:eastAsia="zh-CN"/>
              </w:rPr>
              <w:t>+1.12</w:t>
            </w:r>
          </w:p>
        </w:tc>
      </w:tr>
      <w:tr w14:paraId="459378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4" w:type="pct"/>
            <w:tcBorders>
              <w:tl2br w:val="nil"/>
              <w:tr2bl w:val="nil"/>
            </w:tcBorders>
            <w:noWrap w:val="0"/>
            <w:vAlign w:val="center"/>
          </w:tcPr>
          <w:p w14:paraId="2577CDB3">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rPr>
            </w:pPr>
            <w: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rPr>
              <w:t>其他</w:t>
            </w:r>
          </w:p>
        </w:tc>
        <w:tc>
          <w:tcPr>
            <w:tcW w:w="1941" w:type="dxa"/>
            <w:tcBorders>
              <w:tl2br w:val="nil"/>
              <w:tr2bl w:val="nil"/>
            </w:tcBorders>
            <w:noWrap w:val="0"/>
            <w:vAlign w:val="center"/>
          </w:tcPr>
          <w:p w14:paraId="6D1CE32C">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rPr>
            </w:pPr>
            <w:r>
              <w:rPr>
                <w:rFonts w:hint="default" w:ascii="Times New Roman" w:hAnsi="Times New Roman" w:eastAsia="宋体" w:cs="Times New Roman"/>
                <w:i w:val="0"/>
                <w:iCs w:val="0"/>
                <w:color w:val="000000"/>
                <w:kern w:val="2"/>
                <w:sz w:val="21"/>
                <w:szCs w:val="21"/>
                <w:highlight w:val="none"/>
                <w:u w:val="none"/>
                <w:lang w:val="en-US" w:eastAsia="zh-CN" w:bidi="ar-SA"/>
              </w:rPr>
              <w:t xml:space="preserve">0.3095 </w:t>
            </w:r>
          </w:p>
        </w:tc>
        <w:tc>
          <w:tcPr>
            <w:tcW w:w="1941" w:type="dxa"/>
            <w:tcBorders>
              <w:tl2br w:val="nil"/>
              <w:tr2bl w:val="nil"/>
            </w:tcBorders>
            <w:noWrap w:val="0"/>
            <w:vAlign w:val="center"/>
          </w:tcPr>
          <w:p w14:paraId="211D0567">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kern w:val="2"/>
                <w:sz w:val="21"/>
                <w:szCs w:val="21"/>
                <w:highlight w:val="none"/>
                <w:u w:val="none"/>
                <w:lang w:val="en-US" w:eastAsia="zh-CN" w:bidi="ar-SA"/>
              </w:rPr>
            </w:pPr>
            <w:r>
              <w:rPr>
                <w:rFonts w:hint="default" w:ascii="Times New Roman" w:hAnsi="Times New Roman" w:eastAsia="宋体" w:cs="Times New Roman"/>
                <w:i w:val="0"/>
                <w:iCs w:val="0"/>
                <w:color w:val="000000"/>
                <w:kern w:val="2"/>
                <w:sz w:val="21"/>
                <w:szCs w:val="21"/>
                <w:highlight w:val="none"/>
                <w:u w:val="none"/>
                <w:lang w:val="en-US" w:eastAsia="zh-CN" w:bidi="ar-SA"/>
              </w:rPr>
              <w:t>0.3095</w:t>
            </w:r>
          </w:p>
        </w:tc>
        <w:tc>
          <w:tcPr>
            <w:tcW w:w="1138" w:type="pct"/>
            <w:tcBorders>
              <w:tl2br w:val="nil"/>
              <w:tr2bl w:val="nil"/>
            </w:tcBorders>
            <w:noWrap w:val="0"/>
            <w:vAlign w:val="center"/>
          </w:tcPr>
          <w:p w14:paraId="784F0197">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bidi="ar-SA"/>
              </w:rPr>
            </w:pPr>
            <w:r>
              <w:rPr>
                <w:rFonts w:hint="default" w:ascii="Times New Roman" w:hAnsi="Times New Roman" w:eastAsia="宋体" w:cs="Times New Roman"/>
                <w:bCs/>
                <w:caps w:val="0"/>
                <w:smallCaps w:val="0"/>
                <w:snapToGrid/>
                <w:color w:val="auto"/>
                <w:spacing w:val="0"/>
                <w:kern w:val="0"/>
                <w:sz w:val="21"/>
                <w:szCs w:val="21"/>
                <w:highlight w:val="none"/>
                <w:u w:val="none"/>
                <w:lang w:val="en-US" w:eastAsia="zh-CN" w:bidi="ar-SA"/>
              </w:rPr>
              <w:t>/</w:t>
            </w:r>
          </w:p>
        </w:tc>
      </w:tr>
      <w:tr w14:paraId="7B5CA2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4" w:type="pct"/>
            <w:tcBorders>
              <w:tl2br w:val="nil"/>
              <w:tr2bl w:val="nil"/>
            </w:tcBorders>
            <w:noWrap w:val="0"/>
            <w:vAlign w:val="center"/>
          </w:tcPr>
          <w:p w14:paraId="2A03E9AE">
            <w:pPr>
              <w:keepNext w:val="0"/>
              <w:keepLines w:val="0"/>
              <w:widowControl/>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highlight w:val="none"/>
                <w:u w:val="none"/>
              </w:rPr>
            </w:pPr>
            <w:r>
              <w:rPr>
                <w:rFonts w:hint="default" w:ascii="Times New Roman" w:hAnsi="Times New Roman" w:eastAsia="宋体" w:cs="Times New Roman"/>
                <w:bCs/>
                <w:caps w:val="0"/>
                <w:smallCaps w:val="0"/>
                <w:snapToGrid/>
                <w:color w:val="auto"/>
                <w:spacing w:val="0"/>
                <w:kern w:val="0"/>
                <w:sz w:val="21"/>
                <w:szCs w:val="21"/>
                <w:highlight w:val="none"/>
                <w:u w:val="none"/>
              </w:rPr>
              <w:t>合计</w:t>
            </w:r>
          </w:p>
        </w:tc>
        <w:tc>
          <w:tcPr>
            <w:tcW w:w="1941" w:type="dxa"/>
            <w:tcBorders>
              <w:tl2br w:val="nil"/>
              <w:tr2bl w:val="nil"/>
            </w:tcBorders>
            <w:noWrap w:val="0"/>
            <w:vAlign w:val="center"/>
          </w:tcPr>
          <w:p w14:paraId="7DC9AAB7">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aps w:val="0"/>
                <w:smallCaps w:val="0"/>
                <w:sz w:val="21"/>
                <w:szCs w:val="21"/>
                <w:highlight w:val="none"/>
                <w:u w:val="none"/>
                <w:lang w:val="en-US" w:eastAsia="zh-CN"/>
              </w:rPr>
            </w:pPr>
            <w:r>
              <w:rPr>
                <w:rFonts w:hint="default" w:ascii="Times New Roman" w:hAnsi="Times New Roman" w:eastAsia="宋体" w:cs="Times New Roman"/>
                <w:i w:val="0"/>
                <w:iCs w:val="0"/>
                <w:color w:val="000000"/>
                <w:kern w:val="2"/>
                <w:sz w:val="21"/>
                <w:szCs w:val="21"/>
                <w:highlight w:val="none"/>
                <w:u w:val="none"/>
                <w:lang w:val="en-US" w:eastAsia="zh-CN" w:bidi="ar-SA"/>
              </w:rPr>
              <w:t>771.1454</w:t>
            </w:r>
          </w:p>
        </w:tc>
        <w:tc>
          <w:tcPr>
            <w:tcW w:w="1138" w:type="pct"/>
            <w:tcBorders>
              <w:tl2br w:val="nil"/>
              <w:tr2bl w:val="nil"/>
            </w:tcBorders>
            <w:noWrap w:val="0"/>
            <w:vAlign w:val="center"/>
          </w:tcPr>
          <w:p w14:paraId="0B94888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aps w:val="0"/>
                <w:smallCaps w:val="0"/>
                <w:sz w:val="21"/>
                <w:szCs w:val="21"/>
                <w:highlight w:val="none"/>
                <w:u w:val="none"/>
                <w:lang w:val="en-US" w:eastAsia="zh-CN"/>
              </w:rPr>
            </w:pPr>
            <w:r>
              <w:rPr>
                <w:rFonts w:hint="default" w:ascii="Times New Roman" w:hAnsi="Times New Roman" w:eastAsia="宋体" w:cs="Times New Roman"/>
                <w:i w:val="0"/>
                <w:iCs w:val="0"/>
                <w:color w:val="000000"/>
                <w:kern w:val="2"/>
                <w:sz w:val="21"/>
                <w:szCs w:val="21"/>
                <w:highlight w:val="none"/>
                <w:u w:val="none"/>
                <w:lang w:val="en-US" w:eastAsia="zh-CN" w:bidi="ar-SA"/>
              </w:rPr>
              <w:t>771.1454</w:t>
            </w:r>
          </w:p>
        </w:tc>
        <w:tc>
          <w:tcPr>
            <w:tcW w:w="1138" w:type="pct"/>
            <w:tcBorders>
              <w:tl2br w:val="nil"/>
              <w:tr2bl w:val="nil"/>
            </w:tcBorders>
            <w:noWrap w:val="0"/>
            <w:vAlign w:val="center"/>
          </w:tcPr>
          <w:p w14:paraId="6105A482">
            <w:pPr>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aps w:val="0"/>
                <w:smallCaps w:val="0"/>
                <w:kern w:val="2"/>
                <w:sz w:val="21"/>
                <w:szCs w:val="21"/>
                <w:highlight w:val="none"/>
                <w:u w:val="none"/>
                <w:lang w:val="en-US" w:eastAsia="zh-CN" w:bidi="ar-SA"/>
              </w:rPr>
            </w:pPr>
            <w:r>
              <w:rPr>
                <w:rFonts w:hint="default" w:ascii="Times New Roman" w:hAnsi="Times New Roman" w:eastAsia="宋体" w:cs="Times New Roman"/>
                <w:caps w:val="0"/>
                <w:smallCaps w:val="0"/>
                <w:kern w:val="2"/>
                <w:sz w:val="21"/>
                <w:szCs w:val="21"/>
                <w:highlight w:val="none"/>
                <w:u w:val="none"/>
                <w:lang w:val="en-US" w:eastAsia="zh-CN" w:bidi="ar-SA"/>
              </w:rPr>
              <w:t>/</w:t>
            </w:r>
          </w:p>
        </w:tc>
      </w:tr>
    </w:tbl>
    <w:p w14:paraId="118C5B4C">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本工程建设对评价区生态系统的不利影响主要有：</w:t>
      </w:r>
    </w:p>
    <w:p w14:paraId="0A1377B7">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1）占地：工程占地将直接占用自然生态系统面积，使系统中生产者减少，占地范围及附近区域的非生物环境发生改变，局部区域能量流动和物质循环能力降低，生态系统结构及功能退化。由于项目占地面积相对较小，其影响范围有限，对生态系统的地域连续性影响较小。</w:t>
      </w:r>
    </w:p>
    <w:p w14:paraId="0BA230D4">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2）施工活动：施工活动产生的弃渣、扬尘、噪声、生活垃圾等带来的污染，会直接或间接影响附近植物生境及动物的栖息环境，导致生态系统内原有的一些植物受到破坏，致使某些动物被迫迁移。由于工程占地区</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人为活动较多</w:t>
      </w:r>
      <w:r>
        <w:rPr>
          <w:rFonts w:hint="default" w:ascii="Times New Roman" w:hAnsi="Times New Roman" w:eastAsia="宋体" w:cs="Times New Roman"/>
          <w:caps w:val="0"/>
          <w:smallCaps w:val="0"/>
          <w:snapToGrid/>
          <w:color w:val="auto"/>
          <w:spacing w:val="0"/>
          <w:kern w:val="0"/>
          <w:sz w:val="24"/>
          <w:szCs w:val="24"/>
          <w:highlight w:val="none"/>
          <w:u w:val="none"/>
        </w:rPr>
        <w:t>，交通往来频繁，植被群系组成单一，动植物种类较少，个体的抵抗性和恢复能力强，因此工程施工活动不会造成物质和遗传信息交流的障碍。</w:t>
      </w:r>
    </w:p>
    <w:p w14:paraId="01912D51">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3）人为干扰：施工过程中，如管理不善，可能会对周围植被造成破坏，特别是对乔木的随意砍伐，造成林地建群种的损失，群落层次缺失，垂直结构发生改变，进而导致生境变化。此外，人为捕猎活动也会对周边动物种群数量及生境产生不利影响。因此，施工期间必须加强宣传教育活动、施工监理工作，尽量控制避免人为干扰。在相关措施得到落实后，人为干扰对生态系统的结构和功能影响较小。</w:t>
      </w:r>
    </w:p>
    <w:p w14:paraId="3162E264">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综上所述，本工程建设对评价区生态系统完整性和稳定性的影响较小，对其结构及功能的影响较小。且施工结束后，将采取一定的水土保持和植被恢复措施，并采取占补平衡的方式进行生态补偿。因此，在采取各种相关措施后，本工程建设对生态系统的影响较小。</w:t>
      </w:r>
    </w:p>
    <w:p w14:paraId="1B6A6E1D">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对生物量的影响</w:t>
      </w:r>
    </w:p>
    <w:p w14:paraId="2D71DCF6">
      <w:pPr>
        <w:keepNext w:val="0"/>
        <w:keepLines w:val="0"/>
        <w:pageBreakBefore w:val="0"/>
        <w:widowControl w:val="0"/>
        <w:tabs>
          <w:tab w:val="left" w:pos="1021"/>
          <w:tab w:val="left" w:pos="1320"/>
        </w:tabs>
        <w:kinsoku/>
        <w:wordWrap/>
        <w:overflowPunct/>
        <w:topLinePunct w:val="0"/>
        <w:autoSpaceDE/>
        <w:autoSpaceDN/>
        <w:bidi w:val="0"/>
        <w:adjustRightInd/>
        <w:snapToGrid/>
        <w:spacing w:line="336" w:lineRule="auto"/>
        <w:ind w:firstLine="480" w:firstLineChars="200"/>
        <w:jc w:val="both"/>
        <w:textAlignment w:val="auto"/>
        <w:rPr>
          <w:rFonts w:hint="default" w:ascii="Times New Roman" w:hAnsi="Times New Roman" w:eastAsia="宋体" w:cs="Times New Roman"/>
          <w:caps w:val="0"/>
          <w:smallCaps w:val="0"/>
          <w:color w:val="auto"/>
          <w:kern w:val="24"/>
          <w:sz w:val="24"/>
          <w:szCs w:val="24"/>
          <w:highlight w:val="none"/>
          <w:lang w:val="zh-CN" w:eastAsia="zh-CN" w:bidi="ar-SA"/>
        </w:rPr>
      </w:pPr>
      <w:r>
        <w:rPr>
          <w:rFonts w:hint="default" w:ascii="Times New Roman" w:hAnsi="Times New Roman" w:eastAsia="宋体" w:cs="Times New Roman"/>
          <w:color w:val="000000"/>
          <w:kern w:val="24"/>
          <w:sz w:val="24"/>
          <w:szCs w:val="24"/>
          <w:highlight w:val="none"/>
          <w:lang w:val="zh-CN" w:eastAsia="zh-CN" w:bidi="ar-SA"/>
        </w:rPr>
        <w:t>工程建设完成后，评价区的生态类型面积和生物量发生变化，具体变化情况见下表。</w:t>
      </w:r>
    </w:p>
    <w:p w14:paraId="1C4A6403">
      <w:pPr>
        <w:bidi w:val="0"/>
        <w:jc w:val="center"/>
        <w:rPr>
          <w:rFonts w:hint="default" w:ascii="Times New Roman" w:hAnsi="Times New Roman" w:eastAsia="宋体" w:cs="Times New Roman"/>
          <w:b/>
          <w:bCs/>
        </w:rPr>
      </w:pPr>
      <w:r>
        <w:rPr>
          <w:rFonts w:hint="default" w:ascii="Times New Roman" w:hAnsi="Times New Roman" w:eastAsia="宋体" w:cs="Times New Roman"/>
          <w:b/>
          <w:bCs/>
          <w:lang w:eastAsia="zh-CN"/>
        </w:rPr>
        <w:t>表</w:t>
      </w:r>
      <w:r>
        <w:rPr>
          <w:rFonts w:hint="eastAsia" w:ascii="Times New Roman" w:hAnsi="Times New Roman" w:eastAsia="宋体" w:cs="Times New Roman"/>
          <w:b/>
          <w:bCs/>
          <w:lang w:val="en-US" w:eastAsia="zh-CN"/>
        </w:rPr>
        <w:t>4.2</w:t>
      </w:r>
      <w:r>
        <w:rPr>
          <w:rFonts w:hint="default" w:ascii="Times New Roman" w:hAnsi="Times New Roman" w:eastAsia="宋体" w:cs="Times New Roman"/>
          <w:b/>
          <w:bCs/>
          <w:lang w:eastAsia="zh-CN"/>
        </w:rPr>
        <w:t>-</w:t>
      </w:r>
      <w:r>
        <w:rPr>
          <w:rFonts w:hint="eastAsia" w:ascii="Times New Roman" w:hAnsi="Times New Roman" w:eastAsia="宋体" w:cs="Times New Roman"/>
          <w:b/>
          <w:bCs/>
          <w:lang w:val="en-US" w:eastAsia="zh-CN"/>
        </w:rPr>
        <w:t xml:space="preserve">9 </w:t>
      </w:r>
      <w:r>
        <w:rPr>
          <w:rFonts w:hint="default" w:ascii="Times New Roman" w:hAnsi="Times New Roman" w:eastAsia="宋体" w:cs="Times New Roman"/>
          <w:b/>
          <w:bCs/>
          <w:lang w:val="en-US" w:eastAsia="zh-CN"/>
        </w:rPr>
        <w:t xml:space="preserve"> </w:t>
      </w:r>
      <w:r>
        <w:rPr>
          <w:rFonts w:hint="default" w:ascii="Times New Roman" w:hAnsi="Times New Roman" w:eastAsia="宋体" w:cs="Times New Roman"/>
          <w:b/>
          <w:bCs/>
        </w:rPr>
        <w:t>工程占地区生物量损失统计表（单位：t）</w:t>
      </w:r>
    </w:p>
    <w:tbl>
      <w:tblPr>
        <w:tblStyle w:val="39"/>
        <w:tblW w:w="907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2043"/>
        <w:gridCol w:w="2525"/>
        <w:gridCol w:w="2246"/>
        <w:gridCol w:w="2255"/>
        <w:gridCol w:w="5"/>
      </w:tblGrid>
      <w:tr w14:paraId="7C006A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43" w:type="dxa"/>
            <w:tcBorders>
              <w:tl2br w:val="nil"/>
              <w:tr2bl w:val="nil"/>
            </w:tcBorders>
            <w:noWrap w:val="0"/>
            <w:vAlign w:val="center"/>
          </w:tcPr>
          <w:p w14:paraId="68C32CF3">
            <w:pPr>
              <w:keepNext w:val="0"/>
              <w:keepLines w:val="0"/>
              <w:widowControl/>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kern w:val="0"/>
                <w:sz w:val="21"/>
                <w:szCs w:val="21"/>
                <w:highlight w:val="none"/>
                <w:u w:val="none"/>
              </w:rPr>
            </w:pPr>
            <w:r>
              <w:rPr>
                <w:rFonts w:hint="default" w:ascii="Times New Roman" w:hAnsi="Times New Roman" w:eastAsia="宋体" w:cs="Times New Roman"/>
                <w:b/>
                <w:bCs/>
                <w:caps w:val="0"/>
                <w:smallCaps w:val="0"/>
                <w:kern w:val="0"/>
                <w:sz w:val="21"/>
                <w:szCs w:val="21"/>
                <w:highlight w:val="none"/>
                <w:u w:val="none"/>
              </w:rPr>
              <w:t>类型</w:t>
            </w:r>
          </w:p>
        </w:tc>
        <w:tc>
          <w:tcPr>
            <w:tcW w:w="2525" w:type="dxa"/>
            <w:tcBorders>
              <w:tl2br w:val="nil"/>
              <w:tr2bl w:val="nil"/>
            </w:tcBorders>
            <w:noWrap w:val="0"/>
            <w:vAlign w:val="center"/>
          </w:tcPr>
          <w:p w14:paraId="42642EE6">
            <w:pPr>
              <w:keepNext w:val="0"/>
              <w:keepLines w:val="0"/>
              <w:widowControl/>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kern w:val="0"/>
                <w:sz w:val="21"/>
                <w:szCs w:val="21"/>
                <w:highlight w:val="none"/>
                <w:u w:val="none"/>
                <w:lang w:val="en-US" w:eastAsia="zh-CN"/>
              </w:rPr>
            </w:pPr>
            <w:r>
              <w:rPr>
                <w:rFonts w:hint="default" w:ascii="Times New Roman" w:hAnsi="Times New Roman" w:eastAsia="宋体" w:cs="Times New Roman"/>
                <w:b/>
                <w:bCs/>
                <w:caps w:val="0"/>
                <w:smallCaps w:val="0"/>
                <w:kern w:val="0"/>
                <w:sz w:val="21"/>
                <w:szCs w:val="21"/>
                <w:highlight w:val="none"/>
                <w:u w:val="none"/>
                <w:lang w:val="en-US" w:eastAsia="zh-CN"/>
              </w:rPr>
              <w:t>评价区生物量</w:t>
            </w:r>
          </w:p>
        </w:tc>
        <w:tc>
          <w:tcPr>
            <w:tcW w:w="2246" w:type="dxa"/>
            <w:tcBorders>
              <w:tl2br w:val="nil"/>
              <w:tr2bl w:val="nil"/>
            </w:tcBorders>
            <w:noWrap w:val="0"/>
            <w:vAlign w:val="center"/>
          </w:tcPr>
          <w:p w14:paraId="6153A50C">
            <w:pPr>
              <w:keepNext w:val="0"/>
              <w:keepLines w:val="0"/>
              <w:widowControl/>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kern w:val="0"/>
                <w:sz w:val="21"/>
                <w:szCs w:val="21"/>
                <w:highlight w:val="none"/>
                <w:u w:val="none"/>
              </w:rPr>
            </w:pPr>
            <w:r>
              <w:rPr>
                <w:rFonts w:hint="default" w:ascii="Times New Roman" w:hAnsi="Times New Roman" w:eastAsia="宋体" w:cs="Times New Roman"/>
                <w:b/>
                <w:bCs/>
                <w:caps w:val="0"/>
                <w:smallCaps w:val="0"/>
                <w:kern w:val="0"/>
                <w:sz w:val="21"/>
                <w:szCs w:val="21"/>
                <w:highlight w:val="none"/>
                <w:u w:val="none"/>
              </w:rPr>
              <w:t>损失量t</w:t>
            </w:r>
          </w:p>
        </w:tc>
        <w:tc>
          <w:tcPr>
            <w:tcW w:w="2260" w:type="dxa"/>
            <w:gridSpan w:val="2"/>
            <w:tcBorders>
              <w:tl2br w:val="nil"/>
              <w:tr2bl w:val="nil"/>
            </w:tcBorders>
            <w:noWrap w:val="0"/>
            <w:vAlign w:val="center"/>
          </w:tcPr>
          <w:p w14:paraId="05149F80">
            <w:pPr>
              <w:keepNext w:val="0"/>
              <w:keepLines w:val="0"/>
              <w:widowControl/>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aps w:val="0"/>
                <w:smallCaps w:val="0"/>
                <w:kern w:val="0"/>
                <w:sz w:val="21"/>
                <w:szCs w:val="21"/>
                <w:highlight w:val="none"/>
                <w:u w:val="none"/>
                <w:lang w:val="en-US" w:eastAsia="zh-CN"/>
              </w:rPr>
            </w:pPr>
            <w:r>
              <w:rPr>
                <w:rFonts w:hint="default" w:ascii="Times New Roman" w:hAnsi="Times New Roman" w:eastAsia="宋体" w:cs="Times New Roman"/>
                <w:b/>
                <w:bCs/>
                <w:caps w:val="0"/>
                <w:smallCaps w:val="0"/>
                <w:kern w:val="0"/>
                <w:sz w:val="21"/>
                <w:szCs w:val="21"/>
                <w:highlight w:val="none"/>
                <w:u w:val="none"/>
                <w:lang w:val="en-US" w:eastAsia="zh-CN"/>
              </w:rPr>
              <w:t>占比（%）</w:t>
            </w:r>
          </w:p>
        </w:tc>
      </w:tr>
      <w:tr w14:paraId="346ED1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5" w:type="dxa"/>
          <w:trHeight w:val="397" w:hRule="atLeast"/>
          <w:jc w:val="center"/>
        </w:trPr>
        <w:tc>
          <w:tcPr>
            <w:tcW w:w="2043" w:type="dxa"/>
            <w:tcBorders>
              <w:tl2br w:val="nil"/>
              <w:tr2bl w:val="nil"/>
            </w:tcBorders>
            <w:noWrap w:val="0"/>
            <w:vAlign w:val="center"/>
          </w:tcPr>
          <w:p w14:paraId="145882A1">
            <w:pPr>
              <w:keepNext w:val="0"/>
              <w:keepLines w:val="0"/>
              <w:widowControl/>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kern w:val="0"/>
                <w:sz w:val="21"/>
                <w:szCs w:val="21"/>
                <w:highlight w:val="none"/>
                <w:u w:val="none"/>
              </w:rPr>
            </w:pPr>
            <w:r>
              <w:rPr>
                <w:rFonts w:hint="default" w:ascii="Times New Roman" w:hAnsi="Times New Roman" w:eastAsia="宋体" w:cs="Times New Roman"/>
                <w:bCs/>
                <w:caps w:val="0"/>
                <w:smallCaps w:val="0"/>
                <w:kern w:val="0"/>
                <w:sz w:val="21"/>
                <w:szCs w:val="21"/>
                <w:highlight w:val="none"/>
                <w:u w:val="none"/>
                <w:lang w:val="en-US" w:eastAsia="zh-CN"/>
              </w:rPr>
              <w:t>农作物</w:t>
            </w:r>
          </w:p>
        </w:tc>
        <w:tc>
          <w:tcPr>
            <w:tcW w:w="2525" w:type="dxa"/>
            <w:tcBorders>
              <w:tl2br w:val="nil"/>
              <w:tr2bl w:val="nil"/>
            </w:tcBorders>
            <w:noWrap w:val="0"/>
            <w:vAlign w:val="center"/>
          </w:tcPr>
          <w:p w14:paraId="2E958D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napToGrid/>
                <w:color w:val="auto"/>
                <w:spacing w:val="0"/>
                <w:kern w:val="0"/>
                <w:sz w:val="21"/>
                <w:szCs w:val="21"/>
                <w:highlight w:val="none"/>
                <w:u w:val="none"/>
                <w:lang w:val="en-US" w:eastAsia="zh-CN" w:bidi="ar-SA"/>
              </w:rPr>
            </w:pPr>
            <w:r>
              <w:rPr>
                <w:rFonts w:hint="default" w:ascii="Times New Roman" w:hAnsi="Times New Roman" w:eastAsia="宋体" w:cs="Times New Roman"/>
                <w:caps w:val="0"/>
                <w:smallCaps w:val="0"/>
                <w:sz w:val="21"/>
                <w:szCs w:val="21"/>
                <w:highlight w:val="none"/>
                <w:lang w:val="en-US" w:eastAsia="zh-CN"/>
              </w:rPr>
              <w:t>1433.57</w:t>
            </w:r>
          </w:p>
        </w:tc>
        <w:tc>
          <w:tcPr>
            <w:tcW w:w="2246" w:type="dxa"/>
            <w:tcBorders>
              <w:tl2br w:val="nil"/>
              <w:tr2bl w:val="nil"/>
            </w:tcBorders>
            <w:noWrap w:val="0"/>
            <w:vAlign w:val="center"/>
          </w:tcPr>
          <w:p w14:paraId="0A6CB218">
            <w:pPr>
              <w:keepNext w:val="0"/>
              <w:keepLines w:val="0"/>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kern w:val="0"/>
                <w:sz w:val="21"/>
                <w:szCs w:val="21"/>
                <w:highlight w:val="none"/>
                <w:u w:val="none"/>
                <w:lang w:val="en-US" w:eastAsia="zh-CN"/>
              </w:rPr>
            </w:pPr>
            <w:r>
              <w:rPr>
                <w:rFonts w:hint="default" w:ascii="Times New Roman" w:hAnsi="Times New Roman" w:eastAsia="宋体" w:cs="Times New Roman"/>
                <w:bCs/>
                <w:caps w:val="0"/>
                <w:smallCaps w:val="0"/>
                <w:kern w:val="0"/>
                <w:sz w:val="21"/>
                <w:szCs w:val="21"/>
                <w:highlight w:val="none"/>
                <w:u w:val="none"/>
                <w:lang w:val="en-US" w:eastAsia="zh-CN"/>
              </w:rPr>
              <w:t>/</w:t>
            </w:r>
          </w:p>
        </w:tc>
        <w:tc>
          <w:tcPr>
            <w:tcW w:w="2255" w:type="dxa"/>
            <w:tcBorders>
              <w:tl2br w:val="nil"/>
              <w:tr2bl w:val="nil"/>
            </w:tcBorders>
            <w:noWrap w:val="0"/>
            <w:vAlign w:val="center"/>
          </w:tcPr>
          <w:p w14:paraId="487F061E">
            <w:pPr>
              <w:keepNext w:val="0"/>
              <w:keepLines w:val="0"/>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kern w:val="0"/>
                <w:sz w:val="21"/>
                <w:szCs w:val="21"/>
                <w:highlight w:val="none"/>
                <w:u w:val="none"/>
                <w:lang w:val="en-US" w:eastAsia="zh-CN"/>
              </w:rPr>
            </w:pPr>
            <w:r>
              <w:rPr>
                <w:rFonts w:hint="default" w:ascii="Times New Roman" w:hAnsi="Times New Roman" w:eastAsia="宋体" w:cs="Times New Roman"/>
                <w:bCs/>
                <w:caps w:val="0"/>
                <w:smallCaps w:val="0"/>
                <w:kern w:val="0"/>
                <w:sz w:val="21"/>
                <w:szCs w:val="21"/>
                <w:highlight w:val="none"/>
                <w:u w:val="none"/>
                <w:lang w:val="en-US" w:eastAsia="zh-CN"/>
              </w:rPr>
              <w:t>/</w:t>
            </w:r>
          </w:p>
        </w:tc>
      </w:tr>
      <w:tr w14:paraId="2DCFB3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5" w:type="dxa"/>
          <w:trHeight w:val="397" w:hRule="atLeast"/>
          <w:jc w:val="center"/>
        </w:trPr>
        <w:tc>
          <w:tcPr>
            <w:tcW w:w="2043" w:type="dxa"/>
            <w:tcBorders>
              <w:tl2br w:val="nil"/>
              <w:tr2bl w:val="nil"/>
            </w:tcBorders>
            <w:noWrap w:val="0"/>
            <w:vAlign w:val="center"/>
          </w:tcPr>
          <w:p w14:paraId="581808B1">
            <w:pPr>
              <w:keepNext w:val="0"/>
              <w:keepLines w:val="0"/>
              <w:widowControl/>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kern w:val="0"/>
                <w:sz w:val="21"/>
                <w:szCs w:val="21"/>
                <w:highlight w:val="none"/>
                <w:u w:val="none"/>
                <w:lang w:val="en-US" w:eastAsia="zh-CN"/>
              </w:rPr>
            </w:pPr>
            <w:r>
              <w:rPr>
                <w:rFonts w:hint="default" w:ascii="Times New Roman" w:hAnsi="Times New Roman" w:eastAsia="宋体" w:cs="Times New Roman"/>
                <w:bCs/>
                <w:caps w:val="0"/>
                <w:smallCaps w:val="0"/>
                <w:kern w:val="0"/>
                <w:sz w:val="21"/>
                <w:szCs w:val="21"/>
                <w:highlight w:val="none"/>
                <w:u w:val="none"/>
                <w:lang w:val="en-US" w:eastAsia="zh-CN"/>
              </w:rPr>
              <w:t>阔叶林</w:t>
            </w:r>
          </w:p>
        </w:tc>
        <w:tc>
          <w:tcPr>
            <w:tcW w:w="2525" w:type="dxa"/>
            <w:tcBorders>
              <w:tl2br w:val="nil"/>
              <w:tr2bl w:val="nil"/>
            </w:tcBorders>
            <w:noWrap w:val="0"/>
            <w:vAlign w:val="center"/>
          </w:tcPr>
          <w:p w14:paraId="6F3AD5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highlight w:val="none"/>
                <w:lang w:val="en-US" w:eastAsia="zh-CN"/>
              </w:rPr>
            </w:pPr>
            <w:r>
              <w:rPr>
                <w:rFonts w:hint="default" w:ascii="Times New Roman" w:hAnsi="Times New Roman" w:eastAsia="宋体" w:cs="Times New Roman"/>
                <w:caps w:val="0"/>
                <w:smallCaps w:val="0"/>
                <w:sz w:val="21"/>
                <w:szCs w:val="21"/>
                <w:highlight w:val="none"/>
                <w:lang w:val="en-US" w:eastAsia="zh-CN"/>
              </w:rPr>
              <w:t>23663.15</w:t>
            </w:r>
          </w:p>
        </w:tc>
        <w:tc>
          <w:tcPr>
            <w:tcW w:w="2246" w:type="dxa"/>
            <w:tcBorders>
              <w:tl2br w:val="nil"/>
              <w:tr2bl w:val="nil"/>
            </w:tcBorders>
            <w:noWrap w:val="0"/>
            <w:vAlign w:val="center"/>
          </w:tcPr>
          <w:p w14:paraId="255F097C">
            <w:pPr>
              <w:keepNext w:val="0"/>
              <w:keepLines w:val="0"/>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kern w:val="0"/>
                <w:sz w:val="21"/>
                <w:szCs w:val="21"/>
                <w:highlight w:val="none"/>
                <w:u w:val="none"/>
                <w:lang w:val="en-US" w:eastAsia="zh-CN"/>
              </w:rPr>
            </w:pPr>
            <w:r>
              <w:rPr>
                <w:rFonts w:hint="default" w:ascii="Times New Roman" w:hAnsi="Times New Roman" w:eastAsia="宋体" w:cs="Times New Roman"/>
                <w:bCs/>
                <w:caps w:val="0"/>
                <w:smallCaps w:val="0"/>
                <w:kern w:val="0"/>
                <w:sz w:val="21"/>
                <w:szCs w:val="21"/>
                <w:highlight w:val="none"/>
                <w:u w:val="none"/>
                <w:lang w:val="en-US" w:eastAsia="zh-CN"/>
              </w:rPr>
              <w:t>/</w:t>
            </w:r>
          </w:p>
        </w:tc>
        <w:tc>
          <w:tcPr>
            <w:tcW w:w="2255" w:type="dxa"/>
            <w:tcBorders>
              <w:tl2br w:val="nil"/>
              <w:tr2bl w:val="nil"/>
            </w:tcBorders>
            <w:noWrap w:val="0"/>
            <w:vAlign w:val="center"/>
          </w:tcPr>
          <w:p w14:paraId="2290EC59">
            <w:pPr>
              <w:keepNext w:val="0"/>
              <w:keepLines w:val="0"/>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kern w:val="0"/>
                <w:sz w:val="21"/>
                <w:szCs w:val="21"/>
                <w:highlight w:val="none"/>
                <w:u w:val="none"/>
                <w:lang w:val="en-US" w:eastAsia="zh-CN"/>
              </w:rPr>
            </w:pPr>
            <w:r>
              <w:rPr>
                <w:rFonts w:hint="default" w:ascii="Times New Roman" w:hAnsi="Times New Roman" w:eastAsia="宋体" w:cs="Times New Roman"/>
                <w:bCs/>
                <w:caps w:val="0"/>
                <w:smallCaps w:val="0"/>
                <w:kern w:val="0"/>
                <w:sz w:val="21"/>
                <w:szCs w:val="21"/>
                <w:highlight w:val="none"/>
                <w:u w:val="none"/>
                <w:lang w:val="en-US" w:eastAsia="zh-CN"/>
              </w:rPr>
              <w:t>/</w:t>
            </w:r>
          </w:p>
        </w:tc>
      </w:tr>
      <w:tr w14:paraId="59DEF2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5" w:type="dxa"/>
          <w:trHeight w:val="397" w:hRule="atLeast"/>
          <w:jc w:val="center"/>
        </w:trPr>
        <w:tc>
          <w:tcPr>
            <w:tcW w:w="2043" w:type="dxa"/>
            <w:tcBorders>
              <w:tl2br w:val="nil"/>
              <w:tr2bl w:val="nil"/>
            </w:tcBorders>
            <w:noWrap w:val="0"/>
            <w:vAlign w:val="center"/>
          </w:tcPr>
          <w:p w14:paraId="6A549B1A">
            <w:pPr>
              <w:keepNext w:val="0"/>
              <w:keepLines w:val="0"/>
              <w:widowControl/>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kern w:val="0"/>
                <w:sz w:val="21"/>
                <w:szCs w:val="21"/>
                <w:highlight w:val="none"/>
                <w:u w:val="none"/>
                <w:lang w:val="en-US" w:eastAsia="zh-CN"/>
              </w:rPr>
            </w:pPr>
            <w:r>
              <w:rPr>
                <w:rFonts w:hint="default" w:ascii="Times New Roman" w:hAnsi="Times New Roman" w:eastAsia="宋体" w:cs="Times New Roman"/>
                <w:bCs/>
                <w:caps w:val="0"/>
                <w:smallCaps w:val="0"/>
                <w:kern w:val="0"/>
                <w:sz w:val="21"/>
                <w:szCs w:val="21"/>
                <w:highlight w:val="none"/>
                <w:u w:val="none"/>
                <w:lang w:val="en-US" w:eastAsia="zh-CN"/>
              </w:rPr>
              <w:t>竹林</w:t>
            </w:r>
          </w:p>
        </w:tc>
        <w:tc>
          <w:tcPr>
            <w:tcW w:w="2525" w:type="dxa"/>
            <w:tcBorders>
              <w:tl2br w:val="nil"/>
              <w:tr2bl w:val="nil"/>
            </w:tcBorders>
            <w:noWrap w:val="0"/>
            <w:vAlign w:val="center"/>
          </w:tcPr>
          <w:p w14:paraId="4EBD66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z w:val="21"/>
                <w:szCs w:val="21"/>
                <w:highlight w:val="none"/>
                <w:lang w:val="en-US" w:eastAsia="zh-CN"/>
              </w:rPr>
            </w:pPr>
            <w:r>
              <w:rPr>
                <w:rFonts w:hint="default" w:ascii="Times New Roman" w:hAnsi="Times New Roman" w:eastAsia="宋体" w:cs="Times New Roman"/>
                <w:caps w:val="0"/>
                <w:smallCaps w:val="0"/>
                <w:sz w:val="21"/>
                <w:szCs w:val="21"/>
                <w:highlight w:val="none"/>
                <w:lang w:val="en-US" w:eastAsia="zh-CN"/>
              </w:rPr>
              <w:t>3811.66</w:t>
            </w:r>
          </w:p>
        </w:tc>
        <w:tc>
          <w:tcPr>
            <w:tcW w:w="2246" w:type="dxa"/>
            <w:tcBorders>
              <w:tl2br w:val="nil"/>
              <w:tr2bl w:val="nil"/>
            </w:tcBorders>
            <w:noWrap w:val="0"/>
            <w:vAlign w:val="center"/>
          </w:tcPr>
          <w:p w14:paraId="7F9A9428">
            <w:pPr>
              <w:keepNext w:val="0"/>
              <w:keepLines w:val="0"/>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kern w:val="0"/>
                <w:sz w:val="21"/>
                <w:szCs w:val="21"/>
                <w:highlight w:val="none"/>
                <w:u w:val="none"/>
                <w:lang w:val="en-US" w:eastAsia="zh-CN"/>
              </w:rPr>
            </w:pPr>
            <w:r>
              <w:rPr>
                <w:rFonts w:hint="default" w:ascii="Times New Roman" w:hAnsi="Times New Roman" w:eastAsia="宋体" w:cs="Times New Roman"/>
                <w:bCs/>
                <w:caps w:val="0"/>
                <w:smallCaps w:val="0"/>
                <w:kern w:val="0"/>
                <w:sz w:val="21"/>
                <w:szCs w:val="21"/>
                <w:highlight w:val="none"/>
                <w:u w:val="none"/>
                <w:lang w:val="en-US" w:eastAsia="zh-CN"/>
              </w:rPr>
              <w:t>/</w:t>
            </w:r>
          </w:p>
        </w:tc>
        <w:tc>
          <w:tcPr>
            <w:tcW w:w="2255" w:type="dxa"/>
            <w:tcBorders>
              <w:tl2br w:val="nil"/>
              <w:tr2bl w:val="nil"/>
            </w:tcBorders>
            <w:noWrap w:val="0"/>
            <w:vAlign w:val="center"/>
          </w:tcPr>
          <w:p w14:paraId="217F1155">
            <w:pPr>
              <w:keepNext w:val="0"/>
              <w:keepLines w:val="0"/>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kern w:val="0"/>
                <w:sz w:val="21"/>
                <w:szCs w:val="21"/>
                <w:highlight w:val="none"/>
                <w:u w:val="none"/>
                <w:lang w:val="en-US" w:eastAsia="zh-CN"/>
              </w:rPr>
            </w:pPr>
            <w:r>
              <w:rPr>
                <w:rFonts w:hint="default" w:ascii="Times New Roman" w:hAnsi="Times New Roman" w:eastAsia="宋体" w:cs="Times New Roman"/>
                <w:bCs/>
                <w:caps w:val="0"/>
                <w:smallCaps w:val="0"/>
                <w:kern w:val="0"/>
                <w:sz w:val="21"/>
                <w:szCs w:val="21"/>
                <w:highlight w:val="none"/>
                <w:u w:val="none"/>
                <w:lang w:val="en-US" w:eastAsia="zh-CN"/>
              </w:rPr>
              <w:t>/</w:t>
            </w:r>
          </w:p>
        </w:tc>
      </w:tr>
      <w:tr w14:paraId="3BCE18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5" w:type="dxa"/>
          <w:trHeight w:val="397" w:hRule="atLeast"/>
          <w:jc w:val="center"/>
        </w:trPr>
        <w:tc>
          <w:tcPr>
            <w:tcW w:w="2043" w:type="dxa"/>
            <w:tcBorders>
              <w:tl2br w:val="nil"/>
              <w:tr2bl w:val="nil"/>
            </w:tcBorders>
            <w:noWrap w:val="0"/>
            <w:vAlign w:val="center"/>
          </w:tcPr>
          <w:p w14:paraId="7875CC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kern w:val="0"/>
                <w:sz w:val="21"/>
                <w:szCs w:val="21"/>
                <w:highlight w:val="none"/>
                <w:u w:val="none"/>
                <w:lang w:val="en-US" w:eastAsia="zh-CN" w:bidi="ar-SA"/>
              </w:rPr>
            </w:pPr>
            <w:r>
              <w:rPr>
                <w:rFonts w:hint="default" w:ascii="Times New Roman" w:hAnsi="Times New Roman" w:eastAsia="宋体" w:cs="Times New Roman"/>
                <w:caps w:val="0"/>
                <w:smallCaps w:val="0"/>
                <w:snapToGrid/>
                <w:color w:val="auto"/>
                <w:spacing w:val="0"/>
                <w:kern w:val="0"/>
                <w:sz w:val="21"/>
                <w:szCs w:val="21"/>
                <w:highlight w:val="none"/>
                <w:u w:val="none"/>
                <w:lang w:val="en-US" w:eastAsia="zh-CN" w:bidi="ar-SA"/>
              </w:rPr>
              <w:t>灌丛</w:t>
            </w:r>
          </w:p>
        </w:tc>
        <w:tc>
          <w:tcPr>
            <w:tcW w:w="2525" w:type="dxa"/>
            <w:tcBorders>
              <w:tl2br w:val="nil"/>
              <w:tr2bl w:val="nil"/>
            </w:tcBorders>
            <w:noWrap w:val="0"/>
            <w:vAlign w:val="center"/>
          </w:tcPr>
          <w:p w14:paraId="2F8494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napToGrid/>
                <w:color w:val="auto"/>
                <w:spacing w:val="0"/>
                <w:kern w:val="0"/>
                <w:sz w:val="21"/>
                <w:szCs w:val="21"/>
                <w:highlight w:val="none"/>
                <w:u w:val="none"/>
                <w:lang w:val="en-US" w:eastAsia="zh-CN" w:bidi="ar-SA"/>
              </w:rPr>
            </w:pPr>
            <w:r>
              <w:rPr>
                <w:rFonts w:hint="default" w:ascii="Times New Roman" w:hAnsi="Times New Roman" w:eastAsia="宋体" w:cs="Times New Roman"/>
                <w:caps w:val="0"/>
                <w:smallCaps w:val="0"/>
                <w:sz w:val="21"/>
                <w:szCs w:val="21"/>
                <w:highlight w:val="none"/>
                <w:lang w:val="en-US" w:eastAsia="zh-CN"/>
              </w:rPr>
              <w:t>1819.21</w:t>
            </w:r>
          </w:p>
        </w:tc>
        <w:tc>
          <w:tcPr>
            <w:tcW w:w="2246" w:type="dxa"/>
            <w:tcBorders>
              <w:tl2br w:val="nil"/>
              <w:tr2bl w:val="nil"/>
            </w:tcBorders>
            <w:noWrap w:val="0"/>
            <w:vAlign w:val="center"/>
          </w:tcPr>
          <w:p w14:paraId="38473D44">
            <w:pPr>
              <w:keepNext w:val="0"/>
              <w:keepLines w:val="0"/>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kern w:val="0"/>
                <w:sz w:val="21"/>
                <w:szCs w:val="21"/>
                <w:highlight w:val="none"/>
                <w:u w:val="none"/>
                <w:lang w:val="en-US" w:eastAsia="zh-CN"/>
              </w:rPr>
            </w:pPr>
            <w:r>
              <w:rPr>
                <w:rFonts w:hint="default" w:ascii="Times New Roman" w:hAnsi="Times New Roman" w:eastAsia="宋体" w:cs="Times New Roman"/>
                <w:bCs/>
                <w:caps w:val="0"/>
                <w:smallCaps w:val="0"/>
                <w:kern w:val="0"/>
                <w:sz w:val="21"/>
                <w:szCs w:val="21"/>
                <w:highlight w:val="none"/>
                <w:u w:val="none"/>
                <w:lang w:val="en-US" w:eastAsia="zh-CN"/>
              </w:rPr>
              <w:t>1.78</w:t>
            </w:r>
          </w:p>
        </w:tc>
        <w:tc>
          <w:tcPr>
            <w:tcW w:w="2255" w:type="dxa"/>
            <w:tcBorders>
              <w:tl2br w:val="nil"/>
              <w:tr2bl w:val="nil"/>
            </w:tcBorders>
            <w:noWrap w:val="0"/>
            <w:vAlign w:val="center"/>
          </w:tcPr>
          <w:p w14:paraId="72D225D9">
            <w:pPr>
              <w:keepNext w:val="0"/>
              <w:keepLines w:val="0"/>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kern w:val="0"/>
                <w:sz w:val="21"/>
                <w:szCs w:val="21"/>
                <w:highlight w:val="none"/>
                <w:u w:val="none"/>
                <w:lang w:val="en-US" w:eastAsia="zh-CN"/>
              </w:rPr>
            </w:pPr>
            <w:r>
              <w:rPr>
                <w:rFonts w:hint="default" w:ascii="Times New Roman" w:hAnsi="Times New Roman" w:eastAsia="宋体" w:cs="Times New Roman"/>
                <w:bCs/>
                <w:caps w:val="0"/>
                <w:smallCaps w:val="0"/>
                <w:kern w:val="0"/>
                <w:sz w:val="21"/>
                <w:szCs w:val="21"/>
                <w:highlight w:val="none"/>
                <w:u w:val="none"/>
                <w:lang w:val="en-US" w:eastAsia="zh-CN"/>
              </w:rPr>
              <w:t>0.10</w:t>
            </w:r>
          </w:p>
        </w:tc>
      </w:tr>
      <w:tr w14:paraId="4A11D9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5" w:type="dxa"/>
          <w:trHeight w:val="397" w:hRule="atLeast"/>
          <w:jc w:val="center"/>
        </w:trPr>
        <w:tc>
          <w:tcPr>
            <w:tcW w:w="2043" w:type="dxa"/>
            <w:tcBorders>
              <w:tl2br w:val="nil"/>
              <w:tr2bl w:val="nil"/>
            </w:tcBorders>
            <w:noWrap w:val="0"/>
            <w:vAlign w:val="center"/>
          </w:tcPr>
          <w:p w14:paraId="6C78AC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contextualSpacing/>
              <w:jc w:val="center"/>
              <w:rPr>
                <w:rFonts w:hint="default" w:ascii="Times New Roman" w:hAnsi="Times New Roman" w:eastAsia="宋体" w:cs="Times New Roman"/>
                <w:bCs/>
                <w:caps w:val="0"/>
                <w:smallCaps w:val="0"/>
                <w:kern w:val="0"/>
                <w:sz w:val="21"/>
                <w:szCs w:val="21"/>
                <w:highlight w:val="none"/>
                <w:u w:val="none"/>
                <w:lang w:val="en-US" w:eastAsia="zh-CN" w:bidi="ar-SA"/>
              </w:rPr>
            </w:pPr>
            <w:r>
              <w:rPr>
                <w:rFonts w:hint="default" w:ascii="Times New Roman" w:hAnsi="Times New Roman" w:eastAsia="宋体" w:cs="Times New Roman"/>
                <w:caps w:val="0"/>
                <w:smallCaps w:val="0"/>
                <w:snapToGrid/>
                <w:color w:val="auto"/>
                <w:spacing w:val="0"/>
                <w:kern w:val="0"/>
                <w:sz w:val="21"/>
                <w:szCs w:val="21"/>
                <w:highlight w:val="none"/>
                <w:u w:val="none"/>
                <w:lang w:val="en-US" w:eastAsia="zh-CN" w:bidi="ar-SA"/>
              </w:rPr>
              <w:t>草丛</w:t>
            </w:r>
          </w:p>
        </w:tc>
        <w:tc>
          <w:tcPr>
            <w:tcW w:w="2525" w:type="dxa"/>
            <w:tcBorders>
              <w:tl2br w:val="nil"/>
              <w:tr2bl w:val="nil"/>
            </w:tcBorders>
            <w:noWrap w:val="0"/>
            <w:vAlign w:val="center"/>
          </w:tcPr>
          <w:p w14:paraId="660CAF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aps w:val="0"/>
                <w:smallCaps w:val="0"/>
                <w:snapToGrid/>
                <w:color w:val="auto"/>
                <w:spacing w:val="0"/>
                <w:kern w:val="0"/>
                <w:sz w:val="21"/>
                <w:szCs w:val="21"/>
                <w:highlight w:val="none"/>
                <w:u w:val="none"/>
                <w:lang w:val="en-US" w:eastAsia="zh-CN" w:bidi="ar-SA"/>
              </w:rPr>
            </w:pPr>
            <w:r>
              <w:rPr>
                <w:rFonts w:hint="default" w:ascii="Times New Roman" w:hAnsi="Times New Roman" w:eastAsia="宋体" w:cs="Times New Roman"/>
                <w:caps w:val="0"/>
                <w:smallCaps w:val="0"/>
                <w:sz w:val="21"/>
                <w:szCs w:val="21"/>
                <w:highlight w:val="none"/>
                <w:lang w:val="en-US" w:eastAsia="zh-CN"/>
              </w:rPr>
              <w:t>141.10</w:t>
            </w:r>
          </w:p>
        </w:tc>
        <w:tc>
          <w:tcPr>
            <w:tcW w:w="2246" w:type="dxa"/>
            <w:tcBorders>
              <w:tl2br w:val="nil"/>
              <w:tr2bl w:val="nil"/>
            </w:tcBorders>
            <w:noWrap w:val="0"/>
            <w:vAlign w:val="center"/>
          </w:tcPr>
          <w:p w14:paraId="652F02F8">
            <w:pPr>
              <w:keepNext w:val="0"/>
              <w:keepLines w:val="0"/>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kern w:val="0"/>
                <w:sz w:val="21"/>
                <w:szCs w:val="21"/>
                <w:highlight w:val="none"/>
                <w:u w:val="none"/>
                <w:lang w:val="en-US" w:eastAsia="zh-CN"/>
              </w:rPr>
            </w:pPr>
            <w:r>
              <w:rPr>
                <w:rFonts w:hint="default" w:ascii="Times New Roman" w:hAnsi="Times New Roman" w:eastAsia="宋体" w:cs="Times New Roman"/>
                <w:bCs/>
                <w:caps w:val="0"/>
                <w:smallCaps w:val="0"/>
                <w:kern w:val="0"/>
                <w:sz w:val="21"/>
                <w:szCs w:val="21"/>
                <w:highlight w:val="none"/>
                <w:u w:val="none"/>
                <w:lang w:val="en-US" w:eastAsia="zh-CN"/>
              </w:rPr>
              <w:t>3.24</w:t>
            </w:r>
          </w:p>
        </w:tc>
        <w:tc>
          <w:tcPr>
            <w:tcW w:w="2255" w:type="dxa"/>
            <w:tcBorders>
              <w:tl2br w:val="nil"/>
              <w:tr2bl w:val="nil"/>
            </w:tcBorders>
            <w:noWrap w:val="0"/>
            <w:vAlign w:val="center"/>
          </w:tcPr>
          <w:p w14:paraId="0CDAA9F8">
            <w:pPr>
              <w:keepNext w:val="0"/>
              <w:keepLines w:val="0"/>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kern w:val="0"/>
                <w:sz w:val="21"/>
                <w:szCs w:val="21"/>
                <w:highlight w:val="none"/>
                <w:u w:val="none"/>
                <w:lang w:val="en-US" w:eastAsia="zh-CN"/>
              </w:rPr>
            </w:pPr>
            <w:r>
              <w:rPr>
                <w:rFonts w:hint="default" w:ascii="Times New Roman" w:hAnsi="Times New Roman" w:eastAsia="宋体" w:cs="Times New Roman"/>
                <w:bCs/>
                <w:caps w:val="0"/>
                <w:smallCaps w:val="0"/>
                <w:kern w:val="0"/>
                <w:sz w:val="21"/>
                <w:szCs w:val="21"/>
                <w:highlight w:val="none"/>
                <w:u w:val="none"/>
                <w:lang w:val="en-US" w:eastAsia="zh-CN"/>
              </w:rPr>
              <w:t>2.30</w:t>
            </w:r>
          </w:p>
        </w:tc>
      </w:tr>
      <w:tr w14:paraId="6D7C6F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gridAfter w:val="1"/>
          <w:wAfter w:w="5" w:type="dxa"/>
          <w:trHeight w:val="397" w:hRule="atLeast"/>
          <w:jc w:val="center"/>
        </w:trPr>
        <w:tc>
          <w:tcPr>
            <w:tcW w:w="2043" w:type="dxa"/>
            <w:tcBorders>
              <w:tl2br w:val="nil"/>
              <w:tr2bl w:val="nil"/>
            </w:tcBorders>
            <w:noWrap w:val="0"/>
            <w:vAlign w:val="center"/>
          </w:tcPr>
          <w:p w14:paraId="27E00D28">
            <w:pPr>
              <w:keepNext w:val="0"/>
              <w:keepLines w:val="0"/>
              <w:widowControl/>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kern w:val="0"/>
                <w:sz w:val="21"/>
                <w:szCs w:val="21"/>
                <w:highlight w:val="none"/>
                <w:u w:val="none"/>
              </w:rPr>
            </w:pPr>
            <w:r>
              <w:rPr>
                <w:rFonts w:hint="default" w:ascii="Times New Roman" w:hAnsi="Times New Roman" w:eastAsia="宋体" w:cs="Times New Roman"/>
                <w:bCs/>
                <w:caps w:val="0"/>
                <w:smallCaps w:val="0"/>
                <w:kern w:val="0"/>
                <w:sz w:val="21"/>
                <w:szCs w:val="21"/>
                <w:highlight w:val="none"/>
                <w:u w:val="none"/>
              </w:rPr>
              <w:t>合计</w:t>
            </w:r>
          </w:p>
        </w:tc>
        <w:tc>
          <w:tcPr>
            <w:tcW w:w="2525" w:type="dxa"/>
            <w:tcBorders>
              <w:tl2br w:val="nil"/>
              <w:tr2bl w:val="nil"/>
            </w:tcBorders>
            <w:noWrap w:val="0"/>
            <w:vAlign w:val="center"/>
          </w:tcPr>
          <w:p w14:paraId="2BC0F6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aps w:val="0"/>
                <w:smallCaps w:val="0"/>
                <w:kern w:val="0"/>
                <w:sz w:val="21"/>
                <w:szCs w:val="21"/>
                <w:highlight w:val="none"/>
                <w:u w:val="none"/>
                <w:lang w:val="en-US"/>
              </w:rPr>
            </w:pPr>
            <w:r>
              <w:rPr>
                <w:rFonts w:hint="default" w:ascii="Times New Roman" w:hAnsi="Times New Roman" w:eastAsia="宋体" w:cs="Times New Roman"/>
                <w:caps w:val="0"/>
                <w:smallCaps w:val="0"/>
                <w:sz w:val="21"/>
                <w:szCs w:val="21"/>
                <w:highlight w:val="none"/>
                <w:lang w:val="en-US" w:eastAsia="zh-CN"/>
              </w:rPr>
              <w:t>30868.69</w:t>
            </w:r>
          </w:p>
        </w:tc>
        <w:tc>
          <w:tcPr>
            <w:tcW w:w="2246" w:type="dxa"/>
            <w:tcBorders>
              <w:tl2br w:val="nil"/>
              <w:tr2bl w:val="nil"/>
            </w:tcBorders>
            <w:noWrap w:val="0"/>
            <w:vAlign w:val="center"/>
          </w:tcPr>
          <w:p w14:paraId="32CF6993">
            <w:pPr>
              <w:keepNext w:val="0"/>
              <w:keepLines w:val="0"/>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kern w:val="0"/>
                <w:sz w:val="21"/>
                <w:szCs w:val="21"/>
                <w:highlight w:val="none"/>
                <w:u w:val="none"/>
                <w:lang w:val="en-US" w:eastAsia="zh-CN"/>
              </w:rPr>
            </w:pPr>
            <w:r>
              <w:rPr>
                <w:rFonts w:hint="default" w:ascii="Times New Roman" w:hAnsi="Times New Roman" w:eastAsia="宋体" w:cs="Times New Roman"/>
                <w:bCs/>
                <w:caps w:val="0"/>
                <w:smallCaps w:val="0"/>
                <w:kern w:val="0"/>
                <w:sz w:val="21"/>
                <w:szCs w:val="21"/>
                <w:highlight w:val="none"/>
                <w:u w:val="none"/>
                <w:lang w:val="en-US" w:eastAsia="zh-CN"/>
              </w:rPr>
              <w:t>5.02</w:t>
            </w:r>
          </w:p>
        </w:tc>
        <w:tc>
          <w:tcPr>
            <w:tcW w:w="2255" w:type="dxa"/>
            <w:tcBorders>
              <w:tl2br w:val="nil"/>
              <w:tr2bl w:val="nil"/>
            </w:tcBorders>
            <w:noWrap w:val="0"/>
            <w:vAlign w:val="center"/>
          </w:tcPr>
          <w:p w14:paraId="61585D93">
            <w:pPr>
              <w:keepNext w:val="0"/>
              <w:keepLines w:val="0"/>
              <w:suppressLineNumbers w:val="0"/>
              <w:tabs>
                <w:tab w:val="left" w:pos="1021"/>
              </w:tabs>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Cs/>
                <w:caps w:val="0"/>
                <w:smallCaps w:val="0"/>
                <w:kern w:val="0"/>
                <w:sz w:val="21"/>
                <w:szCs w:val="21"/>
                <w:highlight w:val="none"/>
                <w:u w:val="none"/>
                <w:lang w:val="en-US" w:eastAsia="zh-CN"/>
              </w:rPr>
            </w:pPr>
            <w:r>
              <w:rPr>
                <w:rFonts w:hint="default" w:ascii="Times New Roman" w:hAnsi="Times New Roman" w:eastAsia="宋体" w:cs="Times New Roman"/>
                <w:bCs/>
                <w:caps w:val="0"/>
                <w:smallCaps w:val="0"/>
                <w:kern w:val="0"/>
                <w:sz w:val="21"/>
                <w:szCs w:val="21"/>
                <w:highlight w:val="none"/>
                <w:u w:val="none"/>
                <w:lang w:val="en-US" w:eastAsia="zh-CN"/>
              </w:rPr>
              <w:t>0.02</w:t>
            </w:r>
          </w:p>
        </w:tc>
      </w:tr>
    </w:tbl>
    <w:p w14:paraId="101E19F9">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highlight w:val="none"/>
          <w:lang w:eastAsia="zh-CN"/>
        </w:rPr>
        <w:t>土地规划后，土地利用类型为</w:t>
      </w:r>
      <w:r>
        <w:rPr>
          <w:rFonts w:hint="default" w:ascii="Times New Roman" w:hAnsi="Times New Roman" w:eastAsia="宋体" w:cs="Times New Roman"/>
          <w:caps w:val="0"/>
          <w:smallCaps w:val="0"/>
          <w:sz w:val="24"/>
          <w:szCs w:val="21"/>
          <w:highlight w:val="none"/>
          <w:lang w:val="en-US" w:eastAsia="zh-CN"/>
        </w:rPr>
        <w:t>工业用地</w:t>
      </w:r>
      <w:r>
        <w:rPr>
          <w:rFonts w:hint="default" w:ascii="Times New Roman" w:hAnsi="Times New Roman" w:eastAsia="宋体" w:cs="Times New Roman"/>
          <w:caps w:val="0"/>
          <w:smallCaps w:val="0"/>
          <w:sz w:val="24"/>
          <w:szCs w:val="21"/>
          <w:highlight w:val="none"/>
          <w:lang w:eastAsia="zh-CN"/>
        </w:rPr>
        <w:t>，</w:t>
      </w:r>
      <w:r>
        <w:rPr>
          <w:rFonts w:hint="default" w:ascii="Times New Roman" w:hAnsi="Times New Roman" w:eastAsia="宋体" w:cs="Times New Roman"/>
          <w:caps w:val="0"/>
          <w:smallCaps w:val="0"/>
          <w:sz w:val="24"/>
          <w:szCs w:val="21"/>
          <w:highlight w:val="none"/>
          <w:lang w:val="en-US" w:eastAsia="zh-CN"/>
        </w:rPr>
        <w:t>土地生物量损失为5.02t</w:t>
      </w:r>
      <w:r>
        <w:rPr>
          <w:rFonts w:hint="default" w:ascii="Times New Roman" w:hAnsi="Times New Roman" w:eastAsia="宋体" w:cs="Times New Roman"/>
          <w:caps w:val="0"/>
          <w:smallCaps w:val="0"/>
          <w:sz w:val="24"/>
          <w:szCs w:val="21"/>
          <w:highlight w:val="none"/>
          <w:lang w:eastAsia="zh-CN"/>
        </w:rPr>
        <w:t>，</w:t>
      </w:r>
      <w:r>
        <w:rPr>
          <w:rFonts w:hint="default" w:ascii="Times New Roman" w:hAnsi="Times New Roman" w:eastAsia="宋体" w:cs="Times New Roman"/>
          <w:caps w:val="0"/>
          <w:smallCaps w:val="0"/>
          <w:sz w:val="24"/>
          <w:szCs w:val="21"/>
          <w:highlight w:val="none"/>
          <w:lang w:val="en-US" w:eastAsia="zh-CN"/>
        </w:rPr>
        <w:t>占评价区0.02%，总体损失量较小</w:t>
      </w:r>
      <w:r>
        <w:rPr>
          <w:rFonts w:hint="default" w:ascii="Times New Roman" w:hAnsi="Times New Roman" w:eastAsia="宋体" w:cs="Times New Roman"/>
          <w:caps w:val="0"/>
          <w:smallCaps w:val="0"/>
          <w:sz w:val="24"/>
          <w:szCs w:val="21"/>
          <w:highlight w:val="none"/>
          <w:lang w:eastAsia="zh-CN"/>
        </w:rPr>
        <w:t>。</w:t>
      </w:r>
      <w:r>
        <w:rPr>
          <w:rFonts w:hint="default" w:ascii="Times New Roman" w:hAnsi="Times New Roman" w:eastAsia="宋体" w:cs="Times New Roman"/>
          <w:caps w:val="0"/>
          <w:smallCaps w:val="0"/>
          <w:sz w:val="24"/>
          <w:szCs w:val="21"/>
          <w:highlight w:val="none"/>
          <w:lang w:val="en-US" w:eastAsia="zh-CN"/>
        </w:rPr>
        <w:t>其中以草丛的损失量最大，也是占地内主要植被类型。建议施工结束后对用地边界周围以草丛恢复，场地内以灌木和草丛恢复。</w:t>
      </w:r>
    </w:p>
    <w:p w14:paraId="432A37B7">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highlight w:val="none"/>
          <w:lang w:val="en-US" w:eastAsia="zh-CN"/>
        </w:rPr>
        <w:t>工程区施工占地破坏原有地貌结构，扰动地表，改变土地利用类型，破坏占地区植物及植被，使评价区内植被面积减少，植被覆盖率降低，评价区植被生物量减少，植被生产能力减弱。工程建设对生物量的影响程度位于评价区生态系统能够接受的范围之内。此外，拟建工程施工结束后，将对临时工程占地区域采取栽植乔木、灌木进行防护，临时用地使用完成后根据实际情况进行绿化。只要按照植被正向演替规律选择植被物种，就能尽快提高植被覆盖率和生产力，减少生物量损失，同时还可有效改善本工程对生态环境的影响，绿化美化环境。因此，本工程对生物量的影响是可接受的。</w:t>
      </w:r>
    </w:p>
    <w:p w14:paraId="21B3E980">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对水生生态的影响</w:t>
      </w:r>
    </w:p>
    <w:p w14:paraId="200451B8">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本次除险加固工程主要是对已建水工建筑进行加固、改造和维护，设计的多数工程施工均不涉水，可保证干地施工或排干堰塘后干地施工条件。设计的各工程具有工程量总体较小、施工较为分散、对水体的扰动范围有限、施工时间短等特点。各类工程对水生生态环境的影响方式如下：</w:t>
      </w:r>
    </w:p>
    <w:p w14:paraId="77632D52">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工程施工期间，将对库区近岸带和溢洪道、灌溉渠周边的局部水域造成扰动，进而影响水生生物的暂时性资源减少、分布格局改变，但溢洪道、灌溉渠以及库区水域的水生生态系统结构简单，水生生物现存量较低，总体上工程施工对评价区水生生态环境影响较小。</w:t>
      </w:r>
    </w:p>
    <w:p w14:paraId="4F5BA2B1">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在陆域施工，施工过程中防渗处理和局部区域帷幕灌浆将会产生施工废污水排放，可能会流入库区对水生生境质量造成影响。通过采取施工期污水处理和排放措施，禁止污水入库后，总体上这些工程施工对评价区水生生态环境影响较小。</w:t>
      </w:r>
    </w:p>
    <w:p w14:paraId="59635A0A">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在做好施工废水、废渣处理后，这些工程对评价区水生生态环境无明显影响。</w:t>
      </w:r>
    </w:p>
    <w:p w14:paraId="20E30614">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混凝土坝结构加固工程中的坝体结构加固、混凝土缺陷及耐久性防护处理、简易干运垂直升船机拆除、金属结构与机电设备更新改造以及信息化管理设施改造与完善等工程均为非涉水施工工程，这些工程实施对水生生态环境无影响。</w:t>
      </w:r>
    </w:p>
    <w:p w14:paraId="136F5DD8">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对水生生境的影响</w:t>
      </w:r>
    </w:p>
    <w:p w14:paraId="39DDD2E2">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东山水库除险加固工程施工对东山水库水质和水体的扰动总体较小，通过采取施工导流、废污水处理回用、水土保持等环境保护措施后，可有效减少生产废水入库对水生生境的影响。除险加固工程不改变水库特征水位及调度运行方式，除险加固工程实施后将维持现有水库调度运行方式，库区的水深、流速、水域面积等水文特性维持现状，工程实施不会新增阻隔影响，库区及坝下游水生生物的栖息地类型、结构、比例均不会发生变化，因此工程的实施对区域水生生境的影响较小，对水生生态系统结构和功能的完整性基本无影响。</w:t>
      </w:r>
    </w:p>
    <w:p w14:paraId="22AA46E8">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对饵料生物的影响</w:t>
      </w:r>
    </w:p>
    <w:p w14:paraId="5E136899">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工程施工会对评价区域水生生物栖息环境造成一定影响，工程施工对作业区及临近水域产生扰动，使局部近岸水域中悬浮物浓度增加，短期内造成局部水域水质下降，水体透明度和初级生产力降低，影响浮游植物光合作用，进而使食物链下游的浮游动物也相应受到影响。施工期间浮游生物的种类和生物量在短期内将有所下降，但这种影响是暂时的、有限的，施工周期短，扰动水域面积小，随着工程的完工，不利影响将逐渐消失，浮游生物的种类和数量将很快得到恢复。</w:t>
      </w:r>
    </w:p>
    <w:p w14:paraId="227A44C9">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底栖动物是栖息在水域底部泥沙、石块或其他水底物体上生活的动物，具有区域性强，迁移能力弱等特点。</w:t>
      </w:r>
      <w:r>
        <w:rPr>
          <w:rFonts w:hint="eastAsia" w:ascii="Times New Roman" w:hAnsi="Times New Roman" w:eastAsia="宋体" w:cs="Times New Roman"/>
          <w:caps w:val="0"/>
          <w:smallCaps w:val="0"/>
          <w:sz w:val="24"/>
          <w:szCs w:val="21"/>
          <w:lang w:val="en-US" w:eastAsia="zh-CN"/>
        </w:rPr>
        <w:t>工程</w:t>
      </w:r>
      <w:r>
        <w:rPr>
          <w:rFonts w:hint="default" w:ascii="Times New Roman" w:hAnsi="Times New Roman" w:eastAsia="宋体" w:cs="Times New Roman"/>
          <w:caps w:val="0"/>
          <w:smallCaps w:val="0"/>
          <w:sz w:val="24"/>
          <w:szCs w:val="21"/>
          <w:lang w:val="en-US" w:eastAsia="zh-CN"/>
        </w:rPr>
        <w:t>施工将对施工区域底栖动物生境造成扰动，造成底栖动物损失、生物量减少。但溢洪道、输水隧洞和近岸带底栖动物现存量较低，总体上施工对底栖动物的生境的扰动较小，影响范围有限，工程实施对底栖动物资源的影响较小。东山水库除险加固工程施工期间，输水隧洞进口修筑围堰；运行期，通过输水隧洞向下游供水，以保证生态流量的下泄。在保证生态流量泄放的前提下，对下游河道水生生态环境的影响较小。</w:t>
      </w:r>
    </w:p>
    <w:p w14:paraId="63E9E920">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工程运行期，除险加固工程不改变水库功能，不改变库区正常蓄水位，下游河道内水位、流速较工程实施前基本没有变化，水生生境基本维持原状，工程运行期评价区生态环境不会发生明显变化，水生生物种类及组成与工程建设前相似。因此，运行期工程实施对评价范围内及下游河道水生生态环境不会造成较大影响。</w:t>
      </w:r>
    </w:p>
    <w:p w14:paraId="48FBCD60">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对鱼类的影响</w:t>
      </w:r>
    </w:p>
    <w:p w14:paraId="0796B3DC">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工程施工可能对施工区及其附近水域鱼类产生惊扰，同时施工将影响局部水域饵料生物的资源量，改变了原有鱼类的生存、生长和繁衍条件，影响鱼类的生长、摄食和分布。但是，鱼类具有较强的趋避能力，施工期间将躲避不利因素迁徙到其它水域，从而导致短期内施工区域鱼类密度降低。但本次除险加固无大面积涉水施工，施工对水体的扰动范围较小，对鱼类的影响仅局限于施工区及附近水域，施工结束后，不利影响基本消失，鱼类资源及其生境较工程实施前不会有太大的变化，因此本工程实施对鱼类产生的影响程度、范围和时间均是有限的。施工导流和围堰建设安排在10-3月枯水期，避开了鱼类繁殖期3-8月，对其繁殖行为影响较小。根据调查，评价区无国家和地方珍稀保护鱼类分布，多为青鱼、草鱼、鲢、鳙等常见种，水体中的鱼类资源量较少，未发现重要水生生物的自然产卵场、索饵场、越冬场和洄游通道，工程实施不会对珍稀保护鱼类及其生境产生明显影响。施工不会对下游河道水文情势产生影响，在严格落实生态流量泄放措施的前提下，不会对下游河道鱼类资源产生影响。</w:t>
      </w:r>
    </w:p>
    <w:p w14:paraId="7923FDBC">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工程运行期，不改变东山水库的水文情势，不改变鱼类繁殖和生长所需的水温、水流条件，除险加固工程实施后，结合鱼类保护措施将有效改善工程实施对鱼类资源的影响，因此工程实施前后鱼类资源及其生境不会有较大变化。</w:t>
      </w:r>
    </w:p>
    <w:p w14:paraId="4202F04F">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本次除险加固工程实施对区域水生生态环境的影响程度、范围和时间均是有限的，影响可通过相应的措施避免或减缓，施工结束后不利影响逐渐消失，水生生态环境得到逐步恢复。除险加固工程完工后，水库调度方式、水库及下游河道的水文情势基本不发生改变，工程实施未改变鱼类繁殖和生长所需的水温、水流条件，水库下泄水量不受影响，原有的水生生物资源及其生境不会发生明显变化，总体上工程实施对区域水生生态环境影响较小。</w:t>
      </w:r>
    </w:p>
    <w:p w14:paraId="531F1CD6">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对陆生生态的影响</w:t>
      </w:r>
    </w:p>
    <w:p w14:paraId="64F8D4C7">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对陆生植物的影响</w:t>
      </w:r>
    </w:p>
    <w:p w14:paraId="7279DF9D">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一、施工期</w:t>
      </w:r>
    </w:p>
    <w:p w14:paraId="59C8194A">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本工程施工期主要有大坝坝体及坝基渗漏带防渗、坝坡休整、溢洪道加固、输水隧洞挖废重建、防汛公路改造等，设置主体（大坝、溢洪道、输水隧洞、防汛公路、渠道）工程区、临时堆土场、施工生产区、场地平整区等。施工期对评价区的影响主要有施工占地、渣料场使用、施工活动等。</w:t>
      </w:r>
    </w:p>
    <w:p w14:paraId="4ED0D6CE">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1.施工占地对植物及植被的影响</w:t>
      </w:r>
    </w:p>
    <w:p w14:paraId="40C57C0D">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（1）永久占地对植物及植被的影响</w:t>
      </w:r>
    </w:p>
    <w:p w14:paraId="488DF9E8">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永久占地对植物的影响是长期的、不可逆的。永久占地区施工将使区域内土地利用类型发生改变，植物个体损失，植被生物量减少。结合具体工程布置，根据现场调查，工程区永久占地区主要为大坝坝体及坝基渗漏带防渗、坝坡休整、溢洪道加固等。</w:t>
      </w:r>
    </w:p>
    <w:p w14:paraId="28AAD73F">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永久占地对占用植被及植物的影响：本工程永久占地面积5.24hm</w:t>
      </w:r>
      <w:r>
        <w:rPr>
          <w:rFonts w:hint="default" w:ascii="Times New Roman" w:hAnsi="Times New Roman" w:eastAsia="宋体" w:cs="Times New Roman"/>
          <w:caps w:val="0"/>
          <w:smallCaps w:val="0"/>
          <w:sz w:val="24"/>
          <w:szCs w:val="21"/>
          <w:vertAlign w:val="superscript"/>
          <w:lang w:val="en-US" w:eastAsia="zh-CN"/>
        </w:rPr>
        <w:t>2</w:t>
      </w:r>
      <w:r>
        <w:rPr>
          <w:rFonts w:hint="default" w:ascii="Times New Roman" w:hAnsi="Times New Roman" w:eastAsia="宋体" w:cs="Times New Roman"/>
          <w:caps w:val="0"/>
          <w:smallCaps w:val="0"/>
          <w:sz w:val="24"/>
          <w:szCs w:val="21"/>
          <w:lang w:val="en-US" w:eastAsia="zh-CN"/>
        </w:rPr>
        <w:t>，根据现场调查工程永久占用的植被为楝树林、五节芒灌草丛等，常见植物有楝、毛竹、樟、盐麸木、小果蔷薇、篌竹、檵木、油茶、柃木、五节芒、芒萁等，工程永久占用的植被及植物均为常见类型及常见种，在评价区内分布较为广泛。因此，本工程永久占地对植被及植物影响较小。</w:t>
      </w:r>
    </w:p>
    <w:p w14:paraId="50B2753C">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（2）临时占地对植物及植被的影响</w:t>
      </w:r>
    </w:p>
    <w:p w14:paraId="78144703">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工程建设区临时占地对占地区植物及植被的影响是暂时的、可恢复的。根据工程布置临时工程主要为施工工厂、弃渣场和取土场以及大坝加固和溢洪道加固的施工扰动区域。本工程临时施工占地面积为1.02hm</w:t>
      </w:r>
      <w:r>
        <w:rPr>
          <w:rFonts w:hint="default" w:ascii="Times New Roman" w:hAnsi="Times New Roman" w:eastAsia="宋体" w:cs="Times New Roman"/>
          <w:caps w:val="0"/>
          <w:smallCaps w:val="0"/>
          <w:sz w:val="24"/>
          <w:szCs w:val="21"/>
          <w:vertAlign w:val="superscript"/>
          <w:lang w:val="en-US" w:eastAsia="zh-CN"/>
        </w:rPr>
        <w:t>2</w:t>
      </w:r>
      <w:r>
        <w:rPr>
          <w:rFonts w:hint="default" w:ascii="Times New Roman" w:hAnsi="Times New Roman" w:eastAsia="宋体" w:cs="Times New Roman"/>
          <w:caps w:val="0"/>
          <w:smallCaps w:val="0"/>
          <w:sz w:val="24"/>
          <w:szCs w:val="21"/>
          <w:lang w:val="en-US" w:eastAsia="zh-CN"/>
        </w:rPr>
        <w:t>，临时占地位于永久占地内均属于库区管理范围，未新增额外征占用地，根据现场调查本工程临时占地区内常见的植被为五节芒灌草丛、白茅灌草丛等，常见植物有五节芒、荠、芒、毛竹、白茅、狗牙根等，工程临时占用区植被类型较为单一，物种较为频繁，为评价区内较为常见的草本植物，其抗逆性强，繁殖能力强、恢复时间短。因此，本工程工程临时占地对占地区植被类型及植物种类的影响较小。此外，工程施工结束后，对临时占地区土地平整、植被恢复，可使临时占地区植物种类多样性、植被类型及生物量均有所增加。</w:t>
      </w:r>
    </w:p>
    <w:p w14:paraId="20F30677">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2.施工活动对植物及植被的影响</w:t>
      </w:r>
    </w:p>
    <w:p w14:paraId="2982B695">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施工期施工活动对植物及植被的影响因素主要有施工活动产生的废气、废水、弃渣、扬尘及人为干扰等。依据施工活动对植物的影响方式，可分为直接影响及间接影响，直接影响主要是指人员活动、车辆碾压等会使周边植物个体损失，植被生物量减少；间接影响主要是指施工过程中产生的废气、废水、弃渣、固废、扬尘等会使周边植物的生命活动受阻。</w:t>
      </w:r>
    </w:p>
    <w:p w14:paraId="4667AF2D">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（1）施工期废气主要来源于燃油机械的尾气，其主要污染物为SO</w:t>
      </w:r>
      <w:r>
        <w:rPr>
          <w:rFonts w:hint="default" w:ascii="Times New Roman" w:hAnsi="Times New Roman" w:eastAsia="宋体" w:cs="Times New Roman"/>
          <w:caps w:val="0"/>
          <w:smallCaps w:val="0"/>
          <w:sz w:val="24"/>
          <w:szCs w:val="21"/>
          <w:vertAlign w:val="subscript"/>
          <w:lang w:val="en-US" w:eastAsia="zh-CN"/>
        </w:rPr>
        <w:t>2</w:t>
      </w:r>
      <w:r>
        <w:rPr>
          <w:rFonts w:hint="default" w:ascii="Times New Roman" w:hAnsi="Times New Roman" w:eastAsia="宋体" w:cs="Times New Roman"/>
          <w:caps w:val="0"/>
          <w:smallCaps w:val="0"/>
          <w:sz w:val="24"/>
          <w:szCs w:val="21"/>
          <w:lang w:val="en-US" w:eastAsia="zh-CN"/>
        </w:rPr>
        <w:t>、NO</w:t>
      </w:r>
      <w:r>
        <w:rPr>
          <w:rFonts w:hint="default" w:ascii="Times New Roman" w:hAnsi="Times New Roman" w:eastAsia="宋体" w:cs="Times New Roman"/>
          <w:caps w:val="0"/>
          <w:smallCaps w:val="0"/>
          <w:sz w:val="24"/>
          <w:szCs w:val="21"/>
          <w:vertAlign w:val="subscript"/>
          <w:lang w:val="en-US" w:eastAsia="zh-CN"/>
        </w:rPr>
        <w:t>2</w:t>
      </w:r>
      <w:r>
        <w:rPr>
          <w:rFonts w:hint="default" w:ascii="Times New Roman" w:hAnsi="Times New Roman" w:eastAsia="宋体" w:cs="Times New Roman"/>
          <w:caps w:val="0"/>
          <w:smallCaps w:val="0"/>
          <w:sz w:val="24"/>
          <w:szCs w:val="21"/>
          <w:lang w:val="en-US" w:eastAsia="zh-CN"/>
        </w:rPr>
        <w:t>、CO等。废气对植物的影响主要是在叶脉间或边缘出现不规则水渍状，导致叶片逐渐坏死，植物光合生产受阻，生长发育变缓。由于加固的大坝、溢洪道、输水隧洞和施工工厂及弃渣场距离较近，燃油机械的废气排放量相对较低，再加上施工期机械尾气属移动线源排放，因此施工期废气对植物及植被的影响较小。</w:t>
      </w:r>
    </w:p>
    <w:p w14:paraId="3D984C8D">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2）施工期废水分为生产废水和生活污水，生产废水主要来源于基坑废水、砂石料冲洗废水和机械检修场含油废水等，生活污水主要是工程施工时施工人员的生活产生的污水等。废水对植物的影响主要是废水的随意排放会改变土壤理化性质，改变植物生长发育环境，进而影响其正常生命活动。但这种影响可通过在施工区及生产生活区纳入当地的污水管网系统等进行避免。</w:t>
      </w:r>
    </w:p>
    <w:p w14:paraId="4A68F592">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3）扬尘主要来源于开辟施工便道，土石方调配，建筑物施工，直至工程竣工后场地清理、恢复等诸多工程，其中以运输车辆引起的二次扬尘影响时间最长，对周围植物及植被影响最严重。扬尘粗颗粒随风飘落到附近地面或植物叶、茎、花表面，会使其生命活动受到一定影响。由于评价区处亚热带季风气候区，区域内空气湿度相对较大，土壤湿润，扬尘扩散范围相对较小，再加上施工期如能采取洒水抑尘等措施，可有效减轻扬尘对周围植物及植被的影响。</w:t>
      </w:r>
    </w:p>
    <w:p w14:paraId="518C6B39">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（4）人为干扰对植物及植被的影响</w:t>
      </w:r>
    </w:p>
    <w:p w14:paraId="3420E6E2">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本工程人为干扰对植物及植被的影响因素主要有人为砍伐、践踏、刻画、运输作业等。人为干扰对植物及植被的影响主要有：①施工期工程区人员增多，施工人员砍伐会破坏区域内植物及其生境，会影响群落结构及种类组成；②施工期施工人员践踏、施工机械碾压会对植物地上部分造成机械性伤害，从而影响植物的生长发育，同时践踏等造成的土壤结构变化会间接影响区域内植物的生长发育；③施工期施工人员刻画、施工车辆的剐蹭等人为活动导致植物形成创伤，伤口暴露后易导致病虫害，进而会影响其生长发育；④施工期运输作业方便种子的传播可能导致评价区外来物种入侵，破坏原区域内植物及其生境。</w:t>
      </w:r>
    </w:p>
    <w:p w14:paraId="4B658698">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由于本工程占地面积较小，占地区相对集中，施工期人为干扰等可通过加强宣传教育活动，加强施工监理，在施工前划定施工范围，规范施工人员活动等进行缓解，在相对措施得到落实后，人为干扰对植物及植被的影响较小。</w:t>
      </w:r>
    </w:p>
    <w:p w14:paraId="5FFC13AD">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3.渣料场使用对植物的影响</w:t>
      </w:r>
    </w:p>
    <w:p w14:paraId="05108E4B">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渣料场区的使用对植物及植被的影响主要为破坏地表植被，造成地表裸露，受雨水冲击时易造成水土流失，将对植物及其生境造成不利影响，这种影响可通过及时进行植被恢复措施得到缓解。本工程的临时堆土场区在规划上避免了占用林地，主要以草地和灌木林地为主，对植物的影响较小。</w:t>
      </w:r>
    </w:p>
    <w:p w14:paraId="31D4E1FE">
      <w:pPr>
        <w:widowControl w:val="0"/>
        <w:spacing w:after="0" w:line="360" w:lineRule="auto"/>
        <w:ind w:firstLine="480" w:firstLineChars="200"/>
        <w:jc w:val="both"/>
        <w:rPr>
          <w:rFonts w:hint="default" w:ascii="Times New Roman" w:hAnsi="Times New Roman" w:eastAsia="宋体" w:cs="Times New Roman"/>
          <w:caps w:val="0"/>
          <w:smallCaps w:val="0"/>
          <w:kern w:val="2"/>
          <w:sz w:val="24"/>
          <w:szCs w:val="24"/>
          <w:lang w:val="en-US" w:eastAsia="zh-CN" w:bidi="ar-SA"/>
        </w:rPr>
      </w:pPr>
      <w:r>
        <w:rPr>
          <w:rFonts w:hint="default" w:ascii="Times New Roman" w:hAnsi="Times New Roman" w:eastAsia="宋体" w:cs="Times New Roman"/>
          <w:caps w:val="0"/>
          <w:smallCaps w:val="0"/>
          <w:kern w:val="2"/>
          <w:sz w:val="24"/>
          <w:szCs w:val="24"/>
          <w:lang w:val="en-US" w:eastAsia="zh-CN" w:bidi="ar-SA"/>
        </w:rPr>
        <w:t>4.对古树名木的影响</w:t>
      </w:r>
    </w:p>
    <w:p w14:paraId="3D197C3C">
      <w:pPr>
        <w:widowControl w:val="0"/>
        <w:spacing w:after="0" w:line="360" w:lineRule="auto"/>
        <w:ind w:firstLine="480" w:firstLineChars="200"/>
        <w:jc w:val="both"/>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caps w:val="0"/>
          <w:smallCaps w:val="0"/>
          <w:kern w:val="2"/>
          <w:sz w:val="24"/>
          <w:szCs w:val="24"/>
          <w:lang w:val="en-US" w:eastAsia="zh-CN" w:bidi="ar-SA"/>
        </w:rPr>
        <w:t>根据现场实地调查，评价区发现1株香樟古树和1株银杏古树，位于路旁，不在施工占地内，距离项目最近距离为30m。建议采取原址保护，强化施工监管，禁止对枝叶和根系的人为损坏。在采取严格保护措施后，项目对其基本无影响。</w:t>
      </w:r>
    </w:p>
    <w:p w14:paraId="2C971D5F">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二、运营期</w:t>
      </w:r>
    </w:p>
    <w:p w14:paraId="3F4EA566">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工程运行期临时占地植被逐渐恢复，永久占地区域随着工程的完工结合库区绿化等相关措施，工程施工扰动等对周边植被的影响逐渐降低。</w:t>
      </w:r>
    </w:p>
    <w:p w14:paraId="5CEE1014">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工程建成后，东山水库安全隐患得到治理，有利于稳定岸坡，维护现有河势，提高河段的防洪能力，减少淹没的植被，降低生物量损失；对改善河段生态环境、维护区域生态多样性、区域生态平衡具有积极意义。</w:t>
      </w:r>
    </w:p>
    <w:p w14:paraId="6853E6B7">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对陆生动物的影响</w:t>
      </w:r>
    </w:p>
    <w:p w14:paraId="67B4C342">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一、施工期</w:t>
      </w:r>
    </w:p>
    <w:p w14:paraId="76D6574B">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工程施工期对动物的影响主要包括：工程占用动物生境；施工过程中各种噪声对动物栖息和繁殖的干扰；主体工程施工引起的水体污染；生活垃圾等对动物生境的破坏及对部分啮齿目分布格局的影响；人为活动对动物的干扰等。</w:t>
      </w:r>
    </w:p>
    <w:p w14:paraId="1C9E5AAB">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1.对两栖类的影响</w:t>
      </w:r>
    </w:p>
    <w:p w14:paraId="741B18FB">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两栖类动物对水有很大的依赖性。它们分布于评价范围内的水库、坑塘、沟渠及周边农田、灌草地等区域。工程施工期对其影响因素主要有：施工场地建设和主体工程施工引起的水体污染；施工占地对其生境的占用与破坏；施工噪声对其求偶的影响；人类活动对其的干扰等。其中对其影响最为明显的为施工引起的水体污染。</w:t>
      </w:r>
    </w:p>
    <w:p w14:paraId="65D79643">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评价区内的蛙类，会在水库浅水区域和沟渠、坑塘内活动和产卵。工程施工期主体工程中主副坝加固、溢洪道的施工对东山水库的扰动，以及坑塘、沟渠边施工场地建设和弃渣，将引起的水体悬浮物浓度增加、水中有害物质增多，都将会对评价区内的水质造成污染从而会导致两栖类的生活环境恶化，破坏两栖类体表内外的渗透压平衡、酸碱度平衡，影响其对外界环境的适应能力及蛙卵的孵化率，导致两栖类栖息地缩小和种群、数量的减少。由于工程施工期会落实水土流失防治措施，渣场和施工场地周边水土流失较弱，且主体工程施工涉及的水域面积小，水体为静水水域，悬浮物扩散距离有限。因此在严格落实水土流失防治措施的情况下，工程施工对水质的影响小，对两栖类的影响有限。</w:t>
      </w:r>
    </w:p>
    <w:p w14:paraId="4C1E18B6">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根据工程初步涉及，工程占地面积为5.24hm</w:t>
      </w:r>
      <w:r>
        <w:rPr>
          <w:rFonts w:hint="default" w:ascii="Times New Roman" w:hAnsi="Times New Roman" w:eastAsia="宋体" w:cs="Times New Roman"/>
          <w:caps w:val="0"/>
          <w:smallCaps w:val="0"/>
          <w:sz w:val="24"/>
          <w:szCs w:val="21"/>
          <w:vertAlign w:val="superscript"/>
          <w:lang w:val="en-US" w:eastAsia="zh-CN"/>
        </w:rPr>
        <w:t>2</w:t>
      </w:r>
      <w:r>
        <w:rPr>
          <w:rFonts w:hint="default" w:ascii="Times New Roman" w:hAnsi="Times New Roman" w:eastAsia="宋体" w:cs="Times New Roman"/>
          <w:caps w:val="0"/>
          <w:smallCaps w:val="0"/>
          <w:sz w:val="24"/>
          <w:szCs w:val="21"/>
          <w:lang w:val="en-US" w:eastAsia="zh-CN"/>
        </w:rPr>
        <w:t>，主要占地耕地和草地，两栖类主要活动于评价区内水库、坑塘、沟渠内，占地对两栖类影响小。</w:t>
      </w:r>
    </w:p>
    <w:p w14:paraId="0ED7F000">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蛙类主要通过发声求偶，施工噪声可能导致个体重复的抵抗和避开噪声造成额外的能量消耗，进而丧失交配的机会，对蛙类繁衍具有一定的影响。由于工程施工主要在白天施工，娃类主要在夜间求偶，施工噪声对两栖类繁衍影响较小。</w:t>
      </w:r>
    </w:p>
    <w:p w14:paraId="5093C980">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人类活动对两栖类的影响有生活污水与垃圾、人为捕杀，其中主要是人为捕杀。施工人员的生活污水与垃圾随意处理，将使两栖类动物的生境污染，迫使其寻找替代生境。此外，两栖动物存在被施工人员捕杀的风险，可能导致数量较少的种群消失。这些影响可通过宣传教育与设置惩罚等措施加以避免。</w:t>
      </w:r>
    </w:p>
    <w:p w14:paraId="08621D98">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2.对爬行类的影响</w:t>
      </w:r>
    </w:p>
    <w:p w14:paraId="1478BC67">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爬行类动物对水的依赖性没有两栖类动物高，但其生存方式多样，大致可分为有水栖型、林栖傍水型、灌丛石隙型、住宅型4种生态类型，其中水栖型和林栖傍水型对水具有一定的依赖性。工程施工期对爬行类的影响主要有：施工引起的水体污染；施工占地对其生境的占用；施工噪声对其捕食的干扰；人类活动对其的干扰等。其中对其影响较明显的为施工引起的水体污染对其生境的破坏。</w:t>
      </w:r>
    </w:p>
    <w:p w14:paraId="7EFE8644">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评价区对水有一定依赖性较高的爬行类动物有水栖型种类，比如中华鳖、乌龟等，它们主要在评价区内东山水库及周边林地中生活。主体工程施工将引起水库内的的水体悬浮增加，对水域造成一定的污染，造成施工区域内水栖型爬行类种群数量下降。由于东山水库水域面积大，主体工程施工涉及水域面积小，且水栖型爬行类在水体内移动速度快。主体工程施工导致的水污染不会对水栖型爬行类造成大的影响。林栖傍水型爬行类中的虎斑颈槽蛇、乌华游蛇（Trimerodytes percarinatus）等种类会在东山水库内捕食鱼类，主体工程施工施工将会导致施工区域一定区域内鱼类资源减少，增加其捕食压力。由于鱼类并不是其唯一的食物来源，施工对其影响有限。对水依赖性不高的灌丛石隙型和住宅型爬行类主要在评价区的居住地、灌草地、农田等区域活动，施工引起的水体污染对其直接影响不大。</w:t>
      </w:r>
    </w:p>
    <w:p w14:paraId="4A35A90E">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施工时占地占用部分爬行类的生境，将迫使其转移至附近的替代生境中。由于工程影响区域附近相似生境较多，占地对爬行类影响较小。</w:t>
      </w:r>
    </w:p>
    <w:p w14:paraId="19CBA58C">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与两栖类类似，爬行类中也有一些种类食用价值和经济实用价值较高，可能遭到施工人员的捕杀，造成该区域内种群数量的减少，如中华鳖、乌龟、乌梢蛇等。这种影响可通过制定相关的惩罚制度与宣传教育的方式加以避免。</w:t>
      </w:r>
    </w:p>
    <w:p w14:paraId="48648971">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3.对鸟类的影响</w:t>
      </w:r>
    </w:p>
    <w:p w14:paraId="11F70D65">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鸟类善于飞翔，其特点是感官敏锐、迁移能力强，同时其生活类型也多种多样，有生活于水域中或水域附近的游禽及涉禽，生活于林中的猛禽、攀禽和鸣禽，生活于灌丛、草丛或农田中的陆禽等。工程施工期对其影响主要有：施工噪声对其的驱赶；大坝主体工程施工对湿地鸟类栖息地和食源的破坏；人为活动对其的影响等。其中施工噪音；主体工程施工对湿地鸟类栖息地和食源的破坏，对评价区内的鸟类影响相对较大。</w:t>
      </w:r>
    </w:p>
    <w:p w14:paraId="45BBDDE3">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工程施工噪声主要来源于大坝、输水隧洞、溢洪道加固和清淤时施工器械噪声，以及施工车辆运输噪声，施工噪声将导致区域鸟类远离施工区域。评价区内主要以林地为主，对噪声有很好的吸收作用，施工噪声衰减至环境背景噪声值的距离短。工程施工不会产生突发的高强度突发噪音，不会引起鸟类强烈的应急活动，因此工程作业产生的噪音对整个评价区内鸟类影响有限。施工完成后，受噪音影响的鸟类会逐渐迁回。</w:t>
      </w:r>
    </w:p>
    <w:p w14:paraId="634C9D95">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工程对鸟类的影响主要来源于主体工程施工导致东山水库悬浮物增加，对湿地鸟类栖息地和食源的破坏。影响对象为鸟类中的游禽、涉禽和以鱼类为食的翠鸟科种类，主体工程施工占用水库水域面积小，且水库为静水水域，悬浮物扩散范围小，水污染影响范围有限，影响相对可控。</w:t>
      </w:r>
    </w:p>
    <w:p w14:paraId="633CBC6B">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鸟类的视觉极其敏锐，施工期由于施工人员进驻，施工人员的活动将对鸟类造成一定驱赶作用。评价区内鸟类适宜生境较多，施工人员影响是暂时的，这种影响不大。鸟类中部分种类食用价值、观赏价值和经济价值较高，如环颈雉、珠颈斑鸠、画眉等，可能会遭到施工人员的捕捉或捕杀而导致个体死亡或种群数量减少。这种影响同样也可通过加强对施工人员的教育与宣传等方式加以避免。</w:t>
      </w:r>
    </w:p>
    <w:p w14:paraId="3E10D1DD">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4.对哺乳类的影响</w:t>
      </w:r>
    </w:p>
    <w:p w14:paraId="4A4D7F69">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哺乳类感官非常敏锐、迁移能力较强，对人类活动的敏感程度较鸟类更甚。评价区内的哺乳类有筑巢于地下但主要在地面觅食的半地下生活型和在人类居民点或岩洞中生活的岩洞栖息型。工程施工期对其影响主要有，施工噪声对其的驱赶；生活垃圾对其觅食和分布的影响；施工引起的水体污染对其的影响；人为活动对其的影响等。由于工程施工区域主要为建设用地，施工区域内活动的哺乳类较少，工程施工对哺乳类影响有限。</w:t>
      </w:r>
    </w:p>
    <w:p w14:paraId="1CA3B64F">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哺乳类噪声非常敏感，噪声对其的影响主要为限制其活动范围，使部分种类觅食时不敢靠近施工区域。由于工程施工噪音强度不高，且周边区域替代生境多，施工噪音对哺乳类影响不大。</w:t>
      </w:r>
    </w:p>
    <w:p w14:paraId="7BE37ADF">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评价区内的哺乳类对水的依存度不高。评价范围内水域面积大，施工影响区域内的水域不是其唯一的饮用水水源地，因此施工引起的水体污染对评价区内哺乳类影响不大。</w:t>
      </w:r>
    </w:p>
    <w:p w14:paraId="1EA963F0">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评价区分布的哺乳类中，华南兔、东北刺猬等有较高的食用价值和经济价值，若不进行有效管理可能遭到施工人员的捕杀，同样可通过宣传教育和设置奖惩来加以避免。</w:t>
      </w:r>
    </w:p>
    <w:p w14:paraId="588B0592">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二、运行期</w:t>
      </w:r>
    </w:p>
    <w:p w14:paraId="24116692">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运行期间对动物不利影响主要为主体工程施工完成后初期，临时占地工程拆除、生境修复过程中人为活动、噪声等引起。运行初期人为活动少，部分临时工程拆除的施工强度低，产生的噪音强度不高，对区域野生动物不利影响小。东山水库除险加固完成后，减少了洪灾发生几率，有利于区域生境条件与生态系统的相对稳定，对区域野生动物生存、繁衍有一定的积极意义。</w:t>
      </w:r>
    </w:p>
    <w:p w14:paraId="760A9345">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外来入侵物种的影响</w:t>
      </w:r>
    </w:p>
    <w:p w14:paraId="1E94AD51">
      <w:pPr>
        <w:spacing w:line="360" w:lineRule="auto"/>
        <w:ind w:firstLine="480" w:firstLineChars="200"/>
        <w:rPr>
          <w:rFonts w:hint="default" w:ascii="Times New Roman" w:hAnsi="Times New Roman" w:eastAsia="宋体" w:cs="Times New Roman"/>
          <w:caps w:val="0"/>
          <w:smallCaps w:val="0"/>
          <w:sz w:val="24"/>
          <w:szCs w:val="21"/>
        </w:rPr>
      </w:pPr>
      <w:r>
        <w:rPr>
          <w:rFonts w:hint="default" w:ascii="Times New Roman" w:hAnsi="Times New Roman" w:eastAsia="宋体" w:cs="Times New Roman"/>
          <w:caps w:val="0"/>
          <w:smallCaps w:val="0"/>
          <w:sz w:val="24"/>
          <w:szCs w:val="21"/>
        </w:rPr>
        <w:t>通过现场调查，评价区外来入侵物种主要有垂序商陆</w:t>
      </w:r>
      <w:r>
        <w:rPr>
          <w:rFonts w:hint="default" w:ascii="Times New Roman" w:hAnsi="Times New Roman" w:eastAsia="宋体" w:cs="Times New Roman"/>
          <w:caps w:val="0"/>
          <w:smallCaps w:val="0"/>
          <w:sz w:val="24"/>
          <w:szCs w:val="21"/>
          <w:lang w:eastAsia="zh-CN"/>
        </w:rPr>
        <w:t>、小蓬草、一年蓬</w:t>
      </w:r>
      <w:r>
        <w:rPr>
          <w:rFonts w:hint="default" w:ascii="Times New Roman" w:hAnsi="Times New Roman" w:eastAsia="宋体" w:cs="Times New Roman"/>
          <w:caps w:val="0"/>
          <w:smallCaps w:val="0"/>
          <w:sz w:val="24"/>
          <w:szCs w:val="21"/>
        </w:rPr>
        <w:t>等，在评价范围内散布，影响范围有限。施工期频繁的人为活动，易引起外来入侵物种的大面积扩散或者带来一些新的外来入侵物种。施工过程中如不注意对其进行控制，可能导致其大规模入侵并迅速占领生态位，对本地种的生存造成危害。</w:t>
      </w:r>
    </w:p>
    <w:p w14:paraId="4B991238">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水土流失影响</w:t>
      </w:r>
    </w:p>
    <w:p w14:paraId="7DE5592D">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土地平整扰动了表土结构，土壤抗蚀能力降低，损坏了原有的水土保持能力，导致地表裸露，在地表径流的作用下，加大水土流失量，破坏生态，恶化环境。临时材料及临时弃土方的堆放在雨季可能产生水土流失。根据国家有关水土保持法律法规的要求，坚持“预防为主、全面规划、综合防治、因地制宜、加强管理、注重效益”的方针，坚持水土保持措施与主体工程建设“三同时”制度，设计中采取植物复种措施，边建设，边绿化。</w:t>
      </w:r>
    </w:p>
    <w:p w14:paraId="3EE35AA5">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为减少水土流失量，减轻对当地农业生态系统的影响，还应进行规范施工，减少施工场地作业面积，在施工现场建造挡土防护墙及绿化防护，同时建好施工场地的排水系统。合理设计施工时序，尽量缩短施工工期，并尽量避免雨天施工。对挖方场地，应随挖随整，尽量减少开挖坡度，减少裸露边坡裸露时间。对堆置的弃土堆四面坡脚采用装土编织袋挡墙进行临时性防护，顶面和坡面采用塑料膜或彩条布进行覆盖防护，场地四周设置排水沟。</w:t>
      </w:r>
    </w:p>
    <w:p w14:paraId="4D50A380">
      <w:pPr>
        <w:spacing w:line="360" w:lineRule="auto"/>
        <w:ind w:firstLine="480" w:firstLineChars="200"/>
        <w:rPr>
          <w:rFonts w:hint="default" w:ascii="Times New Roman" w:hAnsi="Times New Roman" w:eastAsia="宋体" w:cs="Times New Roman"/>
          <w:caps w:val="0"/>
          <w:smallCaps w:val="0"/>
          <w:sz w:val="24"/>
          <w:szCs w:val="21"/>
          <w:lang w:val="en-US" w:eastAsia="zh-CN"/>
        </w:rPr>
      </w:pPr>
      <w:r>
        <w:rPr>
          <w:rFonts w:hint="default" w:ascii="Times New Roman" w:hAnsi="Times New Roman" w:eastAsia="宋体" w:cs="Times New Roman"/>
          <w:caps w:val="0"/>
          <w:smallCaps w:val="0"/>
          <w:sz w:val="24"/>
          <w:szCs w:val="21"/>
          <w:lang w:val="en-US" w:eastAsia="zh-CN"/>
        </w:rPr>
        <w:t>总体而言，本项目的建设不会给所在区域生态系统带来明显不良影响，整个生态系统仍基本处于良性状态。</w:t>
      </w:r>
    </w:p>
    <w:p w14:paraId="053F5F03">
      <w:pPr>
        <w:pStyle w:val="5"/>
        <w:bidi w:val="0"/>
        <w:rPr>
          <w:rFonts w:hint="default" w:ascii="Times New Roman" w:hAnsi="Times New Roman" w:cs="Times New Roman"/>
          <w:lang w:val="en-US" w:eastAsia="zh-CN"/>
        </w:rPr>
      </w:pPr>
      <w:bookmarkStart w:id="309" w:name="_Toc7134"/>
      <w:r>
        <w:rPr>
          <w:rFonts w:hint="default" w:ascii="Times New Roman" w:hAnsi="Times New Roman" w:cs="Times New Roman"/>
          <w:lang w:val="en-US" w:eastAsia="zh-CN"/>
        </w:rPr>
        <w:t>对湖南华容桃花山省级森林公园的影响</w:t>
      </w:r>
      <w:bookmarkEnd w:id="309"/>
    </w:p>
    <w:p w14:paraId="509C515F">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项目选址影响</w:t>
      </w:r>
    </w:p>
    <w:p w14:paraId="1525B7A6">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1"/>
          <w:highlight w:val="none"/>
          <w:u w:val="none"/>
          <w:lang w:eastAsia="zh-CN"/>
        </w:rPr>
      </w:pP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项目</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占用</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森林公园</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土地，占用</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功能区为一般休憩区，一般休憩区是指森林风景资源相对平常、且方便开展旅游活动的区域。本项目工程涉及东山湖景区</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由于本次除险加固工程是在已经建成的水库大坝上进行修缮、改造和维护，工程永久占地面积很小，工程施工主要在现有工程占地范围内进行，受影响主要为常见植物类型，且量较少，相对森林公园总体数量，其比例极小，工程的实施不会使生物群落面积减少。相反，通过对后期植草绿化，增加禾本科草场或灌丛等生物群落的面积。因此，本工程建设不会对湖南华容桃花山省级森林公园森林生态系统产生影响。</w:t>
      </w:r>
    </w:p>
    <w:p w14:paraId="5060F05B">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对植物资源的影响</w:t>
      </w:r>
    </w:p>
    <w:p w14:paraId="06CDD2FF">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1"/>
          <w:highlight w:val="none"/>
          <w:u w:val="none"/>
          <w:lang w:eastAsia="zh-CN"/>
        </w:rPr>
      </w:pPr>
      <w:r>
        <w:rPr>
          <w:rFonts w:hint="default" w:ascii="Times New Roman" w:hAnsi="Times New Roman" w:eastAsia="宋体" w:cs="Times New Roman"/>
          <w:caps w:val="0"/>
          <w:smallCaps w:val="0"/>
          <w:snapToGrid/>
          <w:color w:val="auto"/>
          <w:spacing w:val="0"/>
          <w:kern w:val="0"/>
          <w:sz w:val="24"/>
          <w:szCs w:val="21"/>
          <w:highlight w:val="none"/>
          <w:u w:val="none"/>
          <w:lang w:eastAsia="zh-CN"/>
        </w:rPr>
        <w:t>工程建设和运行对森林公园植物资源的影响主要来自于人为干扰。施工期间，人为活动增加，对林木的砍伐、机械的暴力操作等，一方面容易造成森林公园林木遭到破坏后，使得森林公园内的植被由于周边生境改变，使得森林公园的植物资源更直接的暴露出来，在一定程度上削弱了实验区对森林公园内植物资源的保护作用；二是由于施工人员擅自进入施工以外地界或扩大施工范围，使得森林公园实验区植物被直接砍伐或破坏。同时，施工产生的扬尘会飘落到植物叶片表面，可能会影响植物的光合作用，从而影响植物的生长，对森林公园内的植被有一定的影响。由于</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项目主体工程周边为防护边坡</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附近</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工程量较小，施工时间相对较短，在严格控制施工红线，规范施工操作的情况下，并按要求实施相关水土措施的情况下，工程在施工期间对森林公园内植物资源的影响较小。</w:t>
      </w:r>
    </w:p>
    <w:p w14:paraId="532FBD08">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对动物资源的影响</w:t>
      </w:r>
    </w:p>
    <w:p w14:paraId="723C8639">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1"/>
          <w:highlight w:val="none"/>
          <w:u w:val="none"/>
          <w:lang w:eastAsia="zh-CN"/>
        </w:rPr>
      </w:pPr>
      <w:r>
        <w:rPr>
          <w:rFonts w:hint="default" w:ascii="Times New Roman" w:hAnsi="Times New Roman" w:eastAsia="宋体" w:cs="Times New Roman"/>
          <w:caps w:val="0"/>
          <w:smallCaps w:val="0"/>
          <w:snapToGrid/>
          <w:color w:val="auto"/>
          <w:spacing w:val="0"/>
          <w:kern w:val="0"/>
          <w:sz w:val="24"/>
          <w:szCs w:val="21"/>
          <w:highlight w:val="none"/>
          <w:u w:val="none"/>
          <w:lang w:eastAsia="zh-CN"/>
        </w:rPr>
        <w:t>在项目建设过程中，由于施工活动会将产生一定的噪声，如施工机械发出的声音或施工材料运输过程中发出的噪声，可能使森林公园内的野生动物受到惊吓，对其觅食活动也将产生一定的影响。不过由于动物均具有迁移能力，特别是鸟类和兽类的迁移能力较强，且工程靠近森林公园附近生境都比较相似，野生动物可暂时由原来的生境转移到远离施工区域的相似生境生活；且由于工程施工时间短，这些不利影响会将随施工的结束而逐渐消失。其次，施工期间施工人员会产生一定的生活垃圾和生活污水，生活垃圾的随意丢弃随意排放会劣化动物的生境，使得原来的生境变得不再适合动物生存，但通过严格的卫生条例和惩罚制度，会减缓这种影响。生活污水通过排污设施处理影响可以通过合理的措施加以避免或消减，且随着施工的结束而消失</w:t>
      </w:r>
    </w:p>
    <w:p w14:paraId="15B905AF">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对生态系统的影响</w:t>
      </w:r>
    </w:p>
    <w:p w14:paraId="392716EF">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1"/>
          <w:highlight w:val="none"/>
          <w:u w:val="none"/>
          <w:lang w:eastAsia="zh-CN"/>
        </w:rPr>
      </w:pPr>
      <w:r>
        <w:rPr>
          <w:rFonts w:hint="default" w:ascii="Times New Roman" w:hAnsi="Times New Roman" w:eastAsia="宋体" w:cs="Times New Roman"/>
          <w:caps w:val="0"/>
          <w:smallCaps w:val="0"/>
          <w:snapToGrid/>
          <w:color w:val="auto"/>
          <w:spacing w:val="0"/>
          <w:kern w:val="0"/>
          <w:sz w:val="24"/>
          <w:szCs w:val="21"/>
          <w:highlight w:val="none"/>
          <w:u w:val="none"/>
          <w:lang w:eastAsia="zh-CN"/>
        </w:rPr>
        <w:t>森林公园内主要分布</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森林生态系统</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，本项目施工期占用森林公园土地面积小，破坏</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其</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生态系统的组成基质较小，相应的材料运输等都会对沿途及森林公园的</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森林</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景观产生一定的视觉影响，但随着工程完工后的恢复措施的实施，这种影响会逐渐消失，因此本项目施工期对森林公园的生态完整性影响较小。</w:t>
      </w:r>
    </w:p>
    <w:p w14:paraId="3EEC8FEB">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对生态功能的影响</w:t>
      </w:r>
    </w:p>
    <w:p w14:paraId="2270B07A">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1"/>
          <w:highlight w:val="none"/>
          <w:u w:val="none"/>
          <w:lang w:eastAsia="zh-CN"/>
        </w:rPr>
      </w:pP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项目虽然</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占用森林公园的一般休憩区，工程施工造成的水土流失、人为干扰等，可能会</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涉及森林公园</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的部分植被，可通过采取及时有效的水土保护措施和植被恢复措施，人为控制和降低对森林公园内植被的间接影响，尽量维护现有动植物生境。因此项目建设对</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森林公园</w:t>
      </w:r>
      <w:r>
        <w:rPr>
          <w:rFonts w:hint="default" w:ascii="Times New Roman" w:hAnsi="Times New Roman" w:eastAsia="宋体" w:cs="Times New Roman"/>
          <w:caps w:val="0"/>
          <w:smallCaps w:val="0"/>
          <w:snapToGrid/>
          <w:color w:val="auto"/>
          <w:spacing w:val="0"/>
          <w:kern w:val="0"/>
          <w:sz w:val="24"/>
          <w:szCs w:val="21"/>
          <w:highlight w:val="none"/>
          <w:u w:val="none"/>
          <w:lang w:eastAsia="zh-CN"/>
        </w:rPr>
        <w:t>正常保护功能基本无影响。</w:t>
      </w:r>
    </w:p>
    <w:p w14:paraId="779E8414">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对环境质量的影响</w:t>
      </w:r>
    </w:p>
    <w:p w14:paraId="56D914BE">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pP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由于工程运行期人为活动少，对周边空气环境、水环境、土壤环境影响较小。生活在森林公园内的动物受到施工期噪声的惊扰会选择趋避，造成生活范围缩小，随着运行时间的延长，这种影响会逐渐减小甚至消失。因此项目建设对森林公园内的环境质量影响很小。</w:t>
      </w:r>
    </w:p>
    <w:p w14:paraId="5B147483">
      <w:pPr>
        <w:pStyle w:val="5"/>
        <w:bidi w:val="0"/>
        <w:rPr>
          <w:rFonts w:hint="default" w:ascii="Times New Roman" w:hAnsi="Times New Roman" w:cs="Times New Roman"/>
          <w:lang w:val="en-US" w:eastAsia="zh-CN"/>
        </w:rPr>
      </w:pPr>
      <w:bookmarkStart w:id="310" w:name="_Toc10764"/>
      <w:r>
        <w:rPr>
          <w:rFonts w:hint="default" w:ascii="Times New Roman" w:hAnsi="Times New Roman" w:cs="Times New Roman"/>
          <w:lang w:val="en-US" w:eastAsia="zh-CN"/>
        </w:rPr>
        <w:t>对生态保护红线的影响</w:t>
      </w:r>
      <w:bookmarkEnd w:id="310"/>
    </w:p>
    <w:p w14:paraId="5385E68C">
      <w:pPr>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pP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经国土部门查询，工程压覆生态保护红线9.473hm</w:t>
      </w:r>
      <w:r>
        <w:rPr>
          <w:rFonts w:hint="default" w:ascii="Times New Roman" w:hAnsi="Times New Roman" w:eastAsia="宋体" w:cs="Times New Roman"/>
          <w:caps w:val="0"/>
          <w:smallCaps w:val="0"/>
          <w:snapToGrid/>
          <w:color w:val="auto"/>
          <w:spacing w:val="0"/>
          <w:kern w:val="0"/>
          <w:sz w:val="24"/>
          <w:szCs w:val="21"/>
          <w:highlight w:val="none"/>
          <w:u w:val="none"/>
          <w:vertAlign w:val="superscript"/>
          <w:lang w:val="en-US" w:eastAsia="zh-CN"/>
        </w:rPr>
        <w:t>2</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w:t>
      </w:r>
      <w:r>
        <w:rPr>
          <w:rFonts w:hint="eastAsia" w:ascii="Times New Roman" w:hAnsi="Times New Roman" w:eastAsia="宋体" w:cs="Times New Roman"/>
          <w:caps w:val="0"/>
          <w:smallCaps w:val="0"/>
          <w:snapToGrid/>
          <w:color w:val="auto"/>
          <w:spacing w:val="0"/>
          <w:kern w:val="0"/>
          <w:sz w:val="24"/>
          <w:szCs w:val="21"/>
          <w:highlight w:val="none"/>
          <w:u w:val="none"/>
          <w:lang w:val="en-US" w:eastAsia="zh-CN"/>
        </w:rPr>
        <w:t>因东山水库整体位于桃花山省级森林公园内，本工程为水库除险加固工程，选址无法避让</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w:t>
      </w:r>
      <w:r>
        <w:rPr>
          <w:rFonts w:hint="eastAsia" w:ascii="Times New Roman" w:hAnsi="Times New Roman" w:eastAsia="宋体" w:cs="Times New Roman"/>
          <w:caps w:val="0"/>
          <w:smallCaps w:val="0"/>
          <w:snapToGrid/>
          <w:color w:val="auto"/>
          <w:spacing w:val="0"/>
          <w:kern w:val="0"/>
          <w:sz w:val="24"/>
          <w:szCs w:val="21"/>
          <w:highlight w:val="none"/>
          <w:u w:val="none"/>
          <w:lang w:val="en-US" w:eastAsia="zh-CN"/>
        </w:rPr>
        <w:t>项目对生态保护红线的影响</w:t>
      </w:r>
      <w:r>
        <w:rPr>
          <w:rFonts w:hint="default" w:ascii="Times New Roman" w:hAnsi="Times New Roman" w:eastAsia="宋体" w:cs="Times New Roman"/>
          <w:caps w:val="0"/>
          <w:smallCaps w:val="0"/>
          <w:snapToGrid/>
          <w:color w:val="auto"/>
          <w:spacing w:val="0"/>
          <w:kern w:val="0"/>
          <w:sz w:val="24"/>
          <w:szCs w:val="21"/>
          <w:highlight w:val="none"/>
          <w:u w:val="none"/>
          <w:lang w:val="en-US" w:eastAsia="zh-CN"/>
        </w:rPr>
        <w:t>主要</w:t>
      </w:r>
      <w:r>
        <w:rPr>
          <w:rFonts w:hint="eastAsia" w:ascii="Times New Roman" w:hAnsi="Times New Roman" w:eastAsia="宋体" w:cs="Times New Roman"/>
          <w:caps w:val="0"/>
          <w:smallCaps w:val="0"/>
          <w:snapToGrid/>
          <w:color w:val="auto"/>
          <w:spacing w:val="0"/>
          <w:kern w:val="0"/>
          <w:sz w:val="24"/>
          <w:szCs w:val="21"/>
          <w:highlight w:val="none"/>
          <w:u w:val="none"/>
          <w:lang w:val="en-US" w:eastAsia="zh-CN"/>
        </w:rPr>
        <w:t>体现在</w:t>
      </w:r>
      <w:r>
        <w:rPr>
          <w:rFonts w:hint="default" w:ascii="Times New Roman" w:hAnsi="Times New Roman" w:eastAsia="宋体" w:cs="Times New Roman"/>
          <w:caps w:val="0"/>
          <w:smallCaps w:val="0"/>
          <w:color w:val="auto"/>
          <w:sz w:val="24"/>
          <w:szCs w:val="24"/>
          <w:highlight w:val="none"/>
          <w:lang w:val="en-US" w:eastAsia="zh-CN"/>
        </w:rPr>
        <w:t>施工行为和施工中产生的废气、噪声对红线区域的自然生境造成影响。</w:t>
      </w:r>
      <w:r>
        <w:rPr>
          <w:rFonts w:hint="eastAsia" w:ascii="Times New Roman" w:hAnsi="Times New Roman" w:eastAsia="宋体" w:cs="Times New Roman"/>
          <w:caps w:val="0"/>
          <w:smallCaps w:val="0"/>
          <w:snapToGrid/>
          <w:color w:val="auto"/>
          <w:spacing w:val="0"/>
          <w:kern w:val="0"/>
          <w:sz w:val="24"/>
          <w:szCs w:val="21"/>
          <w:highlight w:val="none"/>
          <w:u w:val="none"/>
          <w:lang w:val="en-US" w:eastAsia="zh-CN"/>
        </w:rPr>
        <w:t>项目工程量小，主要在枯水期进行，通过降低水位施工，避开对水体的影响，故影响程度和范围均较小。</w:t>
      </w:r>
    </w:p>
    <w:p w14:paraId="6A8768DE">
      <w:pPr>
        <w:pStyle w:val="3"/>
        <w:bidi w:val="0"/>
        <w:rPr>
          <w:rFonts w:hint="default" w:ascii="Times New Roman" w:hAnsi="Times New Roman" w:cs="Times New Roman"/>
          <w:color w:val="auto"/>
        </w:rPr>
      </w:pPr>
      <w:bookmarkStart w:id="311" w:name="_Toc7107"/>
      <w:r>
        <w:rPr>
          <w:rFonts w:hint="default" w:ascii="Times New Roman" w:hAnsi="Times New Roman" w:cs="Times New Roman"/>
          <w:color w:val="auto"/>
        </w:rPr>
        <w:t>营运期环境影响分析</w:t>
      </w:r>
      <w:bookmarkEnd w:id="311"/>
    </w:p>
    <w:p w14:paraId="6E5CEC9B">
      <w:pPr>
        <w:pStyle w:val="4"/>
        <w:bidi w:val="0"/>
        <w:rPr>
          <w:rFonts w:hint="default" w:ascii="Times New Roman" w:hAnsi="Times New Roman" w:cs="Times New Roman"/>
          <w:color w:val="auto"/>
        </w:rPr>
      </w:pPr>
      <w:bookmarkStart w:id="312" w:name="_Toc1426"/>
      <w:r>
        <w:rPr>
          <w:rFonts w:hint="default" w:ascii="Times New Roman" w:hAnsi="Times New Roman" w:cs="Times New Roman"/>
          <w:color w:val="auto"/>
          <w:lang w:val="en-US" w:eastAsia="zh-CN"/>
        </w:rPr>
        <w:t>营运期</w:t>
      </w:r>
      <w:r>
        <w:rPr>
          <w:rFonts w:hint="default" w:ascii="Times New Roman" w:hAnsi="Times New Roman" w:cs="Times New Roman"/>
          <w:color w:val="auto"/>
        </w:rPr>
        <w:t>环境空气影响分析</w:t>
      </w:r>
      <w:bookmarkEnd w:id="312"/>
    </w:p>
    <w:p w14:paraId="4067D5CB">
      <w:pPr>
        <w:keepNext w:val="0"/>
        <w:keepLines w:val="0"/>
        <w:pageBreakBefore w:val="0"/>
        <w:widowControl w:val="0"/>
        <w:tabs>
          <w:tab w:val="left" w:pos="135"/>
        </w:tabs>
        <w:kinsoku/>
        <w:wordWrap/>
        <w:overflowPunct/>
        <w:topLinePunct w:val="0"/>
        <w:autoSpaceDE/>
        <w:autoSpaceDN/>
        <w:bidi w:val="0"/>
        <w:adjustRightInd/>
        <w:snapToGrid/>
        <w:spacing w:line="360" w:lineRule="auto"/>
        <w:ind w:left="0" w:firstLine="488"/>
        <w:textAlignment w:val="auto"/>
        <w:rPr>
          <w:rFonts w:hint="default" w:ascii="Times New Roman" w:hAnsi="Times New Roman" w:eastAsia="宋体" w:cs="Times New Roman"/>
          <w:color w:val="auto"/>
          <w:spacing w:val="0"/>
          <w:w w:val="100"/>
          <w:position w:val="0"/>
          <w:sz w:val="24"/>
          <w:szCs w:val="24"/>
          <w:u w:val="none" w:color="auto"/>
        </w:rPr>
      </w:pPr>
      <w:r>
        <w:rPr>
          <w:rFonts w:hint="eastAsia" w:ascii="Times New Roman" w:hAnsi="Times New Roman" w:eastAsia="宋体" w:cs="Times New Roman"/>
          <w:color w:val="auto"/>
          <w:spacing w:val="0"/>
          <w:w w:val="100"/>
          <w:position w:val="0"/>
          <w:sz w:val="24"/>
          <w:szCs w:val="24"/>
          <w:u w:val="none" w:color="auto"/>
          <w:lang w:val="en-US" w:eastAsia="zh-CN"/>
        </w:rPr>
        <w:t>本项目运行期废气主要为管理所食堂油烟，管理房食堂基准灶头数为</w:t>
      </w:r>
      <w:r>
        <w:rPr>
          <w:rFonts w:hint="default" w:ascii="Times New Roman" w:hAnsi="Times New Roman" w:eastAsia="宋体" w:cs="Times New Roman"/>
          <w:color w:val="auto"/>
          <w:spacing w:val="0"/>
          <w:w w:val="100"/>
          <w:position w:val="0"/>
          <w:sz w:val="24"/>
          <w:szCs w:val="24"/>
          <w:u w:val="none" w:color="auto"/>
          <w:lang w:val="en-US" w:eastAsia="zh-CN"/>
        </w:rPr>
        <w:t>1</w:t>
      </w:r>
      <w:r>
        <w:rPr>
          <w:rFonts w:hint="eastAsia" w:ascii="Times New Roman" w:hAnsi="Times New Roman" w:eastAsia="宋体" w:cs="Times New Roman"/>
          <w:color w:val="auto"/>
          <w:spacing w:val="0"/>
          <w:w w:val="100"/>
          <w:position w:val="0"/>
          <w:sz w:val="24"/>
          <w:szCs w:val="24"/>
          <w:u w:val="none" w:color="auto"/>
          <w:lang w:val="en-US" w:eastAsia="zh-CN"/>
        </w:rPr>
        <w:t>，属于小型规模。水库管理人员不新增，食堂油烟经油烟净化装置处理，风量</w:t>
      </w:r>
      <w:r>
        <w:rPr>
          <w:rFonts w:hint="default" w:ascii="Times New Roman" w:hAnsi="Times New Roman" w:eastAsia="宋体" w:cs="Times New Roman"/>
          <w:color w:val="auto"/>
          <w:spacing w:val="0"/>
          <w:w w:val="100"/>
          <w:position w:val="0"/>
          <w:sz w:val="24"/>
          <w:szCs w:val="24"/>
          <w:u w:val="none" w:color="auto"/>
          <w:lang w:val="en-US" w:eastAsia="zh-CN"/>
        </w:rPr>
        <w:t>2000m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3</w:t>
      </w:r>
      <w:r>
        <w:rPr>
          <w:rFonts w:hint="default" w:ascii="Times New Roman" w:hAnsi="Times New Roman" w:eastAsia="宋体" w:cs="Times New Roman"/>
          <w:color w:val="auto"/>
          <w:spacing w:val="0"/>
          <w:w w:val="100"/>
          <w:position w:val="0"/>
          <w:sz w:val="24"/>
          <w:szCs w:val="24"/>
          <w:u w:val="none" w:color="auto"/>
          <w:lang w:val="en-US" w:eastAsia="zh-CN"/>
        </w:rPr>
        <w:t xml:space="preserve"> /h</w:t>
      </w:r>
      <w:r>
        <w:rPr>
          <w:rFonts w:hint="eastAsia" w:ascii="Times New Roman" w:hAnsi="Times New Roman" w:eastAsia="宋体" w:cs="Times New Roman"/>
          <w:color w:val="auto"/>
          <w:spacing w:val="0"/>
          <w:w w:val="100"/>
          <w:position w:val="0"/>
          <w:sz w:val="24"/>
          <w:szCs w:val="24"/>
          <w:u w:val="none" w:color="auto"/>
          <w:lang w:val="en-US" w:eastAsia="zh-CN"/>
        </w:rPr>
        <w:t>，灶头每天工作</w:t>
      </w:r>
      <w:r>
        <w:rPr>
          <w:rFonts w:hint="default" w:ascii="Times New Roman" w:hAnsi="Times New Roman" w:eastAsia="宋体" w:cs="Times New Roman"/>
          <w:color w:val="auto"/>
          <w:spacing w:val="0"/>
          <w:w w:val="100"/>
          <w:position w:val="0"/>
          <w:sz w:val="24"/>
          <w:szCs w:val="24"/>
          <w:u w:val="none" w:color="auto"/>
          <w:lang w:val="en-US" w:eastAsia="zh-CN"/>
        </w:rPr>
        <w:t>5</w:t>
      </w:r>
      <w:r>
        <w:rPr>
          <w:rFonts w:hint="eastAsia" w:ascii="Times New Roman" w:hAnsi="Times New Roman" w:eastAsia="宋体" w:cs="Times New Roman"/>
          <w:color w:val="auto"/>
          <w:spacing w:val="0"/>
          <w:w w:val="100"/>
          <w:position w:val="0"/>
          <w:sz w:val="24"/>
          <w:szCs w:val="24"/>
          <w:u w:val="none" w:color="auto"/>
          <w:lang w:val="en-US" w:eastAsia="zh-CN"/>
        </w:rPr>
        <w:t>小时，处理效率为≥</w:t>
      </w:r>
      <w:r>
        <w:rPr>
          <w:rFonts w:hint="default" w:ascii="Times New Roman" w:hAnsi="Times New Roman" w:eastAsia="宋体" w:cs="Times New Roman"/>
          <w:color w:val="auto"/>
          <w:spacing w:val="0"/>
          <w:w w:val="100"/>
          <w:position w:val="0"/>
          <w:sz w:val="24"/>
          <w:szCs w:val="24"/>
          <w:u w:val="none" w:color="auto"/>
          <w:lang w:val="en-US" w:eastAsia="zh-CN"/>
        </w:rPr>
        <w:t>60%</w:t>
      </w:r>
      <w:r>
        <w:rPr>
          <w:rFonts w:hint="eastAsia" w:ascii="Times New Roman" w:hAnsi="Times New Roman" w:eastAsia="宋体" w:cs="Times New Roman"/>
          <w:color w:val="auto"/>
          <w:spacing w:val="0"/>
          <w:w w:val="100"/>
          <w:position w:val="0"/>
          <w:sz w:val="24"/>
          <w:szCs w:val="24"/>
          <w:u w:val="none" w:color="auto"/>
          <w:lang w:val="en-US" w:eastAsia="zh-CN"/>
        </w:rPr>
        <w:t>，处理后排放浓度＜</w:t>
      </w:r>
      <w:r>
        <w:rPr>
          <w:rFonts w:hint="default" w:ascii="Times New Roman" w:hAnsi="Times New Roman" w:eastAsia="宋体" w:cs="Times New Roman"/>
          <w:color w:val="auto"/>
          <w:spacing w:val="0"/>
          <w:w w:val="100"/>
          <w:position w:val="0"/>
          <w:sz w:val="24"/>
          <w:szCs w:val="24"/>
          <w:u w:val="none" w:color="auto"/>
          <w:lang w:val="en-US" w:eastAsia="zh-CN"/>
        </w:rPr>
        <w:t>2mg/m</w:t>
      </w:r>
      <w:r>
        <w:rPr>
          <w:rFonts w:hint="default" w:ascii="Times New Roman" w:hAnsi="Times New Roman" w:eastAsia="宋体" w:cs="Times New Roman"/>
          <w:color w:val="auto"/>
          <w:spacing w:val="0"/>
          <w:w w:val="100"/>
          <w:position w:val="0"/>
          <w:sz w:val="24"/>
          <w:szCs w:val="24"/>
          <w:u w:val="none" w:color="auto"/>
          <w:vertAlign w:val="superscript"/>
          <w:lang w:val="en-US" w:eastAsia="zh-CN"/>
        </w:rPr>
        <w:t>3</w:t>
      </w:r>
      <w:r>
        <w:rPr>
          <w:rFonts w:hint="eastAsia" w:ascii="Times New Roman" w:hAnsi="Times New Roman" w:eastAsia="宋体" w:cs="Times New Roman"/>
          <w:color w:val="auto"/>
          <w:spacing w:val="0"/>
          <w:w w:val="100"/>
          <w:position w:val="0"/>
          <w:sz w:val="24"/>
          <w:szCs w:val="24"/>
          <w:u w:val="none" w:color="auto"/>
          <w:lang w:val="en-US" w:eastAsia="zh-CN"/>
        </w:rPr>
        <w:t>，满足《饮食业油烟排放标准（试行）》（</w:t>
      </w:r>
      <w:r>
        <w:rPr>
          <w:rFonts w:hint="default" w:ascii="Times New Roman" w:hAnsi="Times New Roman" w:eastAsia="宋体" w:cs="Times New Roman"/>
          <w:color w:val="auto"/>
          <w:spacing w:val="0"/>
          <w:w w:val="100"/>
          <w:position w:val="0"/>
          <w:sz w:val="24"/>
          <w:szCs w:val="24"/>
          <w:u w:val="none" w:color="auto"/>
          <w:lang w:val="en-US" w:eastAsia="zh-CN"/>
        </w:rPr>
        <w:t>GB18483-2001</w:t>
      </w:r>
      <w:r>
        <w:rPr>
          <w:rFonts w:hint="eastAsia" w:ascii="Times New Roman" w:hAnsi="Times New Roman" w:eastAsia="宋体" w:cs="Times New Roman"/>
          <w:color w:val="auto"/>
          <w:spacing w:val="0"/>
          <w:w w:val="100"/>
          <w:position w:val="0"/>
          <w:sz w:val="24"/>
          <w:szCs w:val="24"/>
          <w:u w:val="none" w:color="auto"/>
          <w:lang w:val="en-US" w:eastAsia="zh-CN"/>
        </w:rPr>
        <w:t>）要求</w:t>
      </w: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宋体" w:cs="Times New Roman"/>
          <w:color w:val="auto"/>
          <w:spacing w:val="0"/>
          <w:w w:val="100"/>
          <w:position w:val="0"/>
          <w:sz w:val="24"/>
          <w:szCs w:val="24"/>
          <w:u w:val="none" w:color="auto"/>
          <w:lang w:eastAsia="zh-CN"/>
        </w:rPr>
        <w:t>东山水库</w:t>
      </w:r>
      <w:r>
        <w:rPr>
          <w:rFonts w:hint="default" w:ascii="Times New Roman" w:hAnsi="Times New Roman" w:eastAsia="宋体" w:cs="Times New Roman"/>
          <w:color w:val="auto"/>
          <w:spacing w:val="0"/>
          <w:w w:val="100"/>
          <w:position w:val="0"/>
          <w:sz w:val="24"/>
          <w:szCs w:val="24"/>
          <w:u w:val="none" w:color="auto"/>
        </w:rPr>
        <w:t>所在区域植被茂密，大气污染少，大气环境容量大，油烟又是间断排放，故项目排放油烟对周边大气环境影响不大。</w:t>
      </w:r>
    </w:p>
    <w:p w14:paraId="75951E25">
      <w:pPr>
        <w:pStyle w:val="4"/>
        <w:bidi w:val="0"/>
        <w:rPr>
          <w:rFonts w:hint="default" w:ascii="Times New Roman" w:hAnsi="Times New Roman" w:cs="Times New Roman"/>
          <w:color w:val="auto"/>
        </w:rPr>
      </w:pPr>
      <w:bookmarkStart w:id="313" w:name="_Toc16828"/>
      <w:r>
        <w:rPr>
          <w:rFonts w:hint="default" w:ascii="Times New Roman" w:hAnsi="Times New Roman" w:cs="Times New Roman"/>
          <w:color w:val="auto"/>
          <w:lang w:val="en-US" w:eastAsia="zh-CN"/>
        </w:rPr>
        <w:t>营运期</w:t>
      </w:r>
      <w:r>
        <w:rPr>
          <w:rFonts w:hint="default" w:ascii="Times New Roman" w:hAnsi="Times New Roman" w:cs="Times New Roman"/>
          <w:color w:val="auto"/>
        </w:rPr>
        <w:t>地表水环境影响分析</w:t>
      </w:r>
      <w:bookmarkEnd w:id="313"/>
    </w:p>
    <w:p w14:paraId="5D42B203">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水文情势影响分析</w:t>
      </w:r>
    </w:p>
    <w:p w14:paraId="7B0DFA5B">
      <w:pPr>
        <w:keepNext w:val="0"/>
        <w:keepLines w:val="0"/>
        <w:pageBreakBefore w:val="0"/>
        <w:widowControl w:val="0"/>
        <w:kinsoku/>
        <w:wordWrap/>
        <w:overflowPunct/>
        <w:topLinePunct w:val="0"/>
        <w:autoSpaceDE/>
        <w:autoSpaceDN/>
        <w:bidi w:val="0"/>
        <w:adjustRightInd w:val="0"/>
        <w:snapToGrid/>
        <w:spacing w:line="360" w:lineRule="auto"/>
        <w:ind w:left="0" w:right="0" w:firstLine="0" w:firstLineChars="0"/>
        <w:jc w:val="left"/>
        <w:textAlignment w:val="auto"/>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rPr>
        <w:t xml:space="preserve"> </w:t>
      </w:r>
      <w:r>
        <w:rPr>
          <w:rFonts w:hint="default" w:ascii="Times New Roman" w:hAnsi="Times New Roman" w:eastAsia="宋体" w:cs="Times New Roman"/>
          <w:color w:val="auto"/>
          <w:spacing w:val="0"/>
          <w:w w:val="100"/>
          <w:position w:val="0"/>
          <w:sz w:val="24"/>
          <w:szCs w:val="24"/>
          <w:u w:val="none" w:color="auto"/>
          <w:lang w:val="en-US" w:eastAsia="zh-CN"/>
        </w:rPr>
        <w:t xml:space="preserve">    </w:t>
      </w:r>
      <w:r>
        <w:rPr>
          <w:rFonts w:hint="default" w:ascii="Times New Roman" w:hAnsi="Times New Roman" w:eastAsia="宋体" w:cs="Times New Roman"/>
          <w:color w:val="auto"/>
          <w:spacing w:val="0"/>
          <w:w w:val="100"/>
          <w:position w:val="0"/>
          <w:sz w:val="24"/>
          <w:szCs w:val="24"/>
          <w:u w:val="none" w:color="auto"/>
        </w:rPr>
        <w:t>本工程是水库除险加固工程，不改变坝体位置，不改变水库设计正常蓄水位，不改变水库运行调度原则，本工程不进行增容，除险加固后，可保障水库蓄水位提高到正常蓄水位，水位变化不大， 对库区的水温结构、流速等影响较小。</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运营</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期根据下游灌溉放水计划及生态流量放水要求，利用放水涵管放水，能保证坝下河道最小生态流量的下泄</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p>
    <w:p w14:paraId="6FBD6EA3">
      <w:pPr>
        <w:keepNext w:val="0"/>
        <w:keepLines w:val="0"/>
        <w:pageBreakBefore w:val="0"/>
        <w:widowControl w:val="0"/>
        <w:kinsoku/>
        <w:wordWrap/>
        <w:overflowPunct/>
        <w:topLinePunct w:val="0"/>
        <w:autoSpaceDE/>
        <w:autoSpaceDN/>
        <w:bidi w:val="0"/>
        <w:adjustRightInd w:val="0"/>
        <w:snapToGrid/>
        <w:spacing w:line="360" w:lineRule="auto"/>
        <w:ind w:left="0" w:right="0" w:firstLine="480" w:firstLineChars="200"/>
        <w:jc w:val="left"/>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综上所述，本项目主体工程在原址基础上进行除险加固，不改变水库设计正常蓄水位，不进行增容，不改变水库流量、水位等工程特性，除险加固工程后防洪调度运用原则与现状调度运用原则基本一致，因而</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本项目</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运行期对库区、上下游水文情势无明显影响。</w:t>
      </w:r>
      <w:r>
        <w:rPr>
          <w:rFonts w:hint="eastAsia" w:ascii="Times New Roman" w:hAnsi="Times New Roman" w:eastAsia="宋体" w:cs="Times New Roman"/>
          <w:color w:val="auto"/>
          <w:spacing w:val="0"/>
          <w:w w:val="100"/>
          <w:position w:val="0"/>
          <w:sz w:val="24"/>
          <w:szCs w:val="24"/>
          <w:u w:val="none" w:color="auto"/>
          <w:lang w:val="en-US" w:eastAsia="zh-CN"/>
        </w:rPr>
        <w:t xml:space="preserve"> </w:t>
      </w:r>
      <w:r>
        <w:rPr>
          <w:rFonts w:hint="default" w:ascii="Times New Roman" w:hAnsi="Times New Roman" w:eastAsia="宋体" w:cs="Times New Roman"/>
          <w:color w:val="auto"/>
          <w:spacing w:val="0"/>
          <w:w w:val="100"/>
          <w:position w:val="0"/>
          <w:sz w:val="24"/>
          <w:szCs w:val="24"/>
          <w:u w:val="none" w:color="auto"/>
        </w:rPr>
        <w:t xml:space="preserve"> </w:t>
      </w:r>
    </w:p>
    <w:p w14:paraId="7DF81524">
      <w:pPr>
        <w:pStyle w:val="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水质影响分析</w:t>
      </w:r>
    </w:p>
    <w:p w14:paraId="669F233B">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Times New Roman" w:cs="Times New Roman"/>
          <w:color w:val="auto"/>
          <w:spacing w:val="0"/>
          <w:w w:val="100"/>
          <w:position w:val="0"/>
          <w:sz w:val="24"/>
          <w:szCs w:val="24"/>
          <w:u w:val="none" w:color="auto"/>
          <w:lang w:val="en-US" w:eastAsia="zh-CN"/>
        </w:rPr>
        <w:t>本项目对原有水库进行除险加固工程，属非污染生态影响项目</w:t>
      </w:r>
      <w:r>
        <w:rPr>
          <w:rFonts w:hint="eastAsia" w:ascii="Times New Roman" w:hAnsi="Times New Roman" w:eastAsia="Times New Roman" w:cs="Times New Roman"/>
          <w:color w:val="auto"/>
          <w:spacing w:val="0"/>
          <w:w w:val="10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本次除险加固工程完成后，水库运行本身不产生水污染物，运行期污废水主要为现有水库管理人员日常生活产生的生活污水，水库管理人员不变，运行期无新增废污水。根据现状监测数据，水库各监测因子均满足《地表水环境质量标准》（GB3838-2002）</w:t>
      </w:r>
      <w:r>
        <w:rPr>
          <w:rFonts w:hint="default" w:ascii="Times New Roman" w:hAnsi="Times New Roman" w:eastAsia="宋体" w:cs="Times New Roman"/>
          <w:caps w:val="0"/>
          <w:smallCaps w:val="0"/>
          <w:color w:val="auto"/>
          <w:spacing w:val="0"/>
          <w:w w:val="100"/>
          <w:kern w:val="0"/>
          <w:position w:val="0"/>
          <w:sz w:val="24"/>
          <w:szCs w:val="24"/>
          <w:u w:val="none" w:color="auto"/>
        </w:rPr>
        <w:fldChar w:fldCharType="begin"/>
      </w:r>
      <w:r>
        <w:rPr>
          <w:rFonts w:hint="default" w:ascii="Times New Roman" w:hAnsi="Times New Roman" w:eastAsia="宋体" w:cs="Times New Roman"/>
          <w:caps w:val="0"/>
          <w:smallCaps w:val="0"/>
          <w:color w:val="auto"/>
          <w:spacing w:val="0"/>
          <w:w w:val="100"/>
          <w:kern w:val="0"/>
          <w:position w:val="0"/>
          <w:sz w:val="24"/>
          <w:szCs w:val="24"/>
          <w:u w:val="none" w:color="auto"/>
        </w:rPr>
        <w:instrText xml:space="preserve"> = 2 \* ROMAN \* MERGEFORMAT </w:instrText>
      </w:r>
      <w:r>
        <w:rPr>
          <w:rFonts w:hint="default" w:ascii="Times New Roman" w:hAnsi="Times New Roman" w:eastAsia="宋体" w:cs="Times New Roman"/>
          <w:caps w:val="0"/>
          <w:smallCaps w:val="0"/>
          <w:color w:val="auto"/>
          <w:spacing w:val="0"/>
          <w:w w:val="100"/>
          <w:kern w:val="0"/>
          <w:position w:val="0"/>
          <w:sz w:val="24"/>
          <w:szCs w:val="24"/>
          <w:u w:val="none" w:color="auto"/>
        </w:rPr>
        <w:fldChar w:fldCharType="separate"/>
      </w:r>
      <w:r>
        <w:rPr>
          <w:rFonts w:hint="default" w:ascii="Times New Roman" w:hAnsi="Times New Roman" w:cs="Times New Roman"/>
          <w:color w:val="auto"/>
          <w:spacing w:val="0"/>
          <w:w w:val="100"/>
          <w:position w:val="0"/>
          <w:sz w:val="24"/>
          <w:szCs w:val="24"/>
          <w:u w:val="none" w:color="auto"/>
        </w:rPr>
        <w:t>II</w:t>
      </w:r>
      <w:r>
        <w:rPr>
          <w:rFonts w:hint="default" w:ascii="Times New Roman" w:hAnsi="Times New Roman" w:eastAsia="宋体" w:cs="Times New Roman"/>
          <w:caps w:val="0"/>
          <w:smallCaps w:val="0"/>
          <w:color w:val="auto"/>
          <w:spacing w:val="0"/>
          <w:w w:val="100"/>
          <w:kern w:val="0"/>
          <w:position w:val="0"/>
          <w:sz w:val="24"/>
          <w:szCs w:val="24"/>
          <w:u w:val="none" w:color="auto"/>
        </w:rPr>
        <w:fldChar w:fldCharType="end"/>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类、</w:t>
      </w:r>
      <w:r>
        <w:rPr>
          <w:rFonts w:hint="default" w:ascii="Times New Roman" w:hAnsi="Times New Roman" w:eastAsia="宋体" w:cs="Times New Roman"/>
          <w:caps w:val="0"/>
          <w:smallCaps w:val="0"/>
          <w:color w:val="auto"/>
          <w:spacing w:val="0"/>
          <w:w w:val="100"/>
          <w:kern w:val="0"/>
          <w:position w:val="0"/>
          <w:sz w:val="24"/>
          <w:szCs w:val="24"/>
          <w:u w:val="none" w:color="auto"/>
        </w:rPr>
        <w:t>Ⅲ类标准</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及表2 集中式生活饮用水地表水源地补充项目标准限值</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根据历史记录</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水库未发生过富营养化事件。</w:t>
      </w:r>
    </w:p>
    <w:p w14:paraId="6B52C912">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Times New Roman" w:cs="Times New Roman"/>
          <w:color w:val="auto"/>
          <w:spacing w:val="0"/>
          <w:w w:val="10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综上，</w:t>
      </w:r>
      <w:r>
        <w:rPr>
          <w:rFonts w:hint="default" w:ascii="Times New Roman" w:hAnsi="Times New Roman" w:eastAsia="宋体" w:cs="Times New Roman"/>
          <w:caps w:val="0"/>
          <w:smallCaps w:val="0"/>
          <w:color w:val="auto"/>
          <w:spacing w:val="0"/>
          <w:w w:val="100"/>
          <w:kern w:val="0"/>
          <w:position w:val="0"/>
          <w:sz w:val="24"/>
          <w:szCs w:val="24"/>
          <w:u w:val="none" w:color="auto"/>
        </w:rPr>
        <w:t>水库已运行</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default" w:ascii="Times New Roman" w:hAnsi="Times New Roman" w:eastAsia="宋体" w:cs="Times New Roman"/>
          <w:caps w:val="0"/>
          <w:smallCaps w:val="0"/>
          <w:color w:val="auto"/>
          <w:spacing w:val="0"/>
          <w:w w:val="100"/>
          <w:kern w:val="0"/>
          <w:position w:val="0"/>
          <w:sz w:val="24"/>
          <w:szCs w:val="24"/>
          <w:u w:val="none" w:color="auto"/>
        </w:rPr>
        <w:t>0</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余</w:t>
      </w:r>
      <w:r>
        <w:rPr>
          <w:rFonts w:hint="default" w:ascii="Times New Roman" w:hAnsi="Times New Roman" w:eastAsia="宋体" w:cs="Times New Roman"/>
          <w:caps w:val="0"/>
          <w:smallCaps w:val="0"/>
          <w:color w:val="auto"/>
          <w:spacing w:val="0"/>
          <w:w w:val="100"/>
          <w:kern w:val="0"/>
          <w:position w:val="0"/>
          <w:sz w:val="24"/>
          <w:szCs w:val="24"/>
          <w:u w:val="none" w:color="auto"/>
        </w:rPr>
        <w:t>年，</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本项目实施后</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运行期库区水质情况不会有明显变化，库区水体富营养化的程度不会增加</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发生富营养化的几率较小</w:t>
      </w:r>
      <w:r>
        <w:rPr>
          <w:rFonts w:hint="default" w:ascii="Times New Roman" w:hAnsi="Times New Roman" w:eastAsia="Times New Roman" w:cs="Times New Roman"/>
          <w:color w:val="auto"/>
          <w:spacing w:val="0"/>
          <w:w w:val="100"/>
          <w:position w:val="0"/>
          <w:sz w:val="24"/>
          <w:szCs w:val="24"/>
          <w:u w:val="none" w:color="auto"/>
          <w:lang w:val="en-US" w:eastAsia="zh-CN"/>
        </w:rPr>
        <w:t>。</w:t>
      </w:r>
    </w:p>
    <w:p w14:paraId="0B790106">
      <w:pPr>
        <w:pStyle w:val="5"/>
        <w:bidi w:val="0"/>
        <w:rPr>
          <w:rFonts w:hint="default" w:ascii="Times New Roman" w:hAnsi="Times New Roman" w:cs="Times New Roman"/>
          <w:color w:val="auto"/>
        </w:rPr>
      </w:pPr>
      <w:r>
        <w:rPr>
          <w:rFonts w:hint="default" w:ascii="Times New Roman" w:hAnsi="Times New Roman" w:eastAsia="Times New Roman" w:cs="Times New Roman"/>
          <w:color w:val="FF0000"/>
          <w:spacing w:val="0"/>
          <w:w w:val="100"/>
          <w:position w:val="0"/>
          <w:sz w:val="24"/>
          <w:szCs w:val="24"/>
          <w:u w:val="none" w:color="auto"/>
          <w:lang w:val="en-US" w:eastAsia="zh-CN"/>
        </w:rPr>
        <w:t xml:space="preserve"> </w:t>
      </w:r>
      <w:r>
        <w:rPr>
          <w:rFonts w:hint="eastAsia" w:ascii="Times New Roman" w:hAnsi="Times New Roman" w:eastAsia="宋体" w:cs="Times New Roman"/>
          <w:caps w:val="0"/>
          <w:smallCaps w:val="0"/>
          <w:color w:val="FF0000"/>
          <w:spacing w:val="0"/>
          <w:w w:val="100"/>
          <w:kern w:val="0"/>
          <w:position w:val="0"/>
          <w:sz w:val="24"/>
          <w:szCs w:val="24"/>
          <w:u w:val="none" w:color="auto"/>
          <w:lang w:val="en-US" w:eastAsia="zh-CN"/>
        </w:rPr>
        <w:t xml:space="preserve"> </w:t>
      </w:r>
      <w:r>
        <w:rPr>
          <w:rFonts w:hint="default" w:ascii="Times New Roman" w:hAnsi="Times New Roman" w:cs="Times New Roman"/>
          <w:color w:val="auto"/>
        </w:rPr>
        <w:t>对</w:t>
      </w:r>
      <w:r>
        <w:rPr>
          <w:rFonts w:hint="default" w:ascii="Times New Roman" w:hAnsi="Times New Roman" w:cs="Times New Roman"/>
          <w:color w:val="auto"/>
          <w:lang w:eastAsia="zh-CN"/>
        </w:rPr>
        <w:t>饮用水源保护区</w:t>
      </w:r>
      <w:r>
        <w:rPr>
          <w:rFonts w:hint="default" w:ascii="Times New Roman" w:hAnsi="Times New Roman" w:cs="Times New Roman"/>
          <w:color w:val="auto"/>
        </w:rPr>
        <w:t>的影响分析</w:t>
      </w:r>
    </w:p>
    <w:p w14:paraId="6466963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eastAsia="zh-CN"/>
        </w:rPr>
        <w:t>东山水库</w:t>
      </w:r>
      <w:r>
        <w:rPr>
          <w:rFonts w:hint="default" w:ascii="Times New Roman" w:hAnsi="Times New Roman" w:eastAsia="宋体" w:cs="Times New Roman"/>
          <w:color w:val="auto"/>
          <w:spacing w:val="0"/>
          <w:w w:val="100"/>
          <w:position w:val="0"/>
          <w:sz w:val="24"/>
          <w:szCs w:val="24"/>
          <w:u w:val="none" w:color="auto"/>
        </w:rPr>
        <w:t>饮用水水源保护区范围</w:t>
      </w:r>
      <w:r>
        <w:rPr>
          <w:rFonts w:hint="default" w:ascii="Times New Roman" w:hAnsi="Times New Roman" w:eastAsia="宋体" w:cs="Times New Roman"/>
          <w:color w:val="auto"/>
          <w:spacing w:val="0"/>
          <w:w w:val="100"/>
          <w:position w:val="0"/>
          <w:sz w:val="24"/>
          <w:szCs w:val="24"/>
          <w:u w:val="none" w:color="auto"/>
          <w:lang w:eastAsia="zh-CN"/>
        </w:rPr>
        <w:t>已经</w:t>
      </w:r>
      <w:r>
        <w:rPr>
          <w:rFonts w:hint="default" w:ascii="Times New Roman" w:hAnsi="Times New Roman" w:eastAsia="宋体" w:cs="Times New Roman"/>
          <w:color w:val="auto"/>
          <w:spacing w:val="0"/>
          <w:w w:val="100"/>
          <w:position w:val="0"/>
          <w:sz w:val="24"/>
          <w:szCs w:val="24"/>
          <w:u w:val="none" w:color="auto"/>
        </w:rPr>
        <w:t>按照《饮用水水源保护区标志技术要求》（HJ/T 433-2008），</w:t>
      </w:r>
      <w:r>
        <w:rPr>
          <w:rFonts w:hint="default" w:ascii="Times New Roman" w:hAnsi="Times New Roman" w:eastAsia="宋体" w:cs="Times New Roman"/>
          <w:color w:val="auto"/>
          <w:spacing w:val="0"/>
          <w:w w:val="100"/>
          <w:position w:val="0"/>
          <w:sz w:val="24"/>
          <w:szCs w:val="24"/>
          <w:u w:val="none" w:color="auto"/>
          <w:lang w:eastAsia="zh-CN"/>
        </w:rPr>
        <w:t>在一级保护区和二级保护区内</w:t>
      </w:r>
      <w:r>
        <w:rPr>
          <w:rFonts w:hint="default" w:ascii="Times New Roman" w:hAnsi="Times New Roman" w:eastAsia="宋体" w:cs="Times New Roman"/>
          <w:color w:val="auto"/>
          <w:spacing w:val="0"/>
          <w:w w:val="100"/>
          <w:position w:val="0"/>
          <w:sz w:val="24"/>
          <w:szCs w:val="24"/>
          <w:u w:val="none" w:color="auto"/>
        </w:rPr>
        <w:t>设置了饮用水水源保护区界标、宣传牌及交通警示牌，明确、醒目标示饮用水水源保护区范围和严禁从事的行为和相关注意事项</w:t>
      </w:r>
      <w:r>
        <w:rPr>
          <w:rFonts w:hint="default" w:ascii="Times New Roman" w:hAnsi="Times New Roman" w:eastAsia="宋体" w:cs="Times New Roman"/>
          <w:color w:val="auto"/>
          <w:spacing w:val="0"/>
          <w:w w:val="100"/>
          <w:position w:val="0"/>
          <w:sz w:val="24"/>
          <w:szCs w:val="24"/>
          <w:u w:val="none" w:color="auto"/>
          <w:lang w:eastAsia="zh-CN"/>
        </w:rPr>
        <w:t>，东山水库</w:t>
      </w:r>
      <w:r>
        <w:rPr>
          <w:rFonts w:hint="default" w:ascii="Times New Roman" w:hAnsi="Times New Roman" w:eastAsia="宋体" w:cs="Times New Roman"/>
          <w:color w:val="auto"/>
          <w:spacing w:val="0"/>
          <w:w w:val="100"/>
          <w:position w:val="0"/>
          <w:sz w:val="24"/>
          <w:szCs w:val="24"/>
          <w:u w:val="none" w:color="auto"/>
        </w:rPr>
        <w:t>取水口及沿线环库公路</w:t>
      </w:r>
      <w:r>
        <w:rPr>
          <w:rFonts w:hint="default" w:ascii="Times New Roman" w:hAnsi="Times New Roman" w:eastAsia="宋体" w:cs="Times New Roman"/>
          <w:color w:val="auto"/>
          <w:spacing w:val="0"/>
          <w:w w:val="100"/>
          <w:position w:val="0"/>
          <w:sz w:val="24"/>
          <w:szCs w:val="24"/>
          <w:u w:val="none" w:color="auto"/>
          <w:lang w:eastAsia="zh-CN"/>
        </w:rPr>
        <w:t>禁止运输危化品车辆通行。项目施工范围内损坏或拆除的标识标牌及隔离防护网，需在施工期结束后及时恢复，同时对施工范围内造成的生态破坏进行补偿复垦。本项目不属于污染影响类项目，主要污染物来自于水库管理所工作人员产生的少量生活污水及厨房油烟。厨房油烟经油烟净化器处理后达标排放，</w:t>
      </w:r>
      <w:r>
        <w:rPr>
          <w:rFonts w:hint="default" w:ascii="Times New Roman" w:hAnsi="Times New Roman" w:eastAsia="宋体" w:cs="Times New Roman"/>
          <w:color w:val="auto"/>
          <w:spacing w:val="0"/>
          <w:w w:val="100"/>
          <w:position w:val="0"/>
          <w:sz w:val="24"/>
          <w:szCs w:val="24"/>
          <w:u w:val="none" w:color="auto"/>
        </w:rPr>
        <w:t>生活污水经化粪池处理后</w:t>
      </w:r>
      <w:r>
        <w:rPr>
          <w:rFonts w:hint="default" w:ascii="Times New Roman" w:hAnsi="Times New Roman" w:eastAsia="宋体" w:cs="Times New Roman"/>
          <w:color w:val="auto"/>
          <w:spacing w:val="0"/>
          <w:w w:val="100"/>
          <w:position w:val="0"/>
          <w:sz w:val="24"/>
          <w:szCs w:val="24"/>
          <w:u w:val="none" w:color="auto"/>
          <w:lang w:eastAsia="zh-CN"/>
        </w:rPr>
        <w:t>经污水管网排入大坝下游，</w:t>
      </w:r>
      <w:r>
        <w:rPr>
          <w:rFonts w:hint="eastAsia" w:ascii="Times New Roman" w:hAnsi="Times New Roman" w:eastAsia="宋体" w:cs="Times New Roman"/>
          <w:color w:val="auto"/>
          <w:spacing w:val="0"/>
          <w:w w:val="100"/>
          <w:position w:val="0"/>
          <w:sz w:val="24"/>
          <w:szCs w:val="24"/>
          <w:u w:val="none" w:color="auto"/>
          <w:lang w:eastAsia="zh-CN"/>
        </w:rPr>
        <w:t>本项目运营期基本</w:t>
      </w:r>
      <w:r>
        <w:rPr>
          <w:rFonts w:hint="default" w:ascii="Times New Roman" w:hAnsi="Times New Roman" w:eastAsia="宋体" w:cs="Times New Roman"/>
          <w:color w:val="auto"/>
          <w:spacing w:val="0"/>
          <w:w w:val="100"/>
          <w:position w:val="0"/>
          <w:sz w:val="24"/>
          <w:szCs w:val="24"/>
          <w:u w:val="none" w:color="auto"/>
        </w:rPr>
        <w:t>不会对饮用水水源保护区水质产生负面影响。</w:t>
      </w:r>
    </w:p>
    <w:p w14:paraId="2F33F9CE">
      <w:pPr>
        <w:pStyle w:val="4"/>
        <w:bidi w:val="0"/>
        <w:rPr>
          <w:rFonts w:hint="default" w:ascii="Times New Roman" w:hAnsi="Times New Roman" w:cs="Times New Roman"/>
          <w:color w:val="auto"/>
        </w:rPr>
      </w:pPr>
      <w:bookmarkStart w:id="314" w:name="_Toc4778"/>
      <w:r>
        <w:rPr>
          <w:rFonts w:hint="default" w:ascii="Times New Roman" w:hAnsi="Times New Roman" w:cs="Times New Roman"/>
          <w:color w:val="auto"/>
          <w:lang w:val="en-US" w:eastAsia="zh-CN"/>
        </w:rPr>
        <w:t>营运期</w:t>
      </w:r>
      <w:r>
        <w:rPr>
          <w:rFonts w:hint="default" w:ascii="Times New Roman" w:hAnsi="Times New Roman" w:cs="Times New Roman"/>
          <w:color w:val="auto"/>
        </w:rPr>
        <w:t>地下水环境影响评价</w:t>
      </w:r>
      <w:bookmarkEnd w:id="314"/>
    </w:p>
    <w:p w14:paraId="2C3DE8EC">
      <w:pPr>
        <w:pStyle w:val="5"/>
        <w:bidi w:val="0"/>
        <w:rPr>
          <w:rFonts w:hint="default" w:ascii="Times New Roman" w:hAnsi="Times New Roman" w:cs="Times New Roman"/>
          <w:color w:val="auto"/>
        </w:rPr>
      </w:pPr>
      <w:r>
        <w:rPr>
          <w:rFonts w:hint="default" w:ascii="Times New Roman" w:hAnsi="Times New Roman" w:cs="Times New Roman"/>
          <w:color w:val="auto"/>
        </w:rPr>
        <w:t>对地下水水质的影响分析</w:t>
      </w:r>
    </w:p>
    <w:p w14:paraId="0DF5E7DB">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污染物对地下水的影响主要是由于降雨或废水排放等通过垂直渗透进入包气带，进入包气带的污染物在物理、化学和生物作用下经吸附、转化、迁移和分解后输入地下水。因此，包气带是联接地面污染物与地下含水层的主要通道和过渡带，既是污染物媒介体，又是污染物的净化场所和防护层。</w:t>
      </w:r>
    </w:p>
    <w:p w14:paraId="0A85CF10">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根据同类项目类比可知，本工程管理人员生活污水若未能全部收集，或管网出现破损，或生活污水处理系统出现渗漏，将造成地下水污染。</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为防止地下水受污染，</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本项目</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管理人员生活污水处理设施和排水管道</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应</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采取可靠的防渗防漏措施，</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避免</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对地下水水质造成影响。</w:t>
      </w:r>
    </w:p>
    <w:p w14:paraId="0028F1F4">
      <w:pPr>
        <w:pStyle w:val="5"/>
        <w:bidi w:val="0"/>
        <w:rPr>
          <w:rFonts w:hint="default" w:ascii="Times New Roman" w:hAnsi="Times New Roman" w:cs="Times New Roman"/>
          <w:color w:val="auto"/>
        </w:rPr>
      </w:pPr>
      <w:r>
        <w:rPr>
          <w:rFonts w:hint="default" w:ascii="Times New Roman" w:hAnsi="Times New Roman" w:cs="Times New Roman"/>
          <w:color w:val="auto"/>
        </w:rPr>
        <w:t>对地下水水位的影响分析</w:t>
      </w:r>
    </w:p>
    <w:p w14:paraId="27F231D7">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本</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次</w:t>
      </w:r>
      <w:r>
        <w:rPr>
          <w:rFonts w:hint="default" w:ascii="Times New Roman" w:hAnsi="Times New Roman" w:eastAsia="宋体" w:cs="Times New Roman"/>
          <w:caps w:val="0"/>
          <w:smallCaps w:val="0"/>
          <w:color w:val="auto"/>
          <w:spacing w:val="0"/>
          <w:w w:val="100"/>
          <w:kern w:val="0"/>
          <w:position w:val="0"/>
          <w:sz w:val="24"/>
          <w:szCs w:val="24"/>
          <w:u w:val="none" w:color="auto"/>
        </w:rPr>
        <w:t>除险加固</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完成</w:t>
      </w:r>
      <w:r>
        <w:rPr>
          <w:rFonts w:hint="default" w:ascii="Times New Roman" w:hAnsi="Times New Roman" w:eastAsia="宋体" w:cs="Times New Roman"/>
          <w:caps w:val="0"/>
          <w:smallCaps w:val="0"/>
          <w:color w:val="auto"/>
          <w:spacing w:val="0"/>
          <w:w w:val="100"/>
          <w:kern w:val="0"/>
          <w:position w:val="0"/>
          <w:sz w:val="24"/>
          <w:szCs w:val="24"/>
          <w:u w:val="none" w:color="auto"/>
        </w:rPr>
        <w:t>后</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，水库</w:t>
      </w:r>
      <w:r>
        <w:rPr>
          <w:rFonts w:hint="default" w:ascii="Times New Roman" w:hAnsi="Times New Roman" w:eastAsia="宋体" w:cs="Times New Roman"/>
          <w:caps w:val="0"/>
          <w:smallCaps w:val="0"/>
          <w:color w:val="auto"/>
          <w:spacing w:val="0"/>
          <w:w w:val="100"/>
          <w:kern w:val="0"/>
          <w:position w:val="0"/>
          <w:sz w:val="24"/>
          <w:szCs w:val="24"/>
          <w:u w:val="none" w:color="auto"/>
        </w:rPr>
        <w:t>设计蓄水位不变，设计库容不发生变化</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。水库运行多年，水库蓄水对当地地下水的补给作用相对稳定，且项目所在区域地下水的补给来源主要为大气降水。因此东山水库除险加固工程实施后，不会对本项目区域</w:t>
      </w:r>
      <w:r>
        <w:rPr>
          <w:rFonts w:hint="default" w:ascii="Times New Roman" w:hAnsi="Times New Roman" w:eastAsia="宋体" w:cs="Times New Roman"/>
          <w:caps w:val="0"/>
          <w:smallCaps w:val="0"/>
          <w:color w:val="auto"/>
          <w:spacing w:val="0"/>
          <w:w w:val="100"/>
          <w:kern w:val="0"/>
          <w:position w:val="0"/>
          <w:sz w:val="24"/>
          <w:szCs w:val="24"/>
          <w:u w:val="none" w:color="auto"/>
        </w:rPr>
        <w:t>地下水流场或地下水水位</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产生影响。</w:t>
      </w:r>
    </w:p>
    <w:p w14:paraId="006EA2C0">
      <w:pPr>
        <w:pStyle w:val="4"/>
        <w:bidi w:val="0"/>
        <w:rPr>
          <w:rFonts w:hint="default" w:ascii="Times New Roman" w:hAnsi="Times New Roman" w:cs="Times New Roman"/>
          <w:color w:val="auto"/>
        </w:rPr>
      </w:pPr>
      <w:bookmarkStart w:id="315" w:name="_Toc30989"/>
      <w:r>
        <w:rPr>
          <w:rFonts w:hint="default" w:ascii="Times New Roman" w:hAnsi="Times New Roman" w:cs="Times New Roman"/>
          <w:color w:val="auto"/>
          <w:lang w:val="en-US" w:eastAsia="zh-CN"/>
        </w:rPr>
        <w:t>营运期</w:t>
      </w:r>
      <w:r>
        <w:rPr>
          <w:rFonts w:hint="default" w:ascii="Times New Roman" w:hAnsi="Times New Roman" w:cs="Times New Roman"/>
          <w:color w:val="auto"/>
        </w:rPr>
        <w:t>声环境影响分析</w:t>
      </w:r>
      <w:bookmarkEnd w:id="315"/>
    </w:p>
    <w:p w14:paraId="08F9F848">
      <w:pPr>
        <w:keepNext w:val="0"/>
        <w:keepLines w:val="0"/>
        <w:pageBreakBefore w:val="0"/>
        <w:widowControl w:val="0"/>
        <w:overflowPunct/>
        <w:autoSpaceDE/>
        <w:autoSpaceDN/>
        <w:bidi w:val="0"/>
        <w:adjustRightInd/>
        <w:snapToGrid/>
        <w:spacing w:line="360" w:lineRule="auto"/>
        <w:ind w:left="0" w:right="0" w:firstLine="479"/>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工程属非污染生态影响项目，水库除险加固建设完成后，运行期噪声影响主要仍为除险加固前的启闭机等运转过程中产生的噪声，不新增噪声污染源，与工程建设前无重大变化</w:t>
      </w:r>
      <w:r>
        <w:rPr>
          <w:rFonts w:hint="eastAsia" w:ascii="Times New Roman" w:hAnsi="Times New Roman" w:eastAsia="宋体" w:cs="Times New Roman"/>
          <w:color w:val="auto"/>
          <w:spacing w:val="0"/>
          <w:w w:val="100"/>
          <w:position w:val="0"/>
          <w:sz w:val="24"/>
          <w:szCs w:val="24"/>
          <w:u w:val="none" w:color="auto"/>
          <w:lang w:eastAsia="zh-CN"/>
        </w:rPr>
        <w:t>，不会对周边声环境造成较大不利影响</w:t>
      </w:r>
      <w:r>
        <w:rPr>
          <w:rFonts w:hint="default" w:ascii="Times New Roman" w:hAnsi="Times New Roman" w:eastAsia="宋体" w:cs="Times New Roman"/>
          <w:color w:val="auto"/>
          <w:spacing w:val="0"/>
          <w:w w:val="100"/>
          <w:position w:val="0"/>
          <w:sz w:val="24"/>
          <w:szCs w:val="24"/>
          <w:u w:val="none" w:color="auto"/>
        </w:rPr>
        <w:t>。</w:t>
      </w:r>
    </w:p>
    <w:p w14:paraId="33EB44E7">
      <w:pPr>
        <w:pStyle w:val="4"/>
        <w:bidi w:val="0"/>
        <w:rPr>
          <w:rFonts w:hint="default" w:ascii="Times New Roman" w:hAnsi="Times New Roman" w:cs="Times New Roman"/>
          <w:color w:val="auto"/>
        </w:rPr>
      </w:pPr>
      <w:bookmarkStart w:id="316" w:name="_Toc15886"/>
      <w:r>
        <w:rPr>
          <w:rFonts w:hint="default" w:ascii="Times New Roman" w:hAnsi="Times New Roman" w:cs="Times New Roman"/>
          <w:color w:val="auto"/>
          <w:lang w:val="en-US" w:eastAsia="zh-CN"/>
        </w:rPr>
        <w:t>营运期</w:t>
      </w:r>
      <w:r>
        <w:rPr>
          <w:rFonts w:hint="default" w:ascii="Times New Roman" w:hAnsi="Times New Roman" w:cs="Times New Roman"/>
          <w:color w:val="auto"/>
        </w:rPr>
        <w:t>固体废物影响分析</w:t>
      </w:r>
      <w:bookmarkEnd w:id="316"/>
    </w:p>
    <w:p w14:paraId="2D848DAE">
      <w:pPr>
        <w:keepNext w:val="0"/>
        <w:keepLines w:val="0"/>
        <w:pageBreakBefore w:val="0"/>
        <w:widowControl w:val="0"/>
        <w:overflowPunct/>
        <w:autoSpaceDE/>
        <w:autoSpaceDN/>
        <w:bidi w:val="0"/>
        <w:adjustRightInd/>
        <w:snapToGrid/>
        <w:spacing w:line="360" w:lineRule="auto"/>
        <w:ind w:left="0" w:right="0" w:firstLine="479"/>
        <w:textAlignment w:val="auto"/>
        <w:rPr>
          <w:rFonts w:hint="default" w:ascii="Times New Roman" w:hAnsi="Times New Roman" w:eastAsia="宋体" w:cs="Times New Roman"/>
          <w:color w:val="auto"/>
          <w:spacing w:val="0"/>
          <w:w w:val="100"/>
          <w:position w:val="0"/>
          <w:sz w:val="24"/>
          <w:szCs w:val="24"/>
          <w:u w:val="none" w:color="auto"/>
        </w:rPr>
      </w:pPr>
      <w:r>
        <w:rPr>
          <w:rFonts w:hint="eastAsia" w:ascii="Times New Roman" w:hAnsi="Times New Roman" w:eastAsia="宋体" w:cs="Times New Roman"/>
          <w:color w:val="auto"/>
          <w:spacing w:val="0"/>
          <w:w w:val="100"/>
          <w:position w:val="0"/>
          <w:sz w:val="24"/>
          <w:szCs w:val="24"/>
          <w:u w:val="none" w:color="auto"/>
          <w:lang w:val="en-US" w:eastAsia="zh-CN"/>
        </w:rPr>
        <w:t>水库运行期间产生的固体废物主要是水库管理人员产生的生活垃圾。本次除险加固工程完成后，管理人员维持原有人数，运营期不产生新增固体废物。水库管理人员为8人，</w:t>
      </w:r>
      <w:r>
        <w:rPr>
          <w:rFonts w:hint="default" w:ascii="Times New Roman" w:hAnsi="Times New Roman" w:eastAsia="宋体" w:cs="Times New Roman"/>
          <w:caps w:val="0"/>
          <w:smallCaps w:val="0"/>
          <w:color w:val="auto"/>
          <w:spacing w:val="0"/>
          <w:w w:val="100"/>
          <w:kern w:val="0"/>
          <w:position w:val="0"/>
          <w:sz w:val="24"/>
          <w:szCs w:val="24"/>
          <w:u w:val="none" w:color="auto"/>
        </w:rPr>
        <w:t>生活</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垃圾产生量按</w:t>
      </w:r>
      <w:r>
        <w:rPr>
          <w:rFonts w:hint="default" w:ascii="Times New Roman" w:hAnsi="Times New Roman" w:eastAsia="宋体" w:cs="Times New Roman"/>
          <w:caps w:val="0"/>
          <w:smallCaps w:val="0"/>
          <w:color w:val="auto"/>
          <w:spacing w:val="0"/>
          <w:w w:val="100"/>
          <w:kern w:val="0"/>
          <w:position w:val="0"/>
          <w:sz w:val="24"/>
          <w:szCs w:val="24"/>
          <w:u w:val="none" w:color="auto"/>
        </w:rPr>
        <w:t>1.0kg/d计</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，则生活垃圾产生量为0.008t</w:t>
      </w:r>
      <w:r>
        <w:rPr>
          <w:rFonts w:hint="default" w:ascii="Times New Roman" w:hAnsi="Times New Roman" w:eastAsia="宋体" w:cs="Times New Roman"/>
          <w:caps w:val="0"/>
          <w:smallCaps w:val="0"/>
          <w:color w:val="auto"/>
          <w:spacing w:val="0"/>
          <w:w w:val="100"/>
          <w:kern w:val="0"/>
          <w:position w:val="0"/>
          <w:sz w:val="24"/>
          <w:szCs w:val="24"/>
          <w:u w:val="none" w:color="auto"/>
        </w:rPr>
        <w:t>/d</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olor w:val="auto"/>
          <w:spacing w:val="0"/>
          <w:w w:val="100"/>
          <w:position w:val="0"/>
          <w:sz w:val="24"/>
          <w:szCs w:val="24"/>
          <w:u w:val="none" w:color="auto"/>
          <w:lang w:val="en-US" w:eastAsia="zh-CN"/>
        </w:rPr>
        <w:t>2.92</w:t>
      </w:r>
      <w:r>
        <w:rPr>
          <w:rFonts w:hint="default" w:ascii="Times New Roman" w:hAnsi="Times New Roman" w:eastAsia="宋体" w:cs="Times New Roman"/>
          <w:color w:val="auto"/>
          <w:spacing w:val="0"/>
          <w:w w:val="100"/>
          <w:position w:val="0"/>
          <w:sz w:val="24"/>
          <w:szCs w:val="24"/>
          <w:u w:val="none" w:color="auto"/>
          <w:lang w:val="en-US" w:eastAsia="zh-CN"/>
        </w:rPr>
        <w:t>t/a</w:t>
      </w:r>
      <w:r>
        <w:rPr>
          <w:rFonts w:hint="eastAsia" w:ascii="Times New Roman" w:hAnsi="Times New Roman" w:eastAsia="宋体" w:cs="Times New Roman"/>
          <w:color w:val="auto"/>
          <w:spacing w:val="0"/>
          <w:w w:val="100"/>
          <w:position w:val="0"/>
          <w:sz w:val="24"/>
          <w:szCs w:val="24"/>
          <w:u w:val="none" w:color="auto"/>
          <w:lang w:val="en-US" w:eastAsia="zh-CN"/>
        </w:rPr>
        <w:t>。生活垃圾集中收集后定期由环卫部门清理</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处理</w:t>
      </w:r>
      <w:r>
        <w:rPr>
          <w:rFonts w:hint="eastAsia" w:ascii="Times New Roman" w:hAnsi="Times New Roman" w:eastAsia="宋体" w:cs="Times New Roman"/>
          <w:color w:val="auto"/>
          <w:spacing w:val="0"/>
          <w:w w:val="100"/>
          <w:position w:val="0"/>
          <w:sz w:val="24"/>
          <w:szCs w:val="24"/>
          <w:u w:val="none" w:color="auto"/>
          <w:lang w:val="en-US" w:eastAsia="zh-CN"/>
        </w:rPr>
        <w:t>。采取上述措施后，运营期产生的生活垃圾不会对区域环境产生不利影响。</w:t>
      </w:r>
    </w:p>
    <w:p w14:paraId="06D431E2">
      <w:pPr>
        <w:pStyle w:val="4"/>
        <w:bidi w:val="0"/>
        <w:rPr>
          <w:rFonts w:hint="default" w:ascii="Times New Roman" w:hAnsi="Times New Roman" w:cs="Times New Roman"/>
          <w:color w:val="auto"/>
        </w:rPr>
      </w:pPr>
      <w:bookmarkStart w:id="317" w:name="_Toc15234"/>
      <w:r>
        <w:rPr>
          <w:rFonts w:hint="default" w:ascii="Times New Roman" w:hAnsi="Times New Roman" w:cs="Times New Roman"/>
          <w:color w:val="auto"/>
          <w:lang w:val="en-US" w:eastAsia="zh-CN"/>
        </w:rPr>
        <w:t>营运期</w:t>
      </w:r>
      <w:r>
        <w:rPr>
          <w:rFonts w:hint="default" w:ascii="Times New Roman" w:hAnsi="Times New Roman" w:cs="Times New Roman"/>
          <w:color w:val="auto"/>
        </w:rPr>
        <w:t>土壤环境影响分析</w:t>
      </w:r>
      <w:bookmarkEnd w:id="317"/>
    </w:p>
    <w:p w14:paraId="3811130D">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根据本次现状监测，</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评价范围内的土壤</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无</w:t>
      </w:r>
      <w:r>
        <w:rPr>
          <w:rFonts w:hint="default" w:ascii="Times New Roman" w:hAnsi="Times New Roman" w:eastAsia="宋体" w:cs="Times New Roman"/>
          <w:color w:val="auto"/>
          <w:sz w:val="24"/>
          <w:highlight w:val="none"/>
          <w:u w:val="none" w:color="auto"/>
          <w:lang w:val="en-US" w:eastAsia="zh-CN"/>
        </w:rPr>
        <w:t>酸化</w:t>
      </w:r>
      <w:r>
        <w:rPr>
          <w:rFonts w:hint="eastAsia" w:ascii="Times New Roman" w:hAnsi="Times New Roman" w:eastAsia="宋体" w:cs="Times New Roman"/>
          <w:color w:val="auto"/>
          <w:sz w:val="24"/>
          <w:highlight w:val="none"/>
          <w:u w:val="none" w:color="auto"/>
          <w:lang w:val="en-US" w:eastAsia="zh-CN"/>
        </w:rPr>
        <w:t>或</w:t>
      </w:r>
      <w:r>
        <w:rPr>
          <w:rFonts w:hint="default" w:ascii="Times New Roman" w:hAnsi="Times New Roman" w:eastAsia="宋体" w:cs="Times New Roman"/>
          <w:color w:val="auto"/>
          <w:sz w:val="24"/>
          <w:highlight w:val="none"/>
          <w:u w:val="none" w:color="auto"/>
          <w:lang w:val="en-US" w:eastAsia="zh-CN"/>
        </w:rPr>
        <w:t>碱化</w:t>
      </w:r>
      <w:r>
        <w:rPr>
          <w:rFonts w:hint="eastAsia" w:ascii="Times New Roman" w:hAnsi="Times New Roman" w:eastAsia="宋体" w:cs="Times New Roman"/>
          <w:color w:val="auto"/>
          <w:sz w:val="24"/>
          <w:highlight w:val="none"/>
          <w:u w:val="none" w:color="auto"/>
          <w:lang w:val="en-US" w:eastAsia="zh-CN"/>
        </w:rPr>
        <w:t>，呈轻度</w:t>
      </w:r>
      <w:r>
        <w:rPr>
          <w:rFonts w:hint="default" w:ascii="Times New Roman" w:hAnsi="Times New Roman" w:eastAsia="宋体" w:cs="Times New Roman"/>
          <w:color w:val="auto"/>
          <w:sz w:val="24"/>
          <w:highlight w:val="none"/>
          <w:u w:val="none" w:color="auto"/>
          <w:lang w:val="en-US" w:eastAsia="zh-CN"/>
        </w:rPr>
        <w:t>盐化</w:t>
      </w:r>
      <w:r>
        <w:rPr>
          <w:rFonts w:hint="eastAsia" w:ascii="Times New Roman" w:hAnsi="Times New Roman" w:eastAsia="宋体" w:cs="Times New Roman"/>
          <w:color w:val="auto"/>
          <w:sz w:val="24"/>
          <w:highlight w:val="none"/>
          <w:u w:val="none" w:color="auto"/>
          <w:lang w:val="en-US" w:eastAsia="zh-CN"/>
        </w:rPr>
        <w:t>。同时</w:t>
      </w:r>
      <w:r>
        <w:rPr>
          <w:rFonts w:hint="default" w:ascii="Times New Roman" w:hAnsi="Times New Roman" w:eastAsia="宋体" w:cs="Times New Roman"/>
          <w:caps w:val="0"/>
          <w:smallCaps w:val="0"/>
          <w:color w:val="auto"/>
          <w:spacing w:val="0"/>
          <w:w w:val="100"/>
          <w:kern w:val="0"/>
          <w:position w:val="0"/>
          <w:sz w:val="24"/>
          <w:szCs w:val="24"/>
          <w:u w:val="none" w:color="auto"/>
        </w:rPr>
        <w:t>项目周边土壤各污染物浓度均满足《土壤环境质量标准  农用地土壤污染风险管控标准》（GB15618-2018）中限值要求。</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水库监测点位</w:t>
      </w:r>
      <w:r>
        <w:rPr>
          <w:rFonts w:hint="default" w:ascii="Times New Roman" w:hAnsi="Times New Roman" w:eastAsia="宋体" w:cs="Times New Roman"/>
          <w:b w:val="0"/>
          <w:bCs w:val="0"/>
          <w:caps w:val="0"/>
          <w:smallCaps w:val="0"/>
          <w:color w:val="auto"/>
          <w:spacing w:val="0"/>
          <w:w w:val="100"/>
          <w:kern w:val="0"/>
          <w:position w:val="0"/>
          <w:sz w:val="24"/>
          <w:szCs w:val="24"/>
          <w:u w:val="none" w:color="auto"/>
        </w:rPr>
        <w:t>指标均</w:t>
      </w:r>
      <w:r>
        <w:rPr>
          <w:rFonts w:hint="default" w:ascii="Times New Roman" w:hAnsi="Times New Roman" w:eastAsia="宋体" w:cs="Times New Roman"/>
          <w:b w:val="0"/>
          <w:bCs w:val="0"/>
          <w:caps w:val="0"/>
          <w:smallCaps w:val="0"/>
          <w:color w:val="auto"/>
          <w:spacing w:val="0"/>
          <w:w w:val="100"/>
          <w:kern w:val="0"/>
          <w:position w:val="0"/>
          <w:sz w:val="24"/>
          <w:szCs w:val="24"/>
          <w:u w:val="none" w:color="auto"/>
          <w:lang w:val="en-US" w:eastAsia="zh-CN"/>
        </w:rPr>
        <w:t>达到</w:t>
      </w:r>
      <w:r>
        <w:rPr>
          <w:rFonts w:hint="default" w:ascii="Times New Roman" w:hAnsi="Times New Roman" w:eastAsia="宋体" w:cs="Times New Roman"/>
          <w:b w:val="0"/>
          <w:bCs w:val="0"/>
          <w:caps w:val="0"/>
          <w:smallCaps w:val="0"/>
          <w:color w:val="auto"/>
          <w:spacing w:val="0"/>
          <w:w w:val="100"/>
          <w:kern w:val="0"/>
          <w:position w:val="0"/>
          <w:sz w:val="24"/>
          <w:szCs w:val="24"/>
          <w:u w:val="none" w:color="auto"/>
        </w:rPr>
        <w:t>《土壤环境质量标准  建设用地土壤污染风险管控标准（试行）》（GB36600-2018）第二类用地筛选值。</w:t>
      </w:r>
    </w:p>
    <w:p w14:paraId="0F597464">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项目对土壤环境的影响主要是生态影响，主要表现在水位发生变化</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，可能造成土壤盐碱化</w:t>
      </w:r>
      <w:r>
        <w:rPr>
          <w:rFonts w:hint="default" w:ascii="Times New Roman" w:hAnsi="Times New Roman" w:eastAsia="宋体" w:cs="Times New Roman"/>
          <w:caps w:val="0"/>
          <w:smallCaps w:val="0"/>
          <w:color w:val="auto"/>
          <w:spacing w:val="0"/>
          <w:w w:val="100"/>
          <w:kern w:val="0"/>
          <w:position w:val="0"/>
          <w:sz w:val="24"/>
          <w:szCs w:val="24"/>
          <w:u w:val="none" w:color="auto"/>
        </w:rPr>
        <w:t>。项目已运行多年</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库区范围的土地利用现状没有发生大的改变，库岸两边仍然以种植农作物以及经济林木</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、天然林、公益林</w:t>
      </w:r>
      <w:r>
        <w:rPr>
          <w:rFonts w:hint="default" w:ascii="Times New Roman" w:hAnsi="Times New Roman" w:eastAsia="宋体" w:cs="Times New Roman"/>
          <w:caps w:val="0"/>
          <w:smallCaps w:val="0"/>
          <w:color w:val="auto"/>
          <w:spacing w:val="0"/>
          <w:w w:val="100"/>
          <w:kern w:val="0"/>
          <w:position w:val="0"/>
          <w:sz w:val="24"/>
          <w:szCs w:val="24"/>
          <w:u w:val="none" w:color="auto"/>
        </w:rPr>
        <w:t>为主，植被覆盖率无大的改变，因此不会造成</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库区</w:t>
      </w:r>
      <w:r>
        <w:rPr>
          <w:rFonts w:hint="default" w:ascii="Times New Roman" w:hAnsi="Times New Roman" w:eastAsia="宋体" w:cs="Times New Roman"/>
          <w:caps w:val="0"/>
          <w:smallCaps w:val="0"/>
          <w:color w:val="auto"/>
          <w:spacing w:val="0"/>
          <w:w w:val="100"/>
          <w:kern w:val="0"/>
          <w:position w:val="0"/>
          <w:sz w:val="24"/>
          <w:szCs w:val="24"/>
          <w:u w:val="none" w:color="auto"/>
        </w:rPr>
        <w:t>盐渍化。在枯水季节调查期间，在库区范围内未发现水草丛生的沼泽化现象，不会造成河流沼泽化</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不会导致地下水位的大幅提高而产生土地浸没、引起沼泽化、</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加剧</w:t>
      </w:r>
      <w:r>
        <w:rPr>
          <w:rFonts w:hint="default" w:ascii="Times New Roman" w:hAnsi="Times New Roman" w:eastAsia="宋体" w:cs="Times New Roman"/>
          <w:caps w:val="0"/>
          <w:smallCaps w:val="0"/>
          <w:color w:val="auto"/>
          <w:spacing w:val="0"/>
          <w:w w:val="100"/>
          <w:kern w:val="0"/>
          <w:position w:val="0"/>
          <w:sz w:val="24"/>
          <w:szCs w:val="24"/>
          <w:u w:val="none" w:color="auto"/>
        </w:rPr>
        <w:t>盐碱化等土壤环境问题，不改变原有土壤生态功能。</w:t>
      </w:r>
    </w:p>
    <w:p w14:paraId="20853B22">
      <w:pPr>
        <w:pStyle w:val="4"/>
        <w:bidi w:val="0"/>
        <w:rPr>
          <w:rFonts w:hint="default" w:ascii="Times New Roman" w:hAnsi="Times New Roman" w:eastAsia="宋体" w:cs="Times New Roman"/>
          <w:b/>
          <w:caps w:val="0"/>
          <w:smallCaps w:val="0"/>
          <w:color w:val="auto"/>
          <w:spacing w:val="0"/>
          <w:w w:val="100"/>
          <w:position w:val="0"/>
          <w:sz w:val="28"/>
          <w:szCs w:val="28"/>
          <w:u w:val="none" w:color="auto"/>
        </w:rPr>
      </w:pPr>
      <w:bookmarkStart w:id="318" w:name="_Toc32497"/>
      <w:r>
        <w:rPr>
          <w:rFonts w:hint="default" w:ascii="Times New Roman" w:hAnsi="Times New Roman" w:eastAsia="宋体" w:cs="Times New Roman"/>
          <w:b/>
          <w:caps w:val="0"/>
          <w:smallCaps w:val="0"/>
          <w:color w:val="auto"/>
          <w:spacing w:val="0"/>
          <w:w w:val="100"/>
          <w:position w:val="0"/>
          <w:sz w:val="28"/>
          <w:szCs w:val="28"/>
          <w:u w:val="none" w:color="auto"/>
          <w:lang w:val="en-US" w:eastAsia="zh-CN"/>
        </w:rPr>
        <w:t>营运期</w:t>
      </w:r>
      <w:r>
        <w:rPr>
          <w:rStyle w:val="44"/>
          <w:rFonts w:hint="default" w:ascii="Times New Roman" w:hAnsi="Times New Roman" w:cs="Times New Roman"/>
          <w:b/>
          <w:bCs/>
          <w:color w:val="auto"/>
        </w:rPr>
        <w:t>生</w:t>
      </w:r>
      <w:r>
        <w:rPr>
          <w:rFonts w:hint="default" w:ascii="Times New Roman" w:hAnsi="Times New Roman" w:eastAsia="宋体" w:cs="Times New Roman"/>
          <w:b/>
          <w:caps w:val="0"/>
          <w:smallCaps w:val="0"/>
          <w:color w:val="auto"/>
          <w:spacing w:val="0"/>
          <w:w w:val="100"/>
          <w:position w:val="0"/>
          <w:sz w:val="28"/>
          <w:szCs w:val="28"/>
          <w:u w:val="none" w:color="auto"/>
        </w:rPr>
        <w:t>态环境影响评价</w:t>
      </w:r>
      <w:bookmarkEnd w:id="318"/>
    </w:p>
    <w:p w14:paraId="5506FA5E">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eastAsia"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1、</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对陆生生态影响分析</w:t>
      </w:r>
    </w:p>
    <w:p w14:paraId="1C4989D3">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本工程是非污染型项目，对陆生生态环境的影响来自于施工期的延续。工程完工后，临时占地清理后进行全面整地并恢复原地类，林地、荒草地栽植乔灌木、撒播草籽，恢复原来地类的生态功能，经过生态恢复整治，临时占地对陆生生态环境影响将逐渐恢复</w:t>
      </w:r>
      <w:r>
        <w:rPr>
          <w:rFonts w:hint="default" w:ascii="Times New Roman" w:hAnsi="Times New Roman" w:eastAsia="宋体" w:cs="Times New Roman"/>
          <w:caps w:val="0"/>
          <w:smallCaps w:val="0"/>
          <w:color w:val="auto"/>
          <w:spacing w:val="0"/>
          <w:w w:val="100"/>
          <w:kern w:val="0"/>
          <w:position w:val="0"/>
          <w:sz w:val="24"/>
          <w:szCs w:val="24"/>
          <w:u w:val="none" w:color="auto"/>
        </w:rPr>
        <w:t>，不会对周边景观造成</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不利</w:t>
      </w:r>
      <w:r>
        <w:rPr>
          <w:rFonts w:hint="default" w:ascii="Times New Roman" w:hAnsi="Times New Roman" w:eastAsia="宋体" w:cs="Times New Roman"/>
          <w:caps w:val="0"/>
          <w:smallCaps w:val="0"/>
          <w:color w:val="auto"/>
          <w:spacing w:val="0"/>
          <w:w w:val="100"/>
          <w:kern w:val="0"/>
          <w:position w:val="0"/>
          <w:sz w:val="24"/>
          <w:szCs w:val="24"/>
          <w:u w:val="none" w:color="auto"/>
        </w:rPr>
        <w:t>影响</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p>
    <w:p w14:paraId="7BEC670B">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工程建成后，评价区内自然景观体系的生物量及生产力不会发生明显的变化，大坝加</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固</w:t>
      </w:r>
      <w:r>
        <w:rPr>
          <w:rFonts w:hint="default" w:ascii="Times New Roman" w:hAnsi="Times New Roman" w:eastAsia="宋体" w:cs="Times New Roman"/>
          <w:caps w:val="0"/>
          <w:smallCaps w:val="0"/>
          <w:color w:val="auto"/>
          <w:spacing w:val="0"/>
          <w:w w:val="100"/>
          <w:kern w:val="0"/>
          <w:position w:val="0"/>
          <w:sz w:val="24"/>
          <w:szCs w:val="24"/>
          <w:u w:val="none" w:color="auto"/>
        </w:rPr>
        <w:t>工程结束后，坝体及坝体周边基本恢复为原有生态类型。</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随着</w:t>
      </w:r>
      <w:r>
        <w:rPr>
          <w:rFonts w:hint="default" w:ascii="Times New Roman" w:hAnsi="Times New Roman" w:eastAsia="宋体" w:cs="Times New Roman"/>
          <w:caps w:val="0"/>
          <w:smallCaps w:val="0"/>
          <w:color w:val="auto"/>
          <w:spacing w:val="0"/>
          <w:w w:val="100"/>
          <w:kern w:val="0"/>
          <w:position w:val="0"/>
          <w:sz w:val="24"/>
          <w:szCs w:val="24"/>
          <w:u w:val="none" w:color="auto"/>
        </w:rPr>
        <w:t>人类活动的减少，原有施工中迁移的陆生动物将会逐渐回到原有的栖息地进行生活与觅食，陆生动物将会逐渐增多，恢复原有生境，基本不会对陆生动物造成影响。</w:t>
      </w:r>
    </w:p>
    <w:p w14:paraId="0BD67865">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eastAsia" w:ascii="Times New Roman" w:hAnsi="Times New Roman" w:eastAsia="宋体" w:cs="Times New Roman"/>
          <w:caps w:val="0"/>
          <w:smallCaps w:val="0"/>
          <w:color w:val="auto"/>
          <w:spacing w:val="0"/>
          <w:w w:val="100"/>
          <w:kern w:val="0"/>
          <w:position w:val="0"/>
          <w:sz w:val="24"/>
          <w:szCs w:val="24"/>
          <w:u w:val="none" w:color="auto"/>
          <w:lang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综上，本项目运营期对陆生生态影响甚微。</w:t>
      </w:r>
    </w:p>
    <w:p w14:paraId="6E578B7F">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2、对水生生态影响分析 </w:t>
      </w:r>
    </w:p>
    <w:p w14:paraId="6989571A">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工程对评价区水生生态系统的影响</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主要发生在施工期间，工程完建后水生生态系统将逐渐恢复至建设前状态。</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本工程是非污染型项目，</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工程建设未改变</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东山</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水库的库容、流量、水位等特性，对库区和下游水域的水位、流速</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、水温</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等水文特性影响较小；工程建设后未新增废污水，工程运行期</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东山</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水库库区、上下游水生生境不会发生明显改变，水生生境基本维持原状。因此，工程运行期评价区水生生态系统不会发生明显变化，水生生物种类组成与工程建设前相似</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对鱼类群落基本无新增影响。 </w:t>
      </w:r>
    </w:p>
    <w:p w14:paraId="3AE55CFF">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同时，东山</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水库</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已运行多年，水生动植物已经适应了水库的运行规律，本项目运行期不改变以往水库运行规律，不产生新的生态影响。因此，本工程运行期对水生生态环境不会造成影响。</w:t>
      </w:r>
    </w:p>
    <w:p w14:paraId="3CBE8314">
      <w:pPr>
        <w:pStyle w:val="3"/>
        <w:bidi w:val="0"/>
        <w:rPr>
          <w:rFonts w:hint="default" w:ascii="Times New Roman" w:hAnsi="Times New Roman" w:cs="Times New Roman"/>
          <w:color w:val="auto"/>
        </w:rPr>
      </w:pPr>
      <w:r>
        <w:rPr>
          <w:rFonts w:hint="default" w:ascii="Times New Roman" w:hAnsi="Times New Roman" w:cs="Times New Roman"/>
          <w:color w:val="auto"/>
        </w:rPr>
        <w:t xml:space="preserve"> </w:t>
      </w:r>
      <w:bookmarkStart w:id="319" w:name="_Toc23983"/>
      <w:r>
        <w:rPr>
          <w:rFonts w:hint="default" w:ascii="Times New Roman" w:hAnsi="Times New Roman" w:cs="Times New Roman"/>
          <w:color w:val="auto"/>
        </w:rPr>
        <w:t>环境风险分析</w:t>
      </w:r>
      <w:bookmarkEnd w:id="319"/>
    </w:p>
    <w:p w14:paraId="4ED84B8F">
      <w:pPr>
        <w:pStyle w:val="4"/>
        <w:bidi w:val="0"/>
        <w:rPr>
          <w:rFonts w:hint="default" w:ascii="Times New Roman" w:hAnsi="Times New Roman" w:cs="Times New Roman"/>
          <w:color w:val="auto"/>
        </w:rPr>
      </w:pPr>
      <w:bookmarkStart w:id="320" w:name="_Toc28933"/>
      <w:r>
        <w:rPr>
          <w:rFonts w:hint="eastAsia" w:ascii="Times New Roman" w:hAnsi="Times New Roman" w:cs="Times New Roman"/>
          <w:color w:val="auto"/>
          <w:lang w:eastAsia="zh-CN"/>
        </w:rPr>
        <w:t>风险调查</w:t>
      </w:r>
      <w:bookmarkEnd w:id="320"/>
    </w:p>
    <w:p w14:paraId="39A54308">
      <w:pPr>
        <w:keepNext w:val="0"/>
        <w:keepLines w:val="0"/>
        <w:pageBreakBefore w:val="0"/>
        <w:widowControl w:val="0"/>
        <w:kinsoku w:val="0"/>
        <w:wordWrap w:val="0"/>
        <w:overflowPunct/>
        <w:topLinePunct/>
        <w:autoSpaceDE/>
        <w:autoSpaceDN/>
        <w:bidi w:val="0"/>
        <w:adjustRightInd w:val="0"/>
        <w:snapToGrid/>
        <w:spacing w:line="360" w:lineRule="auto"/>
        <w:ind w:firstLine="482" w:firstLineChars="200"/>
        <w:textAlignment w:val="auto"/>
        <w:rPr>
          <w:rFonts w:hint="eastAsia" w:ascii="Times New Roman" w:hAnsi="Times New Roman" w:eastAsia="宋体" w:cs="Times New Roman"/>
          <w:b/>
          <w:bCs/>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b/>
          <w:bCs/>
          <w:caps w:val="0"/>
          <w:smallCaps w:val="0"/>
          <w:color w:val="auto"/>
          <w:spacing w:val="0"/>
          <w:w w:val="100"/>
          <w:kern w:val="0"/>
          <w:position w:val="0"/>
          <w:sz w:val="24"/>
          <w:szCs w:val="24"/>
          <w:u w:val="none" w:color="auto"/>
          <w:lang w:val="en-US" w:eastAsia="zh-CN"/>
        </w:rPr>
        <w:t>1、风险源调查</w:t>
      </w:r>
    </w:p>
    <w:p w14:paraId="3AFDA79A">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本项目为水库除险加固工程项目，为生态影响类建设项目，不属于污染影响型，工程在施工与运营阶段涉及的有毒有害和易燃易爆危险物质相对较少。根据《建设项目环境风险评价技术导则》（HJ169-2018）附录B，本次风险评价的主要危险物质为柴油</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和油水分离池收集的废机油。本项目</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施工场地不设置柴油储罐</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施工机械设备和施工交通运输车辆柴油</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暂存量按</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油箱</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总</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容量</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约20</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00L计</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，合1.68t；废机油约为0.5t。</w:t>
      </w:r>
    </w:p>
    <w:p w14:paraId="1F422E19">
      <w:pPr>
        <w:keepNext w:val="0"/>
        <w:keepLines w:val="0"/>
        <w:pageBreakBefore w:val="0"/>
        <w:widowControl w:val="0"/>
        <w:numPr>
          <w:ilvl w:val="0"/>
          <w:numId w:val="0"/>
        </w:numPr>
        <w:kinsoku w:val="0"/>
        <w:wordWrap w:val="0"/>
        <w:overflowPunct/>
        <w:topLinePunct/>
        <w:autoSpaceDE/>
        <w:autoSpaceDN/>
        <w:bidi w:val="0"/>
        <w:adjustRightInd w:val="0"/>
        <w:snapToGrid/>
        <w:spacing w:line="360" w:lineRule="auto"/>
        <w:ind w:leftChars="200"/>
        <w:textAlignment w:val="auto"/>
        <w:rPr>
          <w:rFonts w:hint="eastAsia" w:ascii="Times New Roman" w:hAnsi="Times New Roman" w:eastAsia="宋体" w:cs="Times New Roman"/>
          <w:b/>
          <w:bCs/>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b/>
          <w:bCs/>
          <w:caps w:val="0"/>
          <w:smallCaps w:val="0"/>
          <w:color w:val="auto"/>
          <w:spacing w:val="0"/>
          <w:w w:val="100"/>
          <w:kern w:val="0"/>
          <w:position w:val="0"/>
          <w:sz w:val="24"/>
          <w:szCs w:val="24"/>
          <w:u w:val="none" w:color="auto"/>
          <w:lang w:val="en-US" w:eastAsia="zh-CN"/>
        </w:rPr>
        <w:t>2、环境敏感目标调查</w:t>
      </w:r>
    </w:p>
    <w:p w14:paraId="7D3365FF">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FF0000"/>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本项目主要环境风险物质为柴油，可能的影响途径主要为泄露造成的地表水污染、地下水污染、土壤污染，以及火灾爆炸造成的次生环境污染，因此确定主要环境敏感目标为东山水库饮用水源保护区、桃花山省级森林公园、项目环境影响评价范围内的地下水敏感点、土壤敏感点及周边5</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00m</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的大气敏感点等。</w:t>
      </w:r>
    </w:p>
    <w:p w14:paraId="55111764">
      <w:pPr>
        <w:pStyle w:val="4"/>
        <w:bidi w:val="0"/>
        <w:rPr>
          <w:rFonts w:hint="default" w:ascii="Times New Roman" w:hAnsi="Times New Roman" w:cs="Times New Roman"/>
          <w:color w:val="auto"/>
        </w:rPr>
      </w:pPr>
      <w:bookmarkStart w:id="321" w:name="_Toc26693"/>
      <w:r>
        <w:rPr>
          <w:rFonts w:hint="eastAsia" w:ascii="Times New Roman" w:hAnsi="Times New Roman" w:cs="Times New Roman"/>
          <w:color w:val="auto"/>
          <w:lang w:eastAsia="zh-CN"/>
        </w:rPr>
        <w:t>环境风险潜势初判</w:t>
      </w:r>
      <w:bookmarkEnd w:id="321"/>
    </w:p>
    <w:p w14:paraId="209FD73D">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根据《建设项目环境风险评价导则》（HJ</w:t>
      </w:r>
      <w:r>
        <w:rPr>
          <w:rFonts w:hint="eastAsia" w:ascii="Times New Roman" w:hAnsi="Times New Roman" w:eastAsia="宋体" w:cs="Times New Roman"/>
          <w:caps w:val="0"/>
          <w:smallCaps w:val="0"/>
          <w:color w:val="auto"/>
          <w:spacing w:val="0"/>
          <w:w w:val="100"/>
          <w:kern w:val="0"/>
          <w:position w:val="0"/>
          <w:sz w:val="24"/>
          <w:szCs w:val="24"/>
          <w:u w:val="none" w:color="auto"/>
        </w:rPr>
        <w:t xml:space="preserve"> </w:t>
      </w:r>
      <w:r>
        <w:rPr>
          <w:rFonts w:hint="default" w:ascii="Times New Roman" w:hAnsi="Times New Roman" w:eastAsia="宋体" w:cs="Times New Roman"/>
          <w:caps w:val="0"/>
          <w:smallCaps w:val="0"/>
          <w:color w:val="auto"/>
          <w:spacing w:val="0"/>
          <w:w w:val="100"/>
          <w:kern w:val="0"/>
          <w:position w:val="0"/>
          <w:sz w:val="24"/>
          <w:szCs w:val="24"/>
          <w:u w:val="none" w:color="auto"/>
        </w:rPr>
        <w:t>169-2018）附录C，计算所涉及的每种危险物质在厂界内的最大存在总量与其在附录B中对应临界量的比值Q。</w:t>
      </w:r>
    </w:p>
    <w:p w14:paraId="4721EEAC">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当只涉及一种危险物质时，计算该物质的总量与其临界量比值，即为Q；</w:t>
      </w:r>
    </w:p>
    <w:p w14:paraId="46DA39CD">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当存在多种危险物质时，则下式计算物质总量与其临界量比值（Q）：</w:t>
      </w:r>
    </w:p>
    <w:p w14:paraId="36913641">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m:oMathPara>
        <m:oMath>
          <m:r>
            <m:rPr>
              <m:sty m:val="p"/>
            </m:rPr>
            <w:rPr>
              <w:rFonts w:hint="default" w:ascii="Cambria Math" w:hAnsi="Cambria Math" w:eastAsia="宋体" w:cs="Times New Roman"/>
              <w:caps w:val="0"/>
              <w:smallCaps w:val="0"/>
              <w:color w:val="auto"/>
              <w:spacing w:val="0"/>
              <w:w w:val="100"/>
              <w:kern w:val="0"/>
              <w:position w:val="0"/>
              <w:sz w:val="24"/>
              <w:szCs w:val="24"/>
              <w:u w:val="none" w:color="auto"/>
            </w:rPr>
            <m:t>Q=</m:t>
          </m:r>
          <m:f>
            <m:fPr>
              <m:ctrlPr>
                <w:rPr>
                  <w:rFonts w:hint="default" w:ascii="Cambria Math" w:hAnsi="Cambria Math" w:eastAsia="宋体" w:cs="Times New Roman"/>
                  <w:caps w:val="0"/>
                  <w:smallCaps w:val="0"/>
                  <w:color w:val="auto"/>
                  <w:spacing w:val="0"/>
                  <w:w w:val="100"/>
                  <w:kern w:val="0"/>
                  <w:position w:val="0"/>
                  <w:sz w:val="24"/>
                  <w:szCs w:val="24"/>
                  <w:u w:val="none" w:color="auto"/>
                </w:rPr>
              </m:ctrlPr>
            </m:fPr>
            <m:num>
              <m:sSub>
                <m:sSubPr>
                  <m:ctrlPr>
                    <w:rPr>
                      <w:rFonts w:hint="default" w:ascii="Cambria Math" w:hAnsi="Cambria Math" w:eastAsia="宋体" w:cs="Times New Roman"/>
                      <w:caps w:val="0"/>
                      <w:smallCaps w:val="0"/>
                      <w:color w:val="auto"/>
                      <w:spacing w:val="0"/>
                      <w:w w:val="100"/>
                      <w:kern w:val="0"/>
                      <w:position w:val="0"/>
                      <w:sz w:val="24"/>
                      <w:szCs w:val="24"/>
                      <w:u w:val="none" w:color="auto"/>
                    </w:rPr>
                  </m:ctrlPr>
                </m:sSubPr>
                <m:e>
                  <m:r>
                    <m:rPr>
                      <m:sty m:val="p"/>
                    </m:rPr>
                    <w:rPr>
                      <w:rFonts w:hint="default" w:ascii="Cambria Math" w:hAnsi="Cambria Math" w:eastAsia="宋体" w:cs="Times New Roman"/>
                      <w:caps w:val="0"/>
                      <w:smallCaps w:val="0"/>
                      <w:color w:val="auto"/>
                      <w:spacing w:val="0"/>
                      <w:w w:val="100"/>
                      <w:kern w:val="0"/>
                      <w:position w:val="0"/>
                      <w:sz w:val="24"/>
                      <w:szCs w:val="24"/>
                      <w:u w:val="none" w:color="auto"/>
                    </w:rPr>
                    <m:t>q</m:t>
                  </m:r>
                  <m:ctrlPr>
                    <w:rPr>
                      <w:rFonts w:hint="default" w:ascii="Cambria Math" w:hAnsi="Cambria Math" w:eastAsia="宋体" w:cs="Times New Roman"/>
                      <w:caps w:val="0"/>
                      <w:smallCaps w:val="0"/>
                      <w:color w:val="auto"/>
                      <w:spacing w:val="0"/>
                      <w:w w:val="100"/>
                      <w:kern w:val="0"/>
                      <w:position w:val="0"/>
                      <w:sz w:val="24"/>
                      <w:szCs w:val="24"/>
                      <w:u w:val="none" w:color="auto"/>
                    </w:rPr>
                  </m:ctrlPr>
                </m:e>
                <m:sub>
                  <m:r>
                    <m:rPr>
                      <m:sty m:val="p"/>
                    </m:rPr>
                    <w:rPr>
                      <w:rFonts w:hint="default" w:ascii="Cambria Math" w:hAnsi="Cambria Math" w:eastAsia="宋体" w:cs="Times New Roman"/>
                      <w:caps w:val="0"/>
                      <w:smallCaps w:val="0"/>
                      <w:color w:val="auto"/>
                      <w:spacing w:val="0"/>
                      <w:w w:val="100"/>
                      <w:kern w:val="0"/>
                      <w:position w:val="0"/>
                      <w:sz w:val="24"/>
                      <w:szCs w:val="24"/>
                      <w:u w:val="none" w:color="auto"/>
                    </w:rPr>
                    <m:t>1</m:t>
                  </m:r>
                  <m:ctrlPr>
                    <w:rPr>
                      <w:rFonts w:hint="default" w:ascii="Cambria Math" w:hAnsi="Cambria Math" w:eastAsia="宋体" w:cs="Times New Roman"/>
                      <w:caps w:val="0"/>
                      <w:smallCaps w:val="0"/>
                      <w:color w:val="auto"/>
                      <w:spacing w:val="0"/>
                      <w:w w:val="100"/>
                      <w:kern w:val="0"/>
                      <w:position w:val="0"/>
                      <w:sz w:val="24"/>
                      <w:szCs w:val="24"/>
                      <w:u w:val="none" w:color="auto"/>
                    </w:rPr>
                  </m:ctrlPr>
                </m:sub>
              </m:sSub>
              <m:ctrlPr>
                <w:rPr>
                  <w:rFonts w:hint="default" w:ascii="Cambria Math" w:hAnsi="Cambria Math" w:eastAsia="宋体" w:cs="Times New Roman"/>
                  <w:caps w:val="0"/>
                  <w:smallCaps w:val="0"/>
                  <w:color w:val="auto"/>
                  <w:spacing w:val="0"/>
                  <w:w w:val="100"/>
                  <w:kern w:val="0"/>
                  <w:position w:val="0"/>
                  <w:sz w:val="24"/>
                  <w:szCs w:val="24"/>
                  <w:u w:val="none" w:color="auto"/>
                </w:rPr>
              </m:ctrlPr>
            </m:num>
            <m:den>
              <m:sSub>
                <m:sSubPr>
                  <m:ctrlPr>
                    <w:rPr>
                      <w:rFonts w:hint="default" w:ascii="Cambria Math" w:hAnsi="Cambria Math" w:eastAsia="宋体" w:cs="Times New Roman"/>
                      <w:caps w:val="0"/>
                      <w:smallCaps w:val="0"/>
                      <w:color w:val="auto"/>
                      <w:spacing w:val="0"/>
                      <w:w w:val="100"/>
                      <w:kern w:val="0"/>
                      <w:position w:val="0"/>
                      <w:sz w:val="24"/>
                      <w:szCs w:val="24"/>
                      <w:u w:val="none" w:color="auto"/>
                    </w:rPr>
                  </m:ctrlPr>
                </m:sSubPr>
                <m:e>
                  <m:r>
                    <m:rPr>
                      <m:sty m:val="p"/>
                    </m:rPr>
                    <w:rPr>
                      <w:rFonts w:hint="default" w:ascii="Cambria Math" w:hAnsi="Cambria Math" w:eastAsia="宋体" w:cs="Times New Roman"/>
                      <w:caps w:val="0"/>
                      <w:smallCaps w:val="0"/>
                      <w:color w:val="auto"/>
                      <w:spacing w:val="0"/>
                      <w:w w:val="100"/>
                      <w:kern w:val="0"/>
                      <w:position w:val="0"/>
                      <w:sz w:val="24"/>
                      <w:szCs w:val="24"/>
                      <w:u w:val="none" w:color="auto"/>
                    </w:rPr>
                    <m:t>Q</m:t>
                  </m:r>
                  <m:ctrlPr>
                    <w:rPr>
                      <w:rFonts w:hint="default" w:ascii="Cambria Math" w:hAnsi="Cambria Math" w:eastAsia="宋体" w:cs="Times New Roman"/>
                      <w:caps w:val="0"/>
                      <w:smallCaps w:val="0"/>
                      <w:color w:val="auto"/>
                      <w:spacing w:val="0"/>
                      <w:w w:val="100"/>
                      <w:kern w:val="0"/>
                      <w:position w:val="0"/>
                      <w:sz w:val="24"/>
                      <w:szCs w:val="24"/>
                      <w:u w:val="none" w:color="auto"/>
                    </w:rPr>
                  </m:ctrlPr>
                </m:e>
                <m:sub>
                  <m:r>
                    <m:rPr>
                      <m:sty m:val="p"/>
                    </m:rPr>
                    <w:rPr>
                      <w:rFonts w:hint="default" w:ascii="Cambria Math" w:hAnsi="Cambria Math" w:eastAsia="宋体" w:cs="Times New Roman"/>
                      <w:caps w:val="0"/>
                      <w:smallCaps w:val="0"/>
                      <w:color w:val="auto"/>
                      <w:spacing w:val="0"/>
                      <w:w w:val="100"/>
                      <w:kern w:val="0"/>
                      <w:position w:val="0"/>
                      <w:sz w:val="24"/>
                      <w:szCs w:val="24"/>
                      <w:u w:val="none" w:color="auto"/>
                    </w:rPr>
                    <m:t>1</m:t>
                  </m:r>
                  <m:ctrlPr>
                    <w:rPr>
                      <w:rFonts w:hint="default" w:ascii="Cambria Math" w:hAnsi="Cambria Math" w:eastAsia="宋体" w:cs="Times New Roman"/>
                      <w:caps w:val="0"/>
                      <w:smallCaps w:val="0"/>
                      <w:color w:val="auto"/>
                      <w:spacing w:val="0"/>
                      <w:w w:val="100"/>
                      <w:kern w:val="0"/>
                      <w:position w:val="0"/>
                      <w:sz w:val="24"/>
                      <w:szCs w:val="24"/>
                      <w:u w:val="none" w:color="auto"/>
                    </w:rPr>
                  </m:ctrlPr>
                </m:sub>
              </m:sSub>
              <m:ctrlPr>
                <w:rPr>
                  <w:rFonts w:hint="default" w:ascii="Cambria Math" w:hAnsi="Cambria Math" w:eastAsia="宋体" w:cs="Times New Roman"/>
                  <w:caps w:val="0"/>
                  <w:smallCaps w:val="0"/>
                  <w:color w:val="auto"/>
                  <w:spacing w:val="0"/>
                  <w:w w:val="100"/>
                  <w:kern w:val="0"/>
                  <w:position w:val="0"/>
                  <w:sz w:val="24"/>
                  <w:szCs w:val="24"/>
                  <w:u w:val="none" w:color="auto"/>
                </w:rPr>
              </m:ctrlPr>
            </m:den>
          </m:f>
          <m:r>
            <m:rPr>
              <m:sty m:val="p"/>
            </m:rPr>
            <w:rPr>
              <w:rFonts w:hint="default" w:ascii="Cambria Math" w:hAnsi="Cambria Math" w:eastAsia="宋体" w:cs="Times New Roman"/>
              <w:caps w:val="0"/>
              <w:smallCaps w:val="0"/>
              <w:color w:val="auto"/>
              <w:spacing w:val="0"/>
              <w:w w:val="100"/>
              <w:kern w:val="0"/>
              <w:position w:val="0"/>
              <w:sz w:val="24"/>
              <w:szCs w:val="24"/>
              <w:u w:val="none" w:color="auto"/>
            </w:rPr>
            <m:t>+</m:t>
          </m:r>
          <m:f>
            <m:fPr>
              <m:ctrlPr>
                <w:rPr>
                  <w:rFonts w:hint="default" w:ascii="Cambria Math" w:hAnsi="Cambria Math" w:eastAsia="宋体" w:cs="Times New Roman"/>
                  <w:caps w:val="0"/>
                  <w:smallCaps w:val="0"/>
                  <w:color w:val="auto"/>
                  <w:spacing w:val="0"/>
                  <w:w w:val="100"/>
                  <w:kern w:val="0"/>
                  <w:position w:val="0"/>
                  <w:sz w:val="24"/>
                  <w:szCs w:val="24"/>
                  <w:u w:val="none" w:color="auto"/>
                </w:rPr>
              </m:ctrlPr>
            </m:fPr>
            <m:num>
              <m:sSub>
                <m:sSubPr>
                  <m:ctrlPr>
                    <w:rPr>
                      <w:rFonts w:hint="default" w:ascii="Cambria Math" w:hAnsi="Cambria Math" w:eastAsia="宋体" w:cs="Times New Roman"/>
                      <w:caps w:val="0"/>
                      <w:smallCaps w:val="0"/>
                      <w:color w:val="auto"/>
                      <w:spacing w:val="0"/>
                      <w:w w:val="100"/>
                      <w:kern w:val="0"/>
                      <w:position w:val="0"/>
                      <w:sz w:val="24"/>
                      <w:szCs w:val="24"/>
                      <w:u w:val="none" w:color="auto"/>
                    </w:rPr>
                  </m:ctrlPr>
                </m:sSubPr>
                <m:e>
                  <m:r>
                    <m:rPr>
                      <m:sty m:val="p"/>
                    </m:rPr>
                    <w:rPr>
                      <w:rFonts w:hint="default" w:ascii="Cambria Math" w:hAnsi="Cambria Math" w:eastAsia="宋体" w:cs="Times New Roman"/>
                      <w:caps w:val="0"/>
                      <w:smallCaps w:val="0"/>
                      <w:color w:val="auto"/>
                      <w:spacing w:val="0"/>
                      <w:w w:val="100"/>
                      <w:kern w:val="0"/>
                      <w:position w:val="0"/>
                      <w:sz w:val="24"/>
                      <w:szCs w:val="24"/>
                      <w:u w:val="none" w:color="auto"/>
                    </w:rPr>
                    <m:t>q</m:t>
                  </m:r>
                  <m:ctrlPr>
                    <w:rPr>
                      <w:rFonts w:hint="default" w:ascii="Cambria Math" w:hAnsi="Cambria Math" w:eastAsia="宋体" w:cs="Times New Roman"/>
                      <w:caps w:val="0"/>
                      <w:smallCaps w:val="0"/>
                      <w:color w:val="auto"/>
                      <w:spacing w:val="0"/>
                      <w:w w:val="100"/>
                      <w:kern w:val="0"/>
                      <w:position w:val="0"/>
                      <w:sz w:val="24"/>
                      <w:szCs w:val="24"/>
                      <w:u w:val="none" w:color="auto"/>
                    </w:rPr>
                  </m:ctrlPr>
                </m:e>
                <m:sub>
                  <m:r>
                    <m:rPr>
                      <m:sty m:val="p"/>
                    </m:rPr>
                    <w:rPr>
                      <w:rFonts w:hint="default" w:ascii="Cambria Math" w:hAnsi="Cambria Math" w:eastAsia="宋体" w:cs="Times New Roman"/>
                      <w:caps w:val="0"/>
                      <w:smallCaps w:val="0"/>
                      <w:color w:val="auto"/>
                      <w:spacing w:val="0"/>
                      <w:w w:val="100"/>
                      <w:kern w:val="0"/>
                      <w:position w:val="0"/>
                      <w:sz w:val="24"/>
                      <w:szCs w:val="24"/>
                      <w:u w:val="none" w:color="auto"/>
                    </w:rPr>
                    <m:t>2</m:t>
                  </m:r>
                  <m:ctrlPr>
                    <w:rPr>
                      <w:rFonts w:hint="default" w:ascii="Cambria Math" w:hAnsi="Cambria Math" w:eastAsia="宋体" w:cs="Times New Roman"/>
                      <w:caps w:val="0"/>
                      <w:smallCaps w:val="0"/>
                      <w:color w:val="auto"/>
                      <w:spacing w:val="0"/>
                      <w:w w:val="100"/>
                      <w:kern w:val="0"/>
                      <w:position w:val="0"/>
                      <w:sz w:val="24"/>
                      <w:szCs w:val="24"/>
                      <w:u w:val="none" w:color="auto"/>
                    </w:rPr>
                  </m:ctrlPr>
                </m:sub>
              </m:sSub>
              <m:ctrlPr>
                <w:rPr>
                  <w:rFonts w:hint="default" w:ascii="Cambria Math" w:hAnsi="Cambria Math" w:eastAsia="宋体" w:cs="Times New Roman"/>
                  <w:caps w:val="0"/>
                  <w:smallCaps w:val="0"/>
                  <w:color w:val="auto"/>
                  <w:spacing w:val="0"/>
                  <w:w w:val="100"/>
                  <w:kern w:val="0"/>
                  <w:position w:val="0"/>
                  <w:sz w:val="24"/>
                  <w:szCs w:val="24"/>
                  <w:u w:val="none" w:color="auto"/>
                </w:rPr>
              </m:ctrlPr>
            </m:num>
            <m:den>
              <m:sSub>
                <m:sSubPr>
                  <m:ctrlPr>
                    <w:rPr>
                      <w:rFonts w:hint="default" w:ascii="Cambria Math" w:hAnsi="Cambria Math" w:eastAsia="宋体" w:cs="Times New Roman"/>
                      <w:caps w:val="0"/>
                      <w:smallCaps w:val="0"/>
                      <w:color w:val="auto"/>
                      <w:spacing w:val="0"/>
                      <w:w w:val="100"/>
                      <w:kern w:val="0"/>
                      <w:position w:val="0"/>
                      <w:sz w:val="24"/>
                      <w:szCs w:val="24"/>
                      <w:u w:val="none" w:color="auto"/>
                    </w:rPr>
                  </m:ctrlPr>
                </m:sSubPr>
                <m:e>
                  <m:r>
                    <m:rPr>
                      <m:sty m:val="p"/>
                    </m:rPr>
                    <w:rPr>
                      <w:rFonts w:hint="default" w:ascii="Cambria Math" w:hAnsi="Cambria Math" w:eastAsia="宋体" w:cs="Times New Roman"/>
                      <w:caps w:val="0"/>
                      <w:smallCaps w:val="0"/>
                      <w:color w:val="auto"/>
                      <w:spacing w:val="0"/>
                      <w:w w:val="100"/>
                      <w:kern w:val="0"/>
                      <w:position w:val="0"/>
                      <w:sz w:val="24"/>
                      <w:szCs w:val="24"/>
                      <w:u w:val="none" w:color="auto"/>
                    </w:rPr>
                    <m:t>Q</m:t>
                  </m:r>
                  <m:ctrlPr>
                    <w:rPr>
                      <w:rFonts w:hint="default" w:ascii="Cambria Math" w:hAnsi="Cambria Math" w:eastAsia="宋体" w:cs="Times New Roman"/>
                      <w:caps w:val="0"/>
                      <w:smallCaps w:val="0"/>
                      <w:color w:val="auto"/>
                      <w:spacing w:val="0"/>
                      <w:w w:val="100"/>
                      <w:kern w:val="0"/>
                      <w:position w:val="0"/>
                      <w:sz w:val="24"/>
                      <w:szCs w:val="24"/>
                      <w:u w:val="none" w:color="auto"/>
                    </w:rPr>
                  </m:ctrlPr>
                </m:e>
                <m:sub>
                  <m:r>
                    <m:rPr>
                      <m:sty m:val="p"/>
                    </m:rPr>
                    <w:rPr>
                      <w:rFonts w:hint="default" w:ascii="Cambria Math" w:hAnsi="Cambria Math" w:eastAsia="宋体" w:cs="Times New Roman"/>
                      <w:caps w:val="0"/>
                      <w:smallCaps w:val="0"/>
                      <w:color w:val="auto"/>
                      <w:spacing w:val="0"/>
                      <w:w w:val="100"/>
                      <w:kern w:val="0"/>
                      <w:position w:val="0"/>
                      <w:sz w:val="24"/>
                      <w:szCs w:val="24"/>
                      <w:u w:val="none" w:color="auto"/>
                    </w:rPr>
                    <m:t>2</m:t>
                  </m:r>
                  <m:ctrlPr>
                    <w:rPr>
                      <w:rFonts w:hint="default" w:ascii="Cambria Math" w:hAnsi="Cambria Math" w:eastAsia="宋体" w:cs="Times New Roman"/>
                      <w:caps w:val="0"/>
                      <w:smallCaps w:val="0"/>
                      <w:color w:val="auto"/>
                      <w:spacing w:val="0"/>
                      <w:w w:val="100"/>
                      <w:kern w:val="0"/>
                      <w:position w:val="0"/>
                      <w:sz w:val="24"/>
                      <w:szCs w:val="24"/>
                      <w:u w:val="none" w:color="auto"/>
                    </w:rPr>
                  </m:ctrlPr>
                </m:sub>
              </m:sSub>
              <m:ctrlPr>
                <w:rPr>
                  <w:rFonts w:hint="default" w:ascii="Cambria Math" w:hAnsi="Cambria Math" w:eastAsia="宋体" w:cs="Times New Roman"/>
                  <w:caps w:val="0"/>
                  <w:smallCaps w:val="0"/>
                  <w:color w:val="auto"/>
                  <w:spacing w:val="0"/>
                  <w:w w:val="100"/>
                  <w:kern w:val="0"/>
                  <w:position w:val="0"/>
                  <w:sz w:val="24"/>
                  <w:szCs w:val="24"/>
                  <w:u w:val="none" w:color="auto"/>
                </w:rPr>
              </m:ctrlPr>
            </m:den>
          </m:f>
          <m:r>
            <m:rPr>
              <m:sty m:val="p"/>
            </m:rPr>
            <w:rPr>
              <w:rFonts w:hint="default" w:ascii="Cambria Math" w:hAnsi="Cambria Math" w:eastAsia="宋体" w:cs="Times New Roman"/>
              <w:caps w:val="0"/>
              <w:smallCaps w:val="0"/>
              <w:color w:val="auto"/>
              <w:spacing w:val="0"/>
              <w:w w:val="100"/>
              <w:kern w:val="0"/>
              <w:position w:val="0"/>
              <w:sz w:val="24"/>
              <w:szCs w:val="24"/>
              <w:u w:val="none" w:color="auto"/>
            </w:rPr>
            <m:t>+…</m:t>
          </m:r>
          <m:f>
            <m:fPr>
              <m:ctrlPr>
                <w:rPr>
                  <w:rFonts w:hint="default" w:ascii="Cambria Math" w:hAnsi="Cambria Math" w:eastAsia="宋体" w:cs="Times New Roman"/>
                  <w:caps w:val="0"/>
                  <w:smallCaps w:val="0"/>
                  <w:color w:val="auto"/>
                  <w:spacing w:val="0"/>
                  <w:w w:val="100"/>
                  <w:kern w:val="0"/>
                  <w:position w:val="0"/>
                  <w:sz w:val="24"/>
                  <w:szCs w:val="24"/>
                  <w:u w:val="none" w:color="auto"/>
                </w:rPr>
              </m:ctrlPr>
            </m:fPr>
            <m:num>
              <m:sSub>
                <m:sSubPr>
                  <m:ctrlPr>
                    <w:rPr>
                      <w:rFonts w:hint="default" w:ascii="Cambria Math" w:hAnsi="Cambria Math" w:eastAsia="宋体" w:cs="Times New Roman"/>
                      <w:caps w:val="0"/>
                      <w:smallCaps w:val="0"/>
                      <w:color w:val="auto"/>
                      <w:spacing w:val="0"/>
                      <w:w w:val="100"/>
                      <w:kern w:val="0"/>
                      <w:position w:val="0"/>
                      <w:sz w:val="24"/>
                      <w:szCs w:val="24"/>
                      <w:u w:val="none" w:color="auto"/>
                    </w:rPr>
                  </m:ctrlPr>
                </m:sSubPr>
                <m:e>
                  <m:r>
                    <m:rPr>
                      <m:sty m:val="p"/>
                    </m:rPr>
                    <w:rPr>
                      <w:rFonts w:hint="default" w:ascii="Cambria Math" w:hAnsi="Cambria Math" w:eastAsia="宋体" w:cs="Times New Roman"/>
                      <w:caps w:val="0"/>
                      <w:smallCaps w:val="0"/>
                      <w:color w:val="auto"/>
                      <w:spacing w:val="0"/>
                      <w:w w:val="100"/>
                      <w:kern w:val="0"/>
                      <w:position w:val="0"/>
                      <w:sz w:val="24"/>
                      <w:szCs w:val="24"/>
                      <w:u w:val="none" w:color="auto"/>
                    </w:rPr>
                    <m:t>q</m:t>
                  </m:r>
                  <m:ctrlPr>
                    <w:rPr>
                      <w:rFonts w:hint="default" w:ascii="Cambria Math" w:hAnsi="Cambria Math" w:eastAsia="宋体" w:cs="Times New Roman"/>
                      <w:caps w:val="0"/>
                      <w:smallCaps w:val="0"/>
                      <w:color w:val="auto"/>
                      <w:spacing w:val="0"/>
                      <w:w w:val="100"/>
                      <w:kern w:val="0"/>
                      <w:position w:val="0"/>
                      <w:sz w:val="24"/>
                      <w:szCs w:val="24"/>
                      <w:u w:val="none" w:color="auto"/>
                    </w:rPr>
                  </m:ctrlPr>
                </m:e>
                <m:sub>
                  <m:r>
                    <m:rPr>
                      <m:sty m:val="p"/>
                    </m:rPr>
                    <w:rPr>
                      <w:rFonts w:hint="default" w:ascii="Cambria Math" w:hAnsi="Cambria Math" w:eastAsia="宋体" w:cs="Times New Roman"/>
                      <w:caps w:val="0"/>
                      <w:smallCaps w:val="0"/>
                      <w:color w:val="auto"/>
                      <w:spacing w:val="0"/>
                      <w:w w:val="100"/>
                      <w:kern w:val="0"/>
                      <w:position w:val="0"/>
                      <w:sz w:val="24"/>
                      <w:szCs w:val="24"/>
                      <w:u w:val="none" w:color="auto"/>
                    </w:rPr>
                    <m:t>n</m:t>
                  </m:r>
                  <m:ctrlPr>
                    <w:rPr>
                      <w:rFonts w:hint="default" w:ascii="Cambria Math" w:hAnsi="Cambria Math" w:eastAsia="宋体" w:cs="Times New Roman"/>
                      <w:caps w:val="0"/>
                      <w:smallCaps w:val="0"/>
                      <w:color w:val="auto"/>
                      <w:spacing w:val="0"/>
                      <w:w w:val="100"/>
                      <w:kern w:val="0"/>
                      <w:position w:val="0"/>
                      <w:sz w:val="24"/>
                      <w:szCs w:val="24"/>
                      <w:u w:val="none" w:color="auto"/>
                    </w:rPr>
                  </m:ctrlPr>
                </m:sub>
              </m:sSub>
              <m:ctrlPr>
                <w:rPr>
                  <w:rFonts w:hint="default" w:ascii="Cambria Math" w:hAnsi="Cambria Math" w:eastAsia="宋体" w:cs="Times New Roman"/>
                  <w:caps w:val="0"/>
                  <w:smallCaps w:val="0"/>
                  <w:color w:val="auto"/>
                  <w:spacing w:val="0"/>
                  <w:w w:val="100"/>
                  <w:kern w:val="0"/>
                  <w:position w:val="0"/>
                  <w:sz w:val="24"/>
                  <w:szCs w:val="24"/>
                  <w:u w:val="none" w:color="auto"/>
                </w:rPr>
              </m:ctrlPr>
            </m:num>
            <m:den>
              <m:sSub>
                <m:sSubPr>
                  <m:ctrlPr>
                    <w:rPr>
                      <w:rFonts w:hint="default" w:ascii="Cambria Math" w:hAnsi="Cambria Math" w:eastAsia="宋体" w:cs="Times New Roman"/>
                      <w:caps w:val="0"/>
                      <w:smallCaps w:val="0"/>
                      <w:color w:val="auto"/>
                      <w:spacing w:val="0"/>
                      <w:w w:val="100"/>
                      <w:kern w:val="0"/>
                      <w:position w:val="0"/>
                      <w:sz w:val="24"/>
                      <w:szCs w:val="24"/>
                      <w:u w:val="none" w:color="auto"/>
                    </w:rPr>
                  </m:ctrlPr>
                </m:sSubPr>
                <m:e>
                  <m:r>
                    <m:rPr>
                      <m:sty m:val="p"/>
                    </m:rPr>
                    <w:rPr>
                      <w:rFonts w:hint="default" w:ascii="Cambria Math" w:hAnsi="Cambria Math" w:eastAsia="宋体" w:cs="Times New Roman"/>
                      <w:caps w:val="0"/>
                      <w:smallCaps w:val="0"/>
                      <w:color w:val="auto"/>
                      <w:spacing w:val="0"/>
                      <w:w w:val="100"/>
                      <w:kern w:val="0"/>
                      <w:position w:val="0"/>
                      <w:sz w:val="24"/>
                      <w:szCs w:val="24"/>
                      <w:u w:val="none" w:color="auto"/>
                    </w:rPr>
                    <m:t>Q</m:t>
                  </m:r>
                  <m:ctrlPr>
                    <w:rPr>
                      <w:rFonts w:hint="default" w:ascii="Cambria Math" w:hAnsi="Cambria Math" w:eastAsia="宋体" w:cs="Times New Roman"/>
                      <w:caps w:val="0"/>
                      <w:smallCaps w:val="0"/>
                      <w:color w:val="auto"/>
                      <w:spacing w:val="0"/>
                      <w:w w:val="100"/>
                      <w:kern w:val="0"/>
                      <w:position w:val="0"/>
                      <w:sz w:val="24"/>
                      <w:szCs w:val="24"/>
                      <w:u w:val="none" w:color="auto"/>
                    </w:rPr>
                  </m:ctrlPr>
                </m:e>
                <m:sub>
                  <m:r>
                    <m:rPr>
                      <m:sty m:val="p"/>
                    </m:rPr>
                    <w:rPr>
                      <w:rFonts w:hint="default" w:ascii="Cambria Math" w:hAnsi="Cambria Math" w:eastAsia="宋体" w:cs="Times New Roman"/>
                      <w:caps w:val="0"/>
                      <w:smallCaps w:val="0"/>
                      <w:color w:val="auto"/>
                      <w:spacing w:val="0"/>
                      <w:w w:val="100"/>
                      <w:kern w:val="0"/>
                      <w:position w:val="0"/>
                      <w:sz w:val="24"/>
                      <w:szCs w:val="24"/>
                      <w:u w:val="none" w:color="auto"/>
                    </w:rPr>
                    <m:t>n</m:t>
                  </m:r>
                  <m:ctrlPr>
                    <w:rPr>
                      <w:rFonts w:hint="default" w:ascii="Cambria Math" w:hAnsi="Cambria Math" w:eastAsia="宋体" w:cs="Times New Roman"/>
                      <w:caps w:val="0"/>
                      <w:smallCaps w:val="0"/>
                      <w:color w:val="auto"/>
                      <w:spacing w:val="0"/>
                      <w:w w:val="100"/>
                      <w:kern w:val="0"/>
                      <w:position w:val="0"/>
                      <w:sz w:val="24"/>
                      <w:szCs w:val="24"/>
                      <w:u w:val="none" w:color="auto"/>
                    </w:rPr>
                  </m:ctrlPr>
                </m:sub>
              </m:sSub>
              <m:ctrlPr>
                <w:rPr>
                  <w:rFonts w:hint="default" w:ascii="Cambria Math" w:hAnsi="Cambria Math" w:eastAsia="宋体" w:cs="Times New Roman"/>
                  <w:caps w:val="0"/>
                  <w:smallCaps w:val="0"/>
                  <w:color w:val="auto"/>
                  <w:spacing w:val="0"/>
                  <w:w w:val="100"/>
                  <w:kern w:val="0"/>
                  <w:position w:val="0"/>
                  <w:sz w:val="24"/>
                  <w:szCs w:val="24"/>
                  <w:u w:val="none" w:color="auto"/>
                </w:rPr>
              </m:ctrlPr>
            </m:den>
          </m:f>
        </m:oMath>
      </m:oMathPara>
    </w:p>
    <w:p w14:paraId="05DA7BCE">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式中：</w:t>
      </w:r>
    </w:p>
    <w:p w14:paraId="6B737A66">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q1，q2，...，qn——每种危险物质的最大存在总量，t；</w:t>
      </w:r>
    </w:p>
    <w:p w14:paraId="0A98A483">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Q1，Q2，...，Qn——每种危险物质的临界量，t。</w:t>
      </w:r>
    </w:p>
    <w:p w14:paraId="4F098907">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当Q＜1时，该项目环境风险潜势为Ⅰ。</w:t>
      </w:r>
    </w:p>
    <w:p w14:paraId="4E5A5926">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当Q≥1时，将Q值划分为：(1)1≤Q＜10；(2)10≤Q＜100；(3)Q≥100。</w:t>
      </w:r>
    </w:p>
    <w:p w14:paraId="4F790A18">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对照《建设项目环境风险评价导则》（HJ 169-2018）附录B中的风险物质的临界量，确定本项目Q值如</w:t>
      </w:r>
      <w:r>
        <w:rPr>
          <w:rFonts w:hint="eastAsia" w:ascii="Times New Roman" w:hAnsi="Times New Roman" w:eastAsia="宋体" w:cs="Times New Roman"/>
          <w:caps w:val="0"/>
          <w:smallCaps w:val="0"/>
          <w:color w:val="auto"/>
          <w:spacing w:val="0"/>
          <w:w w:val="100"/>
          <w:kern w:val="0"/>
          <w:position w:val="0"/>
          <w:sz w:val="24"/>
          <w:szCs w:val="24"/>
          <w:u w:val="none" w:color="auto"/>
        </w:rPr>
        <w:t>下表</w:t>
      </w:r>
      <w:r>
        <w:rPr>
          <w:rFonts w:hint="default" w:ascii="Times New Roman" w:hAnsi="Times New Roman" w:eastAsia="宋体" w:cs="Times New Roman"/>
          <w:caps w:val="0"/>
          <w:smallCaps w:val="0"/>
          <w:color w:val="auto"/>
          <w:spacing w:val="0"/>
          <w:w w:val="100"/>
          <w:kern w:val="0"/>
          <w:position w:val="0"/>
          <w:sz w:val="24"/>
          <w:szCs w:val="24"/>
          <w:u w:val="none" w:color="auto"/>
        </w:rPr>
        <w:t>所示。</w:t>
      </w:r>
    </w:p>
    <w:p w14:paraId="514B893D">
      <w:pPr>
        <w:pStyle w:val="20"/>
        <w:spacing w:line="240" w:lineRule="auto"/>
        <w:jc w:val="center"/>
        <w:outlineLvl w:val="9"/>
        <w:rPr>
          <w:rFonts w:hint="eastAsia" w:ascii="Times New Roman" w:hAnsi="Times New Roman" w:eastAsia="宋体" w:cs="Times New Roman"/>
          <w:b/>
          <w:bCs/>
          <w:smallCaps w:val="0"/>
          <w:color w:val="auto"/>
          <w:sz w:val="24"/>
          <w:szCs w:val="24"/>
          <w:lang w:val="zh-CN" w:eastAsia="zh-CN"/>
        </w:rPr>
      </w:pPr>
      <w:r>
        <w:rPr>
          <w:rFonts w:hint="eastAsia" w:ascii="Times New Roman" w:hAnsi="Times New Roman" w:eastAsia="宋体" w:cs="Times New Roman"/>
          <w:b/>
          <w:bCs/>
          <w:smallCaps w:val="0"/>
          <w:color w:val="auto"/>
          <w:sz w:val="24"/>
          <w:szCs w:val="24"/>
          <w:lang w:val="en-US" w:eastAsia="zh-CN"/>
        </w:rPr>
        <w:t xml:space="preserve"> </w:t>
      </w:r>
      <w:r>
        <w:rPr>
          <w:rFonts w:hint="eastAsia" w:ascii="Times New Roman" w:hAnsi="Times New Roman" w:eastAsia="宋体" w:cs="Times New Roman"/>
          <w:b/>
          <w:bCs/>
          <w:smallCaps w:val="0"/>
          <w:color w:val="auto"/>
          <w:sz w:val="24"/>
          <w:szCs w:val="24"/>
          <w:lang w:val="zh-CN" w:eastAsia="zh-CN"/>
        </w:rPr>
        <w:t>表</w:t>
      </w:r>
      <w:r>
        <w:rPr>
          <w:rFonts w:hint="eastAsia" w:ascii="Times New Roman" w:hAnsi="Times New Roman" w:eastAsia="宋体" w:cs="Times New Roman"/>
          <w:b/>
          <w:bCs/>
          <w:smallCaps w:val="0"/>
          <w:color w:val="auto"/>
          <w:sz w:val="24"/>
          <w:szCs w:val="24"/>
          <w:lang w:val="en-US" w:eastAsia="zh-CN"/>
        </w:rPr>
        <w:t>4.4</w:t>
      </w:r>
      <w:r>
        <w:rPr>
          <w:rFonts w:hint="eastAsia" w:ascii="Times New Roman" w:hAnsi="Times New Roman" w:eastAsia="宋体" w:cs="Times New Roman"/>
          <w:b/>
          <w:bCs/>
          <w:smallCaps w:val="0"/>
          <w:color w:val="auto"/>
          <w:sz w:val="24"/>
          <w:szCs w:val="24"/>
          <w:lang w:val="zh-CN" w:eastAsia="zh-CN"/>
        </w:rPr>
        <w:t>-</w:t>
      </w:r>
      <w:r>
        <w:rPr>
          <w:rFonts w:hint="eastAsia" w:ascii="Times New Roman" w:hAnsi="Times New Roman" w:eastAsia="宋体" w:cs="Times New Roman"/>
          <w:b/>
          <w:bCs/>
          <w:smallCaps w:val="0"/>
          <w:color w:val="auto"/>
          <w:sz w:val="24"/>
          <w:szCs w:val="24"/>
          <w:lang w:val="en-US" w:eastAsia="zh-CN"/>
        </w:rPr>
        <w:t>1</w:t>
      </w:r>
      <w:r>
        <w:rPr>
          <w:rFonts w:hint="eastAsia" w:ascii="Times New Roman" w:hAnsi="Times New Roman" w:eastAsia="宋体" w:cs="Times New Roman"/>
          <w:b/>
          <w:bCs/>
          <w:smallCaps w:val="0"/>
          <w:color w:val="auto"/>
          <w:sz w:val="24"/>
          <w:szCs w:val="24"/>
          <w:lang w:val="zh-CN" w:eastAsia="zh-CN"/>
        </w:rPr>
        <w:t>项目Q值一览表</w:t>
      </w:r>
    </w:p>
    <w:tbl>
      <w:tblPr>
        <w:tblStyle w:val="3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17"/>
        <w:gridCol w:w="1526"/>
        <w:gridCol w:w="1276"/>
        <w:gridCol w:w="1800"/>
        <w:gridCol w:w="1336"/>
        <w:gridCol w:w="1675"/>
      </w:tblGrid>
      <w:tr w14:paraId="5903D6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0" w:type="pct"/>
            <w:tcBorders>
              <w:tl2br w:val="nil"/>
              <w:tr2bl w:val="nil"/>
            </w:tcBorders>
            <w:noWrap w:val="0"/>
            <w:vAlign w:val="center"/>
          </w:tcPr>
          <w:p w14:paraId="42B5DAEE">
            <w:pPr>
              <w:kinsoku w:val="0"/>
              <w:overflowPunct w:val="0"/>
              <w:autoSpaceDE w:val="0"/>
              <w:autoSpaceDN w:val="0"/>
              <w:adjustRightInd w:val="0"/>
              <w:spacing w:before="48" w:beforeLines="20" w:after="48" w:afterLines="2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序号</w:t>
            </w:r>
          </w:p>
        </w:tc>
        <w:tc>
          <w:tcPr>
            <w:tcW w:w="916" w:type="pct"/>
            <w:tcBorders>
              <w:tl2br w:val="nil"/>
              <w:tr2bl w:val="nil"/>
            </w:tcBorders>
            <w:noWrap w:val="0"/>
            <w:vAlign w:val="center"/>
          </w:tcPr>
          <w:p w14:paraId="098C82E1">
            <w:pPr>
              <w:kinsoku w:val="0"/>
              <w:overflowPunct w:val="0"/>
              <w:autoSpaceDE w:val="0"/>
              <w:autoSpaceDN w:val="0"/>
              <w:adjustRightInd w:val="0"/>
              <w:spacing w:before="48" w:beforeLines="20" w:after="48" w:afterLines="2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危险物质名称</w:t>
            </w:r>
          </w:p>
        </w:tc>
        <w:tc>
          <w:tcPr>
            <w:tcW w:w="766" w:type="pct"/>
            <w:tcBorders>
              <w:tl2br w:val="nil"/>
              <w:tr2bl w:val="nil"/>
            </w:tcBorders>
            <w:noWrap w:val="0"/>
            <w:vAlign w:val="center"/>
          </w:tcPr>
          <w:p w14:paraId="35A8A6A3">
            <w:pPr>
              <w:kinsoku w:val="0"/>
              <w:overflowPunct w:val="0"/>
              <w:autoSpaceDE w:val="0"/>
              <w:autoSpaceDN w:val="0"/>
              <w:adjustRightInd w:val="0"/>
              <w:spacing w:before="48" w:beforeLines="20" w:after="48" w:afterLines="2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CAS号</w:t>
            </w:r>
          </w:p>
        </w:tc>
        <w:tc>
          <w:tcPr>
            <w:tcW w:w="1080" w:type="pct"/>
            <w:tcBorders>
              <w:tl2br w:val="nil"/>
              <w:tr2bl w:val="nil"/>
            </w:tcBorders>
            <w:noWrap w:val="0"/>
            <w:vAlign w:val="center"/>
          </w:tcPr>
          <w:p w14:paraId="73A130A8">
            <w:pPr>
              <w:kinsoku w:val="0"/>
              <w:overflowPunct w:val="0"/>
              <w:autoSpaceDE w:val="0"/>
              <w:autoSpaceDN w:val="0"/>
              <w:adjustRightInd w:val="0"/>
              <w:spacing w:before="48" w:beforeLines="20" w:after="48" w:afterLines="2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最大存在总量</w:t>
            </w:r>
            <w:r>
              <w:rPr>
                <w:rFonts w:hint="default" w:ascii="Times New Roman" w:hAnsi="Times New Roman" w:eastAsia="宋体" w:cs="Times New Roman"/>
                <w:i/>
                <w:iCs/>
                <w:color w:val="auto"/>
                <w:sz w:val="21"/>
                <w:szCs w:val="21"/>
                <w:u w:val="none"/>
              </w:rPr>
              <w:t>q</w:t>
            </w:r>
            <w:r>
              <w:rPr>
                <w:rFonts w:hint="default" w:ascii="Times New Roman" w:hAnsi="Times New Roman" w:eastAsia="宋体" w:cs="Times New Roman"/>
                <w:i/>
                <w:iCs/>
                <w:color w:val="auto"/>
                <w:position w:val="-3"/>
                <w:sz w:val="21"/>
                <w:szCs w:val="21"/>
                <w:u w:val="none"/>
              </w:rPr>
              <w:t>n</w:t>
            </w:r>
            <w:r>
              <w:rPr>
                <w:rFonts w:hint="default" w:ascii="Times New Roman" w:hAnsi="Times New Roman" w:eastAsia="宋体" w:cs="Times New Roman"/>
                <w:color w:val="auto"/>
                <w:sz w:val="21"/>
                <w:szCs w:val="21"/>
                <w:u w:val="none"/>
              </w:rPr>
              <w:t>/t</w:t>
            </w:r>
          </w:p>
        </w:tc>
        <w:tc>
          <w:tcPr>
            <w:tcW w:w="801" w:type="pct"/>
            <w:tcBorders>
              <w:tl2br w:val="nil"/>
              <w:tr2bl w:val="nil"/>
            </w:tcBorders>
            <w:noWrap w:val="0"/>
            <w:vAlign w:val="center"/>
          </w:tcPr>
          <w:p w14:paraId="506A0780">
            <w:pPr>
              <w:kinsoku w:val="0"/>
              <w:overflowPunct w:val="0"/>
              <w:autoSpaceDE w:val="0"/>
              <w:autoSpaceDN w:val="0"/>
              <w:adjustRightInd w:val="0"/>
              <w:spacing w:before="48" w:beforeLines="20" w:after="48" w:afterLines="2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临界量</w:t>
            </w:r>
            <w:r>
              <w:rPr>
                <w:rFonts w:hint="default" w:ascii="Times New Roman" w:hAnsi="Times New Roman" w:eastAsia="宋体" w:cs="Times New Roman"/>
                <w:i/>
                <w:iCs/>
                <w:color w:val="auto"/>
                <w:sz w:val="21"/>
                <w:szCs w:val="21"/>
                <w:u w:val="none"/>
              </w:rPr>
              <w:t>Q</w:t>
            </w:r>
            <w:r>
              <w:rPr>
                <w:rFonts w:hint="default" w:ascii="Times New Roman" w:hAnsi="Times New Roman" w:eastAsia="宋体" w:cs="Times New Roman"/>
                <w:i/>
                <w:iCs/>
                <w:color w:val="auto"/>
                <w:position w:val="-3"/>
                <w:sz w:val="21"/>
                <w:szCs w:val="21"/>
                <w:u w:val="none"/>
              </w:rPr>
              <w:t>n</w:t>
            </w:r>
            <w:r>
              <w:rPr>
                <w:rFonts w:hint="default" w:ascii="Times New Roman" w:hAnsi="Times New Roman" w:eastAsia="宋体" w:cs="Times New Roman"/>
                <w:i/>
                <w:iCs/>
                <w:color w:val="auto"/>
                <w:sz w:val="21"/>
                <w:szCs w:val="21"/>
                <w:u w:val="none"/>
              </w:rPr>
              <w:t>/</w:t>
            </w:r>
            <w:r>
              <w:rPr>
                <w:rFonts w:hint="default" w:ascii="Times New Roman" w:hAnsi="Times New Roman" w:eastAsia="宋体" w:cs="Times New Roman"/>
                <w:color w:val="auto"/>
                <w:sz w:val="21"/>
                <w:szCs w:val="21"/>
                <w:u w:val="none"/>
              </w:rPr>
              <w:t>t</w:t>
            </w:r>
          </w:p>
        </w:tc>
        <w:tc>
          <w:tcPr>
            <w:tcW w:w="1005" w:type="pct"/>
            <w:tcBorders>
              <w:tl2br w:val="nil"/>
              <w:tr2bl w:val="nil"/>
            </w:tcBorders>
            <w:noWrap w:val="0"/>
            <w:vAlign w:val="center"/>
          </w:tcPr>
          <w:p w14:paraId="0EC7BD23">
            <w:pPr>
              <w:kinsoku w:val="0"/>
              <w:overflowPunct w:val="0"/>
              <w:autoSpaceDE w:val="0"/>
              <w:autoSpaceDN w:val="0"/>
              <w:adjustRightInd w:val="0"/>
              <w:spacing w:before="48" w:beforeLines="20" w:after="48" w:afterLines="2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该种危险物质</w:t>
            </w:r>
            <w:r>
              <w:rPr>
                <w:rFonts w:hint="default" w:ascii="Times New Roman" w:hAnsi="Times New Roman" w:eastAsia="宋体" w:cs="Times New Roman"/>
                <w:i/>
                <w:iCs/>
                <w:color w:val="auto"/>
                <w:sz w:val="21"/>
                <w:szCs w:val="21"/>
                <w:u w:val="none"/>
              </w:rPr>
              <w:t>Q</w:t>
            </w:r>
            <w:r>
              <w:rPr>
                <w:rFonts w:hint="default" w:ascii="Times New Roman" w:hAnsi="Times New Roman" w:eastAsia="宋体" w:cs="Times New Roman"/>
                <w:color w:val="auto"/>
                <w:sz w:val="21"/>
                <w:szCs w:val="21"/>
                <w:u w:val="none"/>
              </w:rPr>
              <w:t>值</w:t>
            </w:r>
          </w:p>
        </w:tc>
      </w:tr>
      <w:tr w14:paraId="4D9C7B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0" w:type="pct"/>
            <w:tcBorders>
              <w:tl2br w:val="nil"/>
              <w:tr2bl w:val="nil"/>
            </w:tcBorders>
            <w:noWrap w:val="0"/>
            <w:vAlign w:val="center"/>
          </w:tcPr>
          <w:p w14:paraId="4F152FB6">
            <w:pPr>
              <w:kinsoku w:val="0"/>
              <w:overflowPunct w:val="0"/>
              <w:autoSpaceDE w:val="0"/>
              <w:autoSpaceDN w:val="0"/>
              <w:adjustRightInd w:val="0"/>
              <w:spacing w:before="48" w:beforeLines="20" w:after="48" w:afterLines="20"/>
              <w:jc w:val="center"/>
              <w:rPr>
                <w:rFonts w:hint="default" w:ascii="Times New Roman" w:hAnsi="Times New Roman" w:eastAsia="宋体" w:cs="Times New Roman"/>
                <w:color w:val="auto"/>
                <w:sz w:val="21"/>
                <w:szCs w:val="21"/>
                <w:u w:val="none"/>
                <w:lang w:eastAsia="zh-CN"/>
              </w:rPr>
            </w:pPr>
            <w:r>
              <w:rPr>
                <w:rFonts w:hint="default" w:ascii="Times New Roman" w:hAnsi="Times New Roman" w:eastAsia="宋体" w:cs="Times New Roman"/>
                <w:color w:val="auto"/>
                <w:sz w:val="21"/>
                <w:szCs w:val="21"/>
                <w:u w:val="none"/>
                <w:lang w:val="en-US" w:eastAsia="zh-CN"/>
              </w:rPr>
              <w:t>1</w:t>
            </w:r>
          </w:p>
        </w:tc>
        <w:tc>
          <w:tcPr>
            <w:tcW w:w="916" w:type="pct"/>
            <w:tcBorders>
              <w:tl2br w:val="nil"/>
              <w:tr2bl w:val="nil"/>
            </w:tcBorders>
            <w:noWrap w:val="0"/>
            <w:vAlign w:val="center"/>
          </w:tcPr>
          <w:p w14:paraId="447EBF80">
            <w:pPr>
              <w:widowControl w:val="0"/>
              <w:adjustRightInd w:val="0"/>
              <w:snapToGrid w:val="0"/>
              <w:spacing w:before="48" w:beforeLines="20" w:after="48" w:afterLines="20"/>
              <w:jc w:val="center"/>
              <w:rPr>
                <w:rFonts w:hint="default" w:ascii="Times New Roman" w:hAnsi="Times New Roman" w:eastAsia="宋体" w:cs="Times New Roman"/>
                <w:color w:val="auto"/>
                <w:kern w:val="2"/>
                <w:sz w:val="21"/>
                <w:szCs w:val="21"/>
                <w:u w:val="none"/>
              </w:rPr>
            </w:pPr>
            <w:r>
              <w:rPr>
                <w:rFonts w:hint="default" w:ascii="Times New Roman" w:hAnsi="Times New Roman" w:eastAsia="宋体" w:cs="Times New Roman"/>
                <w:color w:val="auto"/>
                <w:kern w:val="2"/>
                <w:sz w:val="21"/>
                <w:szCs w:val="21"/>
                <w:u w:val="none"/>
              </w:rPr>
              <w:t>柴油</w:t>
            </w:r>
          </w:p>
        </w:tc>
        <w:tc>
          <w:tcPr>
            <w:tcW w:w="766" w:type="pct"/>
            <w:tcBorders>
              <w:tl2br w:val="nil"/>
              <w:tr2bl w:val="nil"/>
            </w:tcBorders>
            <w:noWrap w:val="0"/>
            <w:vAlign w:val="center"/>
          </w:tcPr>
          <w:p w14:paraId="6CE29564">
            <w:pPr>
              <w:autoSpaceDE w:val="0"/>
              <w:autoSpaceDN w:val="0"/>
              <w:adjustRightInd w:val="0"/>
              <w:spacing w:before="48" w:beforeLines="20" w:after="48" w:afterLines="2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w:t>
            </w:r>
          </w:p>
        </w:tc>
        <w:tc>
          <w:tcPr>
            <w:tcW w:w="1080" w:type="pct"/>
            <w:tcBorders>
              <w:tl2br w:val="nil"/>
              <w:tr2bl w:val="nil"/>
            </w:tcBorders>
            <w:noWrap w:val="0"/>
            <w:vAlign w:val="center"/>
          </w:tcPr>
          <w:p w14:paraId="3492B4F5">
            <w:pPr>
              <w:autoSpaceDE w:val="0"/>
              <w:autoSpaceDN w:val="0"/>
              <w:adjustRightInd w:val="0"/>
              <w:spacing w:before="48" w:beforeLines="20" w:after="48" w:afterLines="2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val="en-US" w:eastAsia="zh-CN"/>
              </w:rPr>
              <w:t>1.68</w:t>
            </w:r>
          </w:p>
        </w:tc>
        <w:tc>
          <w:tcPr>
            <w:tcW w:w="801" w:type="pct"/>
            <w:tcBorders>
              <w:tl2br w:val="nil"/>
              <w:tr2bl w:val="nil"/>
            </w:tcBorders>
            <w:noWrap w:val="0"/>
            <w:vAlign w:val="center"/>
          </w:tcPr>
          <w:p w14:paraId="0C437E73">
            <w:pPr>
              <w:autoSpaceDE w:val="0"/>
              <w:autoSpaceDN w:val="0"/>
              <w:adjustRightInd w:val="0"/>
              <w:spacing w:before="48" w:beforeLines="20" w:after="48" w:afterLines="2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2500</w:t>
            </w:r>
          </w:p>
        </w:tc>
        <w:tc>
          <w:tcPr>
            <w:tcW w:w="1005" w:type="pct"/>
            <w:tcBorders>
              <w:tl2br w:val="nil"/>
              <w:tr2bl w:val="nil"/>
            </w:tcBorders>
            <w:noWrap w:val="0"/>
            <w:vAlign w:val="center"/>
          </w:tcPr>
          <w:p w14:paraId="355E0334">
            <w:pPr>
              <w:autoSpaceDE w:val="0"/>
              <w:autoSpaceDN w:val="0"/>
              <w:adjustRightInd w:val="0"/>
              <w:spacing w:before="48" w:beforeLines="20" w:after="48" w:afterLines="20"/>
              <w:jc w:val="center"/>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rPr>
              <w:t>0.000</w:t>
            </w:r>
            <w:r>
              <w:rPr>
                <w:rFonts w:hint="default" w:ascii="Times New Roman" w:hAnsi="Times New Roman" w:eastAsia="宋体" w:cs="Times New Roman"/>
                <w:color w:val="auto"/>
                <w:sz w:val="21"/>
                <w:szCs w:val="21"/>
                <w:u w:val="none"/>
                <w:lang w:val="en-US" w:eastAsia="zh-CN"/>
              </w:rPr>
              <w:t>672</w:t>
            </w:r>
          </w:p>
        </w:tc>
      </w:tr>
      <w:tr w14:paraId="4BF213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0" w:type="pct"/>
            <w:tcBorders>
              <w:tl2br w:val="nil"/>
              <w:tr2bl w:val="nil"/>
            </w:tcBorders>
            <w:noWrap w:val="0"/>
            <w:vAlign w:val="center"/>
          </w:tcPr>
          <w:p w14:paraId="02AC83F2">
            <w:pPr>
              <w:kinsoku w:val="0"/>
              <w:overflowPunct w:val="0"/>
              <w:autoSpaceDE w:val="0"/>
              <w:autoSpaceDN w:val="0"/>
              <w:adjustRightInd w:val="0"/>
              <w:spacing w:before="48" w:beforeLines="20" w:after="48" w:afterLines="2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2</w:t>
            </w:r>
          </w:p>
        </w:tc>
        <w:tc>
          <w:tcPr>
            <w:tcW w:w="916" w:type="pct"/>
            <w:tcBorders>
              <w:tl2br w:val="nil"/>
              <w:tr2bl w:val="nil"/>
            </w:tcBorders>
            <w:noWrap w:val="0"/>
            <w:vAlign w:val="center"/>
          </w:tcPr>
          <w:p w14:paraId="5D67936B">
            <w:pPr>
              <w:widowControl w:val="0"/>
              <w:adjustRightInd w:val="0"/>
              <w:snapToGrid w:val="0"/>
              <w:spacing w:before="48" w:beforeLines="20" w:after="48" w:afterLines="20"/>
              <w:jc w:val="center"/>
              <w:rPr>
                <w:rFonts w:hint="eastAsia" w:ascii="Times New Roman" w:hAnsi="Times New Roman" w:eastAsia="宋体" w:cs="Times New Roman"/>
                <w:color w:val="auto"/>
                <w:kern w:val="2"/>
                <w:sz w:val="21"/>
                <w:szCs w:val="21"/>
                <w:u w:val="none"/>
                <w:lang w:eastAsia="zh-CN"/>
              </w:rPr>
            </w:pPr>
            <w:r>
              <w:rPr>
                <w:rFonts w:hint="eastAsia" w:ascii="Times New Roman" w:hAnsi="Times New Roman" w:eastAsia="宋体" w:cs="Times New Roman"/>
                <w:color w:val="auto"/>
                <w:kern w:val="2"/>
                <w:sz w:val="21"/>
                <w:szCs w:val="21"/>
                <w:u w:val="none"/>
                <w:lang w:eastAsia="zh-CN"/>
              </w:rPr>
              <w:t>废油</w:t>
            </w:r>
          </w:p>
        </w:tc>
        <w:tc>
          <w:tcPr>
            <w:tcW w:w="766" w:type="pct"/>
            <w:tcBorders>
              <w:tl2br w:val="nil"/>
              <w:tr2bl w:val="nil"/>
            </w:tcBorders>
            <w:noWrap w:val="0"/>
            <w:vAlign w:val="center"/>
          </w:tcPr>
          <w:p w14:paraId="2FFE1D5D">
            <w:pPr>
              <w:autoSpaceDE w:val="0"/>
              <w:autoSpaceDN w:val="0"/>
              <w:adjustRightInd w:val="0"/>
              <w:spacing w:before="48" w:beforeLines="20" w:after="48" w:afterLines="20"/>
              <w:jc w:val="center"/>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w:t>
            </w:r>
          </w:p>
        </w:tc>
        <w:tc>
          <w:tcPr>
            <w:tcW w:w="1080" w:type="pct"/>
            <w:tcBorders>
              <w:tl2br w:val="nil"/>
              <w:tr2bl w:val="nil"/>
            </w:tcBorders>
            <w:noWrap w:val="0"/>
            <w:vAlign w:val="center"/>
          </w:tcPr>
          <w:p w14:paraId="1C86F43B">
            <w:pPr>
              <w:autoSpaceDE w:val="0"/>
              <w:autoSpaceDN w:val="0"/>
              <w:adjustRightInd w:val="0"/>
              <w:spacing w:before="48" w:beforeLines="20" w:after="48" w:afterLines="2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0.5</w:t>
            </w:r>
          </w:p>
        </w:tc>
        <w:tc>
          <w:tcPr>
            <w:tcW w:w="801" w:type="pct"/>
            <w:tcBorders>
              <w:tl2br w:val="nil"/>
              <w:tr2bl w:val="nil"/>
            </w:tcBorders>
            <w:noWrap w:val="0"/>
            <w:vAlign w:val="center"/>
          </w:tcPr>
          <w:p w14:paraId="59DA429C">
            <w:pPr>
              <w:autoSpaceDE w:val="0"/>
              <w:autoSpaceDN w:val="0"/>
              <w:adjustRightInd w:val="0"/>
              <w:spacing w:before="48" w:beforeLines="20" w:after="48" w:afterLines="2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50</w:t>
            </w:r>
          </w:p>
        </w:tc>
        <w:tc>
          <w:tcPr>
            <w:tcW w:w="1005" w:type="pct"/>
            <w:tcBorders>
              <w:tl2br w:val="nil"/>
              <w:tr2bl w:val="nil"/>
            </w:tcBorders>
            <w:noWrap w:val="0"/>
            <w:vAlign w:val="center"/>
          </w:tcPr>
          <w:p w14:paraId="333A21E4">
            <w:pPr>
              <w:autoSpaceDE w:val="0"/>
              <w:autoSpaceDN w:val="0"/>
              <w:adjustRightInd w:val="0"/>
              <w:spacing w:before="48" w:beforeLines="20" w:after="48" w:afterLines="20"/>
              <w:jc w:val="center"/>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0.01</w:t>
            </w:r>
          </w:p>
        </w:tc>
      </w:tr>
      <w:tr w14:paraId="1FB671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94" w:type="pct"/>
            <w:gridSpan w:val="5"/>
            <w:tcBorders>
              <w:tl2br w:val="nil"/>
              <w:tr2bl w:val="nil"/>
            </w:tcBorders>
            <w:noWrap w:val="0"/>
            <w:vAlign w:val="center"/>
          </w:tcPr>
          <w:p w14:paraId="49BA5AF8">
            <w:pPr>
              <w:autoSpaceDE w:val="0"/>
              <w:autoSpaceDN w:val="0"/>
              <w:adjustRightInd w:val="0"/>
              <w:jc w:val="center"/>
              <w:rPr>
                <w:rFonts w:hint="default" w:ascii="Times New Roman" w:hAnsi="Times New Roman" w:eastAsia="宋体" w:cs="Times New Roman"/>
                <w:color w:val="auto"/>
                <w:sz w:val="21"/>
                <w:szCs w:val="21"/>
                <w:u w:val="none"/>
              </w:rPr>
            </w:pPr>
            <w:r>
              <w:rPr>
                <w:rFonts w:hint="default" w:ascii="Times New Roman" w:hAnsi="Times New Roman" w:eastAsia="宋体" w:cs="Times New Roman"/>
                <w:color w:val="auto"/>
                <w:sz w:val="21"/>
                <w:szCs w:val="21"/>
                <w:u w:val="none"/>
              </w:rPr>
              <w:t>合计</w:t>
            </w:r>
          </w:p>
        </w:tc>
        <w:tc>
          <w:tcPr>
            <w:tcW w:w="1005" w:type="pct"/>
            <w:tcBorders>
              <w:tl2br w:val="nil"/>
              <w:tr2bl w:val="nil"/>
            </w:tcBorders>
            <w:noWrap w:val="0"/>
            <w:vAlign w:val="center"/>
          </w:tcPr>
          <w:p w14:paraId="49432B78">
            <w:pPr>
              <w:widowControl w:val="0"/>
              <w:adjustRightInd w:val="0"/>
              <w:snapToGrid w:val="0"/>
              <w:jc w:val="center"/>
              <w:rPr>
                <w:rFonts w:hint="eastAsia" w:ascii="Times New Roman" w:hAnsi="Times New Roman" w:eastAsia="宋体" w:cs="Times New Roman"/>
                <w:color w:val="auto"/>
                <w:kern w:val="2"/>
                <w:sz w:val="21"/>
                <w:szCs w:val="21"/>
                <w:u w:val="none"/>
                <w:lang w:val="en-US" w:eastAsia="zh-CN"/>
              </w:rPr>
            </w:pPr>
            <w:r>
              <w:rPr>
                <w:rFonts w:hint="eastAsia" w:ascii="Times New Roman" w:hAnsi="Times New Roman" w:eastAsia="宋体" w:cs="Times New Roman"/>
                <w:color w:val="auto"/>
                <w:sz w:val="21"/>
                <w:szCs w:val="21"/>
                <w:u w:val="none"/>
                <w:lang w:eastAsia="zh-CN"/>
              </w:rPr>
              <w:t>0.010672</w:t>
            </w:r>
          </w:p>
        </w:tc>
      </w:tr>
    </w:tbl>
    <w:p w14:paraId="39D04882">
      <w:pPr>
        <w:keepNext w:val="0"/>
        <w:keepLines w:val="0"/>
        <w:pageBreakBefore w:val="0"/>
        <w:widowControl w:val="0"/>
        <w:kinsoku/>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因此，</w:t>
      </w:r>
      <w:r>
        <w:rPr>
          <w:rFonts w:hint="default" w:ascii="Times New Roman" w:hAnsi="Times New Roman" w:eastAsia="宋体" w:cs="Times New Roman"/>
          <w:caps w:val="0"/>
          <w:smallCaps w:val="0"/>
          <w:color w:val="auto"/>
          <w:spacing w:val="0"/>
          <w:w w:val="100"/>
          <w:kern w:val="0"/>
          <w:position w:val="0"/>
          <w:sz w:val="24"/>
          <w:szCs w:val="24"/>
          <w:u w:val="none" w:color="auto"/>
        </w:rPr>
        <w:t>本项目涉及的环境风险物质数量与临界量的比值Q=</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0.010672</w:t>
      </w:r>
      <w:r>
        <w:rPr>
          <w:rFonts w:hint="default" w:ascii="Times New Roman" w:hAnsi="Times New Roman" w:eastAsia="宋体" w:cs="Times New Roman"/>
          <w:caps w:val="0"/>
          <w:smallCaps w:val="0"/>
          <w:color w:val="auto"/>
          <w:spacing w:val="0"/>
          <w:w w:val="100"/>
          <w:kern w:val="0"/>
          <w:position w:val="0"/>
          <w:sz w:val="24"/>
          <w:szCs w:val="24"/>
          <w:u w:val="none" w:color="auto"/>
        </w:rPr>
        <w:t>&lt;1，项目环境风险潜势为</w:t>
      </w:r>
      <w:r>
        <w:rPr>
          <w:rFonts w:hint="eastAsia" w:ascii="Times New Roman" w:hAnsi="Times New Roman" w:eastAsia="宋体" w:cs="Times New Roman"/>
          <w:caps w:val="0"/>
          <w:smallCaps w:val="0"/>
          <w:color w:val="auto"/>
          <w:spacing w:val="0"/>
          <w:w w:val="100"/>
          <w:kern w:val="0"/>
          <w:position w:val="0"/>
          <w:sz w:val="24"/>
          <w:szCs w:val="24"/>
          <w:u w:val="none" w:color="auto"/>
        </w:rPr>
        <w:t>Ⅰ</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60DC20F8">
      <w:pPr>
        <w:pStyle w:val="4"/>
        <w:bidi w:val="0"/>
        <w:rPr>
          <w:rFonts w:hint="default" w:ascii="Times New Roman" w:hAnsi="Times New Roman" w:cs="Times New Roman"/>
          <w:color w:val="auto"/>
        </w:rPr>
      </w:pPr>
      <w:bookmarkStart w:id="322" w:name="_Toc28397"/>
      <w:r>
        <w:rPr>
          <w:rFonts w:hint="eastAsia" w:ascii="Times New Roman" w:hAnsi="Times New Roman" w:cs="Times New Roman"/>
          <w:color w:val="auto"/>
          <w:lang w:eastAsia="zh-CN"/>
        </w:rPr>
        <w:t>评价等级</w:t>
      </w:r>
      <w:bookmarkEnd w:id="322"/>
    </w:p>
    <w:p w14:paraId="7F4BEF26">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rPr>
        <w:t>根据确定的项目环境风险潜势，按照</w:t>
      </w:r>
      <w:r>
        <w:rPr>
          <w:rFonts w:hint="default" w:ascii="Times New Roman" w:hAnsi="Times New Roman" w:eastAsia="宋体" w:cs="Times New Roman"/>
          <w:caps w:val="0"/>
          <w:smallCaps w:val="0"/>
          <w:color w:val="auto"/>
          <w:spacing w:val="0"/>
          <w:w w:val="100"/>
          <w:kern w:val="0"/>
          <w:position w:val="0"/>
          <w:sz w:val="24"/>
          <w:szCs w:val="24"/>
          <w:u w:val="none" w:color="auto"/>
        </w:rPr>
        <w:t>《建设项目环境风险评价导则》(HJ 169-2018)</w:t>
      </w:r>
      <w:r>
        <w:rPr>
          <w:rFonts w:hint="eastAsia" w:ascii="Times New Roman" w:hAnsi="Times New Roman" w:eastAsia="宋体" w:cs="Times New Roman"/>
          <w:caps w:val="0"/>
          <w:smallCaps w:val="0"/>
          <w:color w:val="auto"/>
          <w:spacing w:val="0"/>
          <w:w w:val="100"/>
          <w:kern w:val="0"/>
          <w:position w:val="0"/>
          <w:sz w:val="24"/>
          <w:szCs w:val="24"/>
          <w:u w:val="none" w:color="auto"/>
        </w:rPr>
        <w:t>中“4.3评价工作等级划分”，确定本项目环境风险评价工作等级为</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简单分析</w:t>
      </w:r>
      <w:r>
        <w:rPr>
          <w:rFonts w:hint="eastAsia" w:ascii="Times New Roman" w:hAnsi="Times New Roman" w:eastAsia="宋体" w:cs="Times New Roman"/>
          <w:caps w:val="0"/>
          <w:smallCaps w:val="0"/>
          <w:color w:val="auto"/>
          <w:spacing w:val="0"/>
          <w:w w:val="100"/>
          <w:kern w:val="0"/>
          <w:position w:val="0"/>
          <w:sz w:val="24"/>
          <w:szCs w:val="24"/>
          <w:u w:val="none" w:color="auto"/>
        </w:rPr>
        <w:t>。</w:t>
      </w:r>
    </w:p>
    <w:p w14:paraId="5685AA97">
      <w:pPr>
        <w:pStyle w:val="4"/>
        <w:bidi w:val="0"/>
        <w:rPr>
          <w:rFonts w:hint="default" w:ascii="Times New Roman" w:hAnsi="Times New Roman" w:cs="Times New Roman"/>
          <w:color w:val="auto"/>
        </w:rPr>
      </w:pPr>
      <w:bookmarkStart w:id="323" w:name="_Toc21802"/>
      <w:r>
        <w:rPr>
          <w:rFonts w:hint="default" w:ascii="Times New Roman" w:hAnsi="Times New Roman" w:cs="Times New Roman"/>
          <w:color w:val="auto"/>
        </w:rPr>
        <w:t>环境风险识别</w:t>
      </w:r>
      <w:bookmarkEnd w:id="323"/>
    </w:p>
    <w:p w14:paraId="4827B760">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根据《建设项目环境风险评价技术导则》（</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HJ169-2018</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），环境风险识别内容主要为物质危险性识别、生产系统危险性识别和危险物质向环境转移的途径识别。 </w:t>
      </w:r>
    </w:p>
    <w:p w14:paraId="11A68C5B">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1、物质危险性识别 </w:t>
      </w:r>
    </w:p>
    <w:p w14:paraId="420E6CD4">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物质危险性识别包括主要原辅材料、燃料、中间产品、副产品、最终产品、污染物、火灾和爆炸伴生</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次生物等。 </w:t>
      </w:r>
    </w:p>
    <w:p w14:paraId="55CF955B">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本项目使用柴油作为施工机械、车辆的燃料，不设油库；本项目污染物主要为机械车辆维修冲洗含油废水经油水分离池处理后产生的废机油，主要环境风险为油料泄漏及其引发的火灾、爆炸事故。 </w:t>
      </w:r>
    </w:p>
    <w:p w14:paraId="499F6BFE">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2、生产系统危险性识别 </w:t>
      </w:r>
    </w:p>
    <w:p w14:paraId="33B7BBC1">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生产系统危险性识别包括主要生产装置、储运装置、公用工程和辅助生产设施，以及环境保护设施等。 </w:t>
      </w:r>
    </w:p>
    <w:p w14:paraId="4AC2F6D9">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本项目环保设施的潜在风险主要为污水处理设施未按正常情况运用，导致废水超标排放，进而对地下水、地表水、土壤造成一定影响。 </w:t>
      </w:r>
    </w:p>
    <w:p w14:paraId="5E34493A">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3</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、危险物质向环境转移的途径识别 </w:t>
      </w:r>
    </w:p>
    <w:p w14:paraId="21816894">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危险物质向环境转移的途径识别包括分析危险物质特性及可能的环境风险类型，识别危险物质影响环境的途径，分析可能影响的环境敏感目标。 </w:t>
      </w:r>
    </w:p>
    <w:p w14:paraId="0BEFEC2E">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本项目存在的主要环境风险物质为柴油和废机油，在车辆运输过程中，有可能遇到或发生交通事故，造成油料泄漏甚至造成火灾、爆炸事故，从而污染周围生态环境和环境质量。</w:t>
      </w:r>
    </w:p>
    <w:p w14:paraId="1CC202C9">
      <w:pPr>
        <w:pStyle w:val="4"/>
        <w:bidi w:val="0"/>
        <w:rPr>
          <w:rFonts w:hint="default" w:ascii="Times New Roman" w:hAnsi="Times New Roman" w:cs="Times New Roman"/>
          <w:color w:val="auto"/>
        </w:rPr>
      </w:pPr>
      <w:bookmarkStart w:id="324" w:name="_Toc13700"/>
      <w:r>
        <w:rPr>
          <w:rFonts w:hint="default" w:ascii="Times New Roman" w:hAnsi="Times New Roman" w:cs="Times New Roman"/>
          <w:color w:val="auto"/>
        </w:rPr>
        <w:t>环境风险分析</w:t>
      </w:r>
      <w:bookmarkEnd w:id="324"/>
    </w:p>
    <w:p w14:paraId="32F22D8C">
      <w:pPr>
        <w:pStyle w:val="5"/>
        <w:bidi w:val="0"/>
        <w:rPr>
          <w:rFonts w:hint="default" w:ascii="Times New Roman" w:hAnsi="Times New Roman" w:cs="Times New Roman"/>
          <w:color w:val="auto"/>
        </w:rPr>
      </w:pPr>
      <w:r>
        <w:rPr>
          <w:rFonts w:hint="default" w:ascii="Times New Roman" w:hAnsi="Times New Roman" w:cs="Times New Roman"/>
          <w:color w:val="auto"/>
        </w:rPr>
        <w:t>施工期风险分析</w:t>
      </w:r>
    </w:p>
    <w:p w14:paraId="4B7BF797">
      <w:pPr>
        <w:keepNext w:val="0"/>
        <w:keepLines w:val="0"/>
        <w:pageBreakBefore w:val="0"/>
        <w:widowControl w:val="0"/>
        <w:overflowPunct/>
        <w:autoSpaceDE/>
        <w:autoSpaceDN/>
        <w:bidi w:val="0"/>
        <w:snapToGrid/>
        <w:spacing w:line="360" w:lineRule="auto"/>
        <w:ind w:left="0" w:right="0" w:firstLine="481"/>
        <w:textAlignment w:val="auto"/>
        <w:rPr>
          <w:rFonts w:hint="eastAsia" w:ascii="Times New Roman" w:hAnsi="Times New Roman" w:eastAsia="宋体" w:cs="Times New Roman"/>
          <w:b/>
          <w:bCs/>
          <w:color w:val="auto"/>
          <w:spacing w:val="0"/>
          <w:w w:val="100"/>
          <w:position w:val="0"/>
          <w:sz w:val="24"/>
          <w:szCs w:val="24"/>
          <w:u w:val="none" w:color="auto"/>
          <w:lang w:val="en-US" w:eastAsia="zh-CN"/>
        </w:rPr>
      </w:pPr>
      <w:r>
        <w:rPr>
          <w:rFonts w:hint="eastAsia" w:ascii="Times New Roman" w:hAnsi="Times New Roman" w:eastAsia="宋体" w:cs="Times New Roman"/>
          <w:b/>
          <w:bCs/>
          <w:color w:val="auto"/>
          <w:spacing w:val="0"/>
          <w:w w:val="100"/>
          <w:position w:val="0"/>
          <w:sz w:val="24"/>
          <w:szCs w:val="24"/>
          <w:u w:val="none" w:color="auto"/>
          <w:lang w:val="en-US" w:eastAsia="zh-CN"/>
        </w:rPr>
        <w:t>1、溢油污染事故</w:t>
      </w:r>
    </w:p>
    <w:p w14:paraId="2EEB40DE">
      <w:pPr>
        <w:keepNext w:val="0"/>
        <w:keepLines w:val="0"/>
        <w:pageBreakBefore w:val="0"/>
        <w:widowControl w:val="0"/>
        <w:overflowPunct/>
        <w:autoSpaceDE/>
        <w:autoSpaceDN/>
        <w:bidi w:val="0"/>
        <w:snapToGrid/>
        <w:spacing w:line="360" w:lineRule="auto"/>
        <w:ind w:left="0" w:right="0" w:firstLine="481"/>
        <w:textAlignment w:val="auto"/>
        <w:rPr>
          <w:rFonts w:hint="eastAsia" w:ascii="Times New Roman" w:hAnsi="Times New Roman" w:eastAsia="宋体" w:cs="Times New Roman"/>
          <w:color w:val="auto"/>
          <w:spacing w:val="0"/>
          <w:w w:val="100"/>
          <w:position w:val="0"/>
          <w:sz w:val="24"/>
          <w:szCs w:val="24"/>
          <w:u w:val="none" w:color="auto"/>
          <w:lang w:eastAsia="zh-CN"/>
        </w:rPr>
      </w:pPr>
      <w:r>
        <w:rPr>
          <w:rFonts w:hint="eastAsia" w:ascii="Times New Roman" w:hAnsi="Times New Roman" w:eastAsia="宋体" w:cs="Times New Roman"/>
          <w:color w:val="auto"/>
          <w:spacing w:val="0"/>
          <w:w w:val="100"/>
          <w:position w:val="0"/>
          <w:sz w:val="24"/>
          <w:szCs w:val="24"/>
          <w:u w:val="none" w:color="auto"/>
          <w:lang w:eastAsia="zh-CN"/>
        </w:rPr>
        <w:t>（</w:t>
      </w:r>
      <w:r>
        <w:rPr>
          <w:rFonts w:hint="eastAsia" w:ascii="Times New Roman" w:hAnsi="Times New Roman" w:eastAsia="宋体" w:cs="Times New Roman"/>
          <w:color w:val="auto"/>
          <w:spacing w:val="0"/>
          <w:w w:val="100"/>
          <w:position w:val="0"/>
          <w:sz w:val="24"/>
          <w:szCs w:val="24"/>
          <w:u w:val="none" w:color="auto"/>
          <w:lang w:val="en-US" w:eastAsia="zh-CN"/>
        </w:rPr>
        <w:t>1</w:t>
      </w:r>
      <w:r>
        <w:rPr>
          <w:rFonts w:hint="eastAsia" w:ascii="Times New Roman" w:hAnsi="Times New Roman" w:eastAsia="宋体" w:cs="Times New Roman"/>
          <w:color w:val="auto"/>
          <w:spacing w:val="0"/>
          <w:w w:val="100"/>
          <w:position w:val="0"/>
          <w:sz w:val="24"/>
          <w:szCs w:val="24"/>
          <w:u w:val="none" w:color="auto"/>
          <w:lang w:eastAsia="zh-CN"/>
        </w:rPr>
        <w:t>）泄漏风险分析</w:t>
      </w:r>
    </w:p>
    <w:p w14:paraId="19BD9E58">
      <w:pPr>
        <w:keepNext w:val="0"/>
        <w:keepLines w:val="0"/>
        <w:pageBreakBefore w:val="0"/>
        <w:widowControl w:val="0"/>
        <w:overflowPunct/>
        <w:autoSpaceDE/>
        <w:autoSpaceDN/>
        <w:bidi w:val="0"/>
        <w:snapToGrid/>
        <w:spacing w:line="360" w:lineRule="auto"/>
        <w:ind w:left="0" w:right="0" w:firstLine="481"/>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本项目施工机械、车辆包括反铲挖掘机、推土机、自卸汽车等，施工机械在施工作业及行进过程中，一旦发生溢油污染事故，将对一定范围内的水域造成污染，还可能污染水库，对库区内的水生生物和以水库为用水的农业灌溉和生活用水影响较大。</w:t>
      </w:r>
      <w:r>
        <w:rPr>
          <w:rFonts w:hint="eastAsia" w:ascii="Times New Roman" w:hAnsi="Times New Roman" w:eastAsia="宋体" w:cs="Times New Roman"/>
          <w:color w:val="auto"/>
          <w:spacing w:val="0"/>
          <w:w w:val="100"/>
          <w:position w:val="0"/>
          <w:sz w:val="24"/>
          <w:szCs w:val="24"/>
          <w:u w:val="none" w:color="auto"/>
          <w:lang w:val="en-US" w:eastAsia="zh-CN"/>
        </w:rPr>
        <w:t xml:space="preserve">本项目废机油属于危险废物，如若在储运过程中发生泄漏，可能污染东山水库饮用水源保护区水体或周围土壤、地下水环境。 </w:t>
      </w:r>
    </w:p>
    <w:p w14:paraId="2896F9BD">
      <w:pPr>
        <w:keepNext w:val="0"/>
        <w:keepLines w:val="0"/>
        <w:pageBreakBefore w:val="0"/>
        <w:widowControl w:val="0"/>
        <w:overflowPunct/>
        <w:autoSpaceDE/>
        <w:autoSpaceDN/>
        <w:bidi w:val="0"/>
        <w:snapToGrid/>
        <w:spacing w:line="360" w:lineRule="auto"/>
        <w:ind w:left="0" w:right="0" w:firstLine="481"/>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以油</w:t>
      </w:r>
      <w:r>
        <w:rPr>
          <w:rFonts w:hint="eastAsia" w:ascii="Times New Roman" w:hAnsi="Times New Roman" w:eastAsia="宋体" w:cs="Times New Roman"/>
          <w:color w:val="auto"/>
          <w:spacing w:val="0"/>
          <w:w w:val="100"/>
          <w:position w:val="0"/>
          <w:sz w:val="24"/>
          <w:szCs w:val="24"/>
          <w:u w:val="none" w:color="auto"/>
          <w:lang w:eastAsia="zh-CN"/>
        </w:rPr>
        <w:t>类</w:t>
      </w:r>
      <w:r>
        <w:rPr>
          <w:rFonts w:hint="default" w:ascii="Times New Roman" w:hAnsi="Times New Roman" w:eastAsia="宋体" w:cs="Times New Roman"/>
          <w:color w:val="auto"/>
          <w:spacing w:val="0"/>
          <w:w w:val="100"/>
          <w:position w:val="0"/>
          <w:sz w:val="24"/>
          <w:szCs w:val="24"/>
          <w:u w:val="none" w:color="auto"/>
        </w:rPr>
        <w:t>污染为例，其危害是由石油的化学成分、特性及其在库区内的存在形式决定。在油</w:t>
      </w:r>
      <w:r>
        <w:rPr>
          <w:rFonts w:hint="eastAsia" w:ascii="Times New Roman" w:hAnsi="Times New Roman" w:eastAsia="宋体" w:cs="Times New Roman"/>
          <w:color w:val="auto"/>
          <w:spacing w:val="0"/>
          <w:w w:val="100"/>
          <w:position w:val="0"/>
          <w:sz w:val="24"/>
          <w:szCs w:val="24"/>
          <w:u w:val="none" w:color="auto"/>
          <w:lang w:eastAsia="zh-CN"/>
        </w:rPr>
        <w:t>类</w:t>
      </w:r>
      <w:r>
        <w:rPr>
          <w:rFonts w:hint="default" w:ascii="Times New Roman" w:hAnsi="Times New Roman" w:eastAsia="宋体" w:cs="Times New Roman"/>
          <w:color w:val="auto"/>
          <w:spacing w:val="0"/>
          <w:w w:val="100"/>
          <w:position w:val="0"/>
          <w:sz w:val="24"/>
          <w:szCs w:val="24"/>
          <w:u w:val="none" w:color="auto"/>
        </w:rPr>
        <w:t>不同组分中，低沸点的芳香烃对一切生物均有毒性，而高沸点的芳香烃则是长效毒性，会对水生生物生命构成威胁，甚至死亡。</w:t>
      </w:r>
    </w:p>
    <w:p w14:paraId="3BB2B4BD">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1）对</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饮用水源保护区</w:t>
      </w:r>
      <w:r>
        <w:rPr>
          <w:rFonts w:hint="default" w:ascii="Times New Roman" w:hAnsi="Times New Roman" w:eastAsia="宋体" w:cs="Times New Roman"/>
          <w:caps w:val="0"/>
          <w:smallCaps w:val="0"/>
          <w:color w:val="auto"/>
          <w:spacing w:val="0"/>
          <w:w w:val="100"/>
          <w:kern w:val="0"/>
          <w:position w:val="0"/>
          <w:sz w:val="24"/>
          <w:szCs w:val="24"/>
          <w:u w:val="none" w:color="auto"/>
        </w:rPr>
        <w:t>的影响</w:t>
      </w:r>
    </w:p>
    <w:p w14:paraId="4C47407B">
      <w:pPr>
        <w:keepNext w:val="0"/>
        <w:keepLines w:val="0"/>
        <w:pageBreakBefore w:val="0"/>
        <w:widowControl w:val="0"/>
        <w:overflowPunct/>
        <w:autoSpaceDE/>
        <w:autoSpaceDN/>
        <w:bidi w:val="0"/>
        <w:snapToGrid/>
        <w:spacing w:line="360" w:lineRule="auto"/>
        <w:ind w:left="0" w:right="0" w:firstLine="479"/>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石油类污染物大多数都不溶于水，在水表面随流和风漂流扩散。溢油油膜初期受重力作用在水表面扩展，然后油膜随水流和风漂移扩散，再其后发生蒸发、乳化和生物作用而衰减。其中初期阶段随水流和风漂移扩散对水域环境影响较为明显，</w:t>
      </w:r>
      <w:r>
        <w:rPr>
          <w:rFonts w:hint="default" w:ascii="Times New Roman" w:hAnsi="Times New Roman" w:eastAsia="宋体" w:cs="Times New Roman"/>
          <w:color w:val="auto"/>
          <w:spacing w:val="0"/>
          <w:w w:val="100"/>
          <w:position w:val="0"/>
          <w:sz w:val="24"/>
          <w:szCs w:val="24"/>
          <w:u w:val="none" w:color="auto"/>
          <w:lang w:eastAsia="zh-CN"/>
        </w:rPr>
        <w:t>东山水库</w:t>
      </w:r>
      <w:r>
        <w:rPr>
          <w:rFonts w:hint="default" w:ascii="Times New Roman" w:hAnsi="Times New Roman" w:eastAsia="宋体" w:cs="Times New Roman"/>
          <w:color w:val="auto"/>
          <w:spacing w:val="0"/>
          <w:w w:val="100"/>
          <w:position w:val="0"/>
          <w:sz w:val="24"/>
          <w:szCs w:val="24"/>
          <w:u w:val="none" w:color="auto"/>
        </w:rPr>
        <w:t>水流流速缓慢，工程区域夏季盛吹东南季风，冬季则以东北季风为主，油膜漂移方向随风向外扩展，会对扩展范围内水质和鱼类等造成影响。</w:t>
      </w:r>
    </w:p>
    <w:p w14:paraId="5AD5F708">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2）对</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水生生物</w:t>
      </w:r>
      <w:r>
        <w:rPr>
          <w:rFonts w:hint="default" w:ascii="Times New Roman" w:hAnsi="Times New Roman" w:eastAsia="宋体" w:cs="Times New Roman"/>
          <w:caps w:val="0"/>
          <w:smallCaps w:val="0"/>
          <w:color w:val="auto"/>
          <w:spacing w:val="0"/>
          <w:w w:val="100"/>
          <w:kern w:val="0"/>
          <w:position w:val="0"/>
          <w:sz w:val="24"/>
          <w:szCs w:val="24"/>
          <w:u w:val="none" w:color="auto"/>
        </w:rPr>
        <w:t>的影响</w:t>
      </w:r>
    </w:p>
    <w:p w14:paraId="14661CE1">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相关研究数据表明</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石油类</w:t>
      </w:r>
      <w:r>
        <w:rPr>
          <w:rFonts w:hint="default" w:ascii="Times New Roman" w:hAnsi="Times New Roman" w:eastAsia="宋体" w:cs="Times New Roman"/>
          <w:caps w:val="0"/>
          <w:smallCaps w:val="0"/>
          <w:color w:val="auto"/>
          <w:spacing w:val="0"/>
          <w:w w:val="100"/>
          <w:kern w:val="0"/>
          <w:position w:val="0"/>
          <w:sz w:val="24"/>
          <w:szCs w:val="24"/>
          <w:u w:val="none" w:color="auto"/>
        </w:rPr>
        <w:t>污染带瞬时高浓度排放（即事故性排放）可导致急性中毒死鱼事故，同时石油类在鱼体中积累和残留可引起鱼类慢性中毒而带来长效应的污染影响，这种影响不仅可随鱼类资源的变动，甚至会引起鱼类种质变异。鱼类一旦与油分子接触就会在短时间内发生油臭，从而影响其食用价值。以20号燃料油为例，石油类浓度0.01mg/L时，7天之内就能对大部分的鱼、虾产生油味，30天内会使绝大多数鱼类产生异味。</w:t>
      </w:r>
    </w:p>
    <w:p w14:paraId="328FEB98">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实验证明石油会破坏浮游植物细胞，损坏叶绿素及干扰气体交换，从而妨碍它们的光合作用。这种破坏作用程度是取决于石油的类型、浓度及浮游植物的类型。国内外许多毒性实验结果表明，作为鱼、虾类饵料基础的浮游植物，对各类油类的耐受能力都很低。一般浮游植物石油急性中毒致死浓度为0.1～10.0mg/L，一般为1.0～3.6mg/L，对于更敏感的种类，油浓度低于</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0.1</w:t>
      </w:r>
      <w:r>
        <w:rPr>
          <w:rFonts w:hint="default" w:ascii="Times New Roman" w:hAnsi="Times New Roman" w:eastAsia="宋体" w:cs="Times New Roman"/>
          <w:caps w:val="0"/>
          <w:smallCaps w:val="0"/>
          <w:color w:val="auto"/>
          <w:spacing w:val="0"/>
          <w:w w:val="100"/>
          <w:kern w:val="0"/>
          <w:position w:val="0"/>
          <w:sz w:val="24"/>
          <w:szCs w:val="24"/>
          <w:u w:val="none" w:color="auto"/>
        </w:rPr>
        <w:t>mg/L时，也会妨碍细胞的分裂和生长的速率。</w:t>
      </w:r>
    </w:p>
    <w:p w14:paraId="33FCF7F7">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浮游动物石油急性中毒致死浓度范围一般为0.1～15.0mg/L，而且不同浓度的石油类环境对橈足幼体的影响实验表明，永久性浮游动物幼体的敏感性大于阶段性，而它们各的幼体的敏感性又大于成体。</w:t>
      </w:r>
    </w:p>
    <w:p w14:paraId="493DBBAF">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综上所述，库区施工过程一旦发生溢油事故，</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综上所述，库区施工过程一旦发生溢油事故，污染因子石油类将会破坏水库生态平衡，造成水源地水质恶化，故必须严格落实各项风险防范措施和事故应急预案</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，以避免溢油事故对周边环境</w:t>
      </w:r>
      <w:r>
        <w:rPr>
          <w:rFonts w:hint="default" w:ascii="Times New Roman" w:hAnsi="Times New Roman" w:eastAsia="宋体" w:cs="Times New Roman"/>
          <w:caps w:val="0"/>
          <w:smallCaps w:val="0"/>
          <w:color w:val="auto"/>
          <w:spacing w:val="0"/>
          <w:w w:val="100"/>
          <w:kern w:val="0"/>
          <w:position w:val="0"/>
          <w:sz w:val="24"/>
          <w:szCs w:val="24"/>
          <w:u w:val="none" w:color="auto"/>
        </w:rPr>
        <w:t>的影响。</w:t>
      </w:r>
    </w:p>
    <w:p w14:paraId="46862B92">
      <w:pPr>
        <w:pageBreakBefore w:val="0"/>
        <w:kinsoku w:val="0"/>
        <w:wordWrap w:val="0"/>
        <w:overflowPunct/>
        <w:topLinePunct/>
        <w:autoSpaceDE/>
        <w:autoSpaceDN/>
        <w:bidi w:val="0"/>
        <w:adjustRightInd w:val="0"/>
        <w:spacing w:line="360" w:lineRule="auto"/>
        <w:ind w:firstLine="480" w:firstLineChars="200"/>
        <w:rPr>
          <w:rFonts w:hint="eastAsia" w:ascii="Times New Roman" w:hAnsi="Times New Roman" w:eastAsia="宋体" w:cs="Times New Roman"/>
          <w:caps w:val="0"/>
          <w:smallCaps w:val="0"/>
          <w:color w:val="auto"/>
          <w:spacing w:val="0"/>
          <w:w w:val="100"/>
          <w:kern w:val="0"/>
          <w:position w:val="0"/>
          <w:sz w:val="24"/>
          <w:szCs w:val="24"/>
          <w:u w:val="none" w:color="auto"/>
          <w:lang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2</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）火灾、爆炸次生污染事故风险分析</w:t>
      </w:r>
    </w:p>
    <w:p w14:paraId="5888C3A5">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本项目柴油、废机油泄漏，易引发火灾、爆炸；如发生交通事故也可能引起火灾、爆炸事故；工程周围森林植被较多，在非雨季的季节很容易发生火灾，次生污染物会影响周围大气环境。</w:t>
      </w:r>
    </w:p>
    <w:p w14:paraId="310F805C">
      <w:pPr>
        <w:pageBreakBefore w:val="0"/>
        <w:kinsoku w:val="0"/>
        <w:wordWrap w:val="0"/>
        <w:overflowPunct/>
        <w:topLinePunct/>
        <w:autoSpaceDE/>
        <w:autoSpaceDN/>
        <w:bidi w:val="0"/>
        <w:adjustRightInd w:val="0"/>
        <w:spacing w:line="500" w:lineRule="exact"/>
        <w:ind w:firstLine="482" w:firstLineChars="200"/>
        <w:rPr>
          <w:rFonts w:hint="eastAsia" w:ascii="Times New Roman" w:hAnsi="Times New Roman" w:eastAsia="宋体" w:cs="Times New Roman"/>
          <w:b/>
          <w:bCs/>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b/>
          <w:bCs/>
          <w:caps w:val="0"/>
          <w:smallCaps w:val="0"/>
          <w:color w:val="auto"/>
          <w:spacing w:val="0"/>
          <w:w w:val="100"/>
          <w:kern w:val="0"/>
          <w:position w:val="0"/>
          <w:sz w:val="24"/>
          <w:szCs w:val="24"/>
          <w:u w:val="none" w:color="auto"/>
          <w:lang w:val="en-US" w:eastAsia="zh-CN"/>
        </w:rPr>
        <w:t xml:space="preserve">2、废水事故排放 </w:t>
      </w:r>
    </w:p>
    <w:p w14:paraId="2322B84A">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若工程施工时，未按环保措施要求施工，没有及时采取相应拦挡等措施防护，产生的施工废污水不慎进入水库将对附近水体水质产生不利影响；如若本项目废水处理设施出现破裂或设备故障，导致废污水未经处理或处理不达标外排，将影响周围环境质量。</w:t>
      </w:r>
    </w:p>
    <w:p w14:paraId="276EE78F">
      <w:pPr>
        <w:pStyle w:val="5"/>
        <w:bidi w:val="0"/>
        <w:rPr>
          <w:rFonts w:hint="default" w:ascii="Times New Roman" w:hAnsi="Times New Roman" w:cs="Times New Roman"/>
          <w:color w:val="auto"/>
        </w:rPr>
      </w:pPr>
      <w:r>
        <w:rPr>
          <w:rFonts w:hint="default" w:ascii="Times New Roman" w:hAnsi="Times New Roman" w:cs="Times New Roman"/>
          <w:color w:val="auto"/>
        </w:rPr>
        <w:t>营运期风险分析</w:t>
      </w:r>
    </w:p>
    <w:p w14:paraId="68E05DFC">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本次除险加固工程完工后，运行期环境风险主要为溢油污染事故。 </w:t>
      </w:r>
    </w:p>
    <w:p w14:paraId="0F3CC5DE">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东山水库及其上游修建了乡村公路及防汛公路，通行的车辆主要为农户的三轮车和小轿车。东山水库饮用水源流动风险源突发环境事件主要为保护区内车辆发生交通事故时，导致自身汽油或柴油泄漏、农药和化肥泄漏，其具体后果分析如下： </w:t>
      </w:r>
    </w:p>
    <w:p w14:paraId="5E9171A4">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）环境风险物质泄漏未进入水体 </w:t>
      </w:r>
    </w:p>
    <w:p w14:paraId="4D502E7F">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保护区范围内因交通事故导致交通工具自身的汽油、柴油泄漏，运输物资农药和化肥泄漏或其他有害物质，泄漏物未进入水体时，主要污染范围控制在事故发生地周边的路面及土壤，发生事故后，及时收集泄漏物以及被污染的土壤即可。  （</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）环境风险物质泄漏进入水体 </w:t>
      </w:r>
    </w:p>
    <w:p w14:paraId="1008E709">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保护区内陆路交通工具发生交通事故，导致自身的汽油或柴油发生泄漏进入水体，将影响饮用水源保护区水质及其水生生物。若距离取水口最近的公路出现柴油泄漏，泄漏点至取水口位置约</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190m</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，在不考虑风、水流等自然因素下，污染物扩散到取水口位置大概需要</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60min</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影响取水口水质。可见环水库道路或内部水路发生交通事故导致汽油或柴油进入水体后，影响面积较广，影响范围集中在一级、二级保护区水域，故发生此类突发环境事件，立即采取措施，对泄漏的污染物进行拦截、吸附，防止污染面的进一步扩大。</w:t>
      </w:r>
    </w:p>
    <w:p w14:paraId="3B82D205">
      <w:pPr>
        <w:pStyle w:val="4"/>
        <w:bidi w:val="0"/>
        <w:rPr>
          <w:rFonts w:hint="default" w:ascii="Times New Roman" w:hAnsi="Times New Roman" w:cs="Times New Roman"/>
          <w:color w:val="auto"/>
        </w:rPr>
      </w:pPr>
      <w:bookmarkStart w:id="325" w:name="_Toc5680"/>
      <w:r>
        <w:rPr>
          <w:rFonts w:hint="default" w:ascii="Times New Roman" w:hAnsi="Times New Roman" w:cs="Times New Roman"/>
          <w:color w:val="auto"/>
        </w:rPr>
        <w:t>风险防范措施</w:t>
      </w:r>
      <w:bookmarkEnd w:id="325"/>
    </w:p>
    <w:p w14:paraId="2536ED12">
      <w:pPr>
        <w:pStyle w:val="5"/>
        <w:bidi w:val="0"/>
        <w:rPr>
          <w:rFonts w:hint="default" w:ascii="Times New Roman" w:hAnsi="Times New Roman" w:cs="Times New Roman"/>
          <w:color w:val="auto"/>
        </w:rPr>
      </w:pPr>
      <w:r>
        <w:rPr>
          <w:rFonts w:hint="default" w:ascii="Times New Roman" w:hAnsi="Times New Roman" w:cs="Times New Roman"/>
          <w:color w:val="auto"/>
        </w:rPr>
        <w:t>施工期风险防范措施</w:t>
      </w:r>
    </w:p>
    <w:p w14:paraId="537CABFA">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（1）合理安排施工作业面，减少各类施工车辆、机械碰撞几率，加强机械设备的检修维护。</w:t>
      </w:r>
    </w:p>
    <w:p w14:paraId="757388D9">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（2）工程施工前与防汛、气象等部门沟通，研究划定施工界限，获得施工许可；未经同意，不得擅自开工；加强施工质量和进度管理，严格按照既定的施工要求和施工进度进行施工，尽量避免雨季及汛期施工。</w:t>
      </w:r>
    </w:p>
    <w:p w14:paraId="634A217F">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（3）加强对施工机械设备操作人员和车辆驾驶人员的技术培训，提高施工人员的安全意识和环境保护意识，严格操作规程，避免人为操作失当引起溢油事故发生。</w:t>
      </w:r>
    </w:p>
    <w:p w14:paraId="28C75E13">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（4）建立防汛应急预案，施工期间如遇恶劣天气必须将工程车辆、机械及时撤离，保证设备及库区水质安全。</w:t>
      </w:r>
    </w:p>
    <w:p w14:paraId="26CC979C">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（5）制定施工期溢油事故应急预案，预案应包括应急事故机构、应急救援队伍、应急设施及物质配备、应急报警系统、应急处理措施、应急培训计划等内容；施工场所张贴应急报警电话。</w:t>
      </w:r>
    </w:p>
    <w:p w14:paraId="71765BD9">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（6）油溢到水面后，在自身重力和风、流及其其它因素是作用下会迅速扩散和漂移。因此，溢油清除要尽快采取措施，利用吸油毡、围油栏有效围控溢油，阻止其进一步扩散漂移，以减少水域污染范围。</w:t>
      </w:r>
    </w:p>
    <w:p w14:paraId="5330B35B">
      <w:pPr>
        <w:pStyle w:val="5"/>
        <w:bidi w:val="0"/>
        <w:rPr>
          <w:rFonts w:hint="default" w:ascii="Times New Roman" w:hAnsi="Times New Roman" w:cs="Times New Roman"/>
          <w:color w:val="auto"/>
        </w:rPr>
      </w:pPr>
      <w:r>
        <w:rPr>
          <w:rFonts w:hint="default" w:ascii="Times New Roman" w:hAnsi="Times New Roman" w:cs="Times New Roman"/>
          <w:color w:val="auto"/>
        </w:rPr>
        <w:t>营运期风险防范措施</w:t>
      </w:r>
    </w:p>
    <w:p w14:paraId="62FA4F96">
      <w:pPr>
        <w:keepNext w:val="0"/>
        <w:keepLines w:val="0"/>
        <w:pageBreakBefore w:val="0"/>
        <w:widowControl w:val="0"/>
        <w:overflowPunct/>
        <w:autoSpaceDE/>
        <w:autoSpaceDN/>
        <w:bidi w:val="0"/>
        <w:snapToGrid/>
        <w:spacing w:line="360" w:lineRule="auto"/>
        <w:ind w:left="0" w:right="0" w:firstLine="485"/>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Times New Roman" w:cs="Times New Roman"/>
          <w:color w:val="auto"/>
          <w:spacing w:val="0"/>
          <w:w w:val="100"/>
          <w:position w:val="0"/>
          <w:sz w:val="24"/>
          <w:szCs w:val="24"/>
          <w:u w:val="none" w:color="auto"/>
        </w:rPr>
        <w:t>1</w:t>
      </w:r>
      <w:r>
        <w:rPr>
          <w:rFonts w:hint="default" w:ascii="Times New Roman" w:hAnsi="Times New Roman" w:eastAsia="宋体" w:cs="Times New Roman"/>
          <w:color w:val="auto"/>
          <w:spacing w:val="0"/>
          <w:w w:val="100"/>
          <w:position w:val="0"/>
          <w:sz w:val="24"/>
          <w:szCs w:val="24"/>
          <w:u w:val="none" w:color="auto"/>
        </w:rPr>
        <w:t>)严格按照《饮用水水源保护区污染防治管理规定》，对</w:t>
      </w:r>
      <w:r>
        <w:rPr>
          <w:rFonts w:hint="default" w:ascii="Times New Roman" w:hAnsi="Times New Roman" w:eastAsia="宋体" w:cs="Times New Roman"/>
          <w:color w:val="auto"/>
          <w:spacing w:val="0"/>
          <w:w w:val="100"/>
          <w:position w:val="0"/>
          <w:sz w:val="24"/>
          <w:szCs w:val="24"/>
          <w:u w:val="none" w:color="auto"/>
          <w:lang w:eastAsia="zh-CN"/>
        </w:rPr>
        <w:t>东山水库</w:t>
      </w:r>
      <w:r>
        <w:rPr>
          <w:rFonts w:hint="default" w:ascii="Times New Roman" w:hAnsi="Times New Roman" w:eastAsia="宋体" w:cs="Times New Roman"/>
          <w:color w:val="auto"/>
          <w:spacing w:val="0"/>
          <w:w w:val="100"/>
          <w:position w:val="0"/>
          <w:sz w:val="24"/>
          <w:szCs w:val="24"/>
          <w:u w:val="none" w:color="auto"/>
        </w:rPr>
        <w:t>饮用水水源保护区进行分级防护。要求在饮用水水源地保护区的界线上设置标志牌，在取水口附近设置隔离防护栏等有关设施，明确保护区的范围和取水口的位置。</w:t>
      </w:r>
    </w:p>
    <w:p w14:paraId="19C42F34">
      <w:pPr>
        <w:keepNext w:val="0"/>
        <w:keepLines w:val="0"/>
        <w:pageBreakBefore w:val="0"/>
        <w:widowControl w:val="0"/>
        <w:overflowPunct/>
        <w:autoSpaceDE/>
        <w:autoSpaceDN/>
        <w:bidi w:val="0"/>
        <w:snapToGrid/>
        <w:spacing w:line="360" w:lineRule="auto"/>
        <w:ind w:left="0" w:right="0" w:firstLine="487"/>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Times New Roman" w:cs="Times New Roman"/>
          <w:color w:val="auto"/>
          <w:spacing w:val="0"/>
          <w:w w:val="100"/>
          <w:position w:val="0"/>
          <w:sz w:val="24"/>
          <w:szCs w:val="24"/>
          <w:u w:val="none" w:color="auto"/>
        </w:rPr>
        <w:t>2</w:t>
      </w:r>
      <w:r>
        <w:rPr>
          <w:rFonts w:hint="default" w:ascii="Times New Roman" w:hAnsi="Times New Roman" w:eastAsia="宋体" w:cs="Times New Roman"/>
          <w:color w:val="auto"/>
          <w:spacing w:val="0"/>
          <w:w w:val="100"/>
          <w:position w:val="0"/>
          <w:sz w:val="24"/>
          <w:szCs w:val="24"/>
          <w:u w:val="none" w:color="auto"/>
        </w:rPr>
        <w:t>)保证供水水质，加强水库的环境风险管理，在管理范围边界设置围栏，禁止在管理范围内从事放牧、网箱养殖等活动，并强化监管，禁止无关人员进入。保护区内应重视治理生活污水的点污染源和农田施用农药、化肥的面污染源。</w:t>
      </w:r>
    </w:p>
    <w:p w14:paraId="182B9794">
      <w:pPr>
        <w:keepNext w:val="0"/>
        <w:keepLines w:val="0"/>
        <w:pageBreakBefore w:val="0"/>
        <w:widowControl w:val="0"/>
        <w:overflowPunct/>
        <w:autoSpaceDE/>
        <w:autoSpaceDN/>
        <w:bidi w:val="0"/>
        <w:snapToGrid/>
        <w:spacing w:line="360" w:lineRule="auto"/>
        <w:ind w:left="0" w:right="0" w:firstLine="486"/>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Times New Roman" w:cs="Times New Roman"/>
          <w:color w:val="auto"/>
          <w:spacing w:val="0"/>
          <w:w w:val="100"/>
          <w:position w:val="0"/>
          <w:sz w:val="24"/>
          <w:szCs w:val="24"/>
          <w:u w:val="none" w:color="auto"/>
        </w:rPr>
        <w:t>3</w:t>
      </w:r>
      <w:r>
        <w:rPr>
          <w:rFonts w:hint="default" w:ascii="Times New Roman" w:hAnsi="Times New Roman" w:eastAsia="宋体" w:cs="Times New Roman"/>
          <w:color w:val="auto"/>
          <w:spacing w:val="0"/>
          <w:w w:val="100"/>
          <w:position w:val="0"/>
          <w:sz w:val="24"/>
          <w:szCs w:val="24"/>
          <w:u w:val="none" w:color="auto"/>
        </w:rPr>
        <w:t>)针对水质风险的特点，必须有针对性的设立长期水质、水量监测断面，做好运行期水质监测和水质预警预报系统。定期监测、定期发布饮用水源地水质监测信息。重视饮用水水源地的有毒、有害污染物的控制，丰、平、枯各水期至少进行一次水质安全分析监测。</w:t>
      </w:r>
    </w:p>
    <w:p w14:paraId="66EF5303">
      <w:pPr>
        <w:keepNext w:val="0"/>
        <w:keepLines w:val="0"/>
        <w:pageBreakBefore w:val="0"/>
        <w:widowControl w:val="0"/>
        <w:overflowPunct/>
        <w:autoSpaceDE/>
        <w:autoSpaceDN/>
        <w:bidi w:val="0"/>
        <w:snapToGrid/>
        <w:spacing w:line="360" w:lineRule="auto"/>
        <w:ind w:left="0" w:right="0" w:firstLine="482"/>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Times New Roman" w:cs="Times New Roman"/>
          <w:color w:val="auto"/>
          <w:spacing w:val="0"/>
          <w:w w:val="100"/>
          <w:position w:val="0"/>
          <w:sz w:val="24"/>
          <w:szCs w:val="24"/>
          <w:u w:val="none" w:color="auto"/>
        </w:rPr>
        <w:t>4</w:t>
      </w:r>
      <w:r>
        <w:rPr>
          <w:rFonts w:hint="default" w:ascii="Times New Roman" w:hAnsi="Times New Roman" w:eastAsia="宋体" w:cs="Times New Roman"/>
          <w:color w:val="auto"/>
          <w:spacing w:val="0"/>
          <w:w w:val="100"/>
          <w:position w:val="0"/>
          <w:sz w:val="24"/>
          <w:szCs w:val="24"/>
          <w:u w:val="none" w:color="auto"/>
        </w:rPr>
        <w:t>)制定应急预案，明确救援队伍、应急物资和专家技术支持等，从而使突发事故带来的危害降到最低。</w:t>
      </w:r>
    </w:p>
    <w:p w14:paraId="55854F7A">
      <w:pPr>
        <w:pStyle w:val="4"/>
        <w:bidi w:val="0"/>
        <w:rPr>
          <w:rFonts w:hint="default" w:ascii="Times New Roman" w:hAnsi="Times New Roman" w:cs="Times New Roman"/>
          <w:color w:val="auto"/>
        </w:rPr>
      </w:pPr>
      <w:bookmarkStart w:id="326" w:name="_Toc32303"/>
      <w:r>
        <w:rPr>
          <w:rFonts w:hint="default" w:ascii="Times New Roman" w:hAnsi="Times New Roman" w:cs="Times New Roman"/>
          <w:color w:val="auto"/>
        </w:rPr>
        <w:t>环境风险应急预案</w:t>
      </w:r>
      <w:bookmarkEnd w:id="326"/>
    </w:p>
    <w:p w14:paraId="539B38AD">
      <w:pPr>
        <w:pStyle w:val="5"/>
        <w:bidi w:val="0"/>
        <w:rPr>
          <w:rFonts w:hint="default" w:ascii="Times New Roman" w:hAnsi="Times New Roman" w:cs="Times New Roman"/>
          <w:color w:val="auto"/>
        </w:rPr>
      </w:pPr>
      <w:r>
        <w:rPr>
          <w:rFonts w:hint="default" w:ascii="Times New Roman" w:hAnsi="Times New Roman" w:cs="Times New Roman"/>
          <w:color w:val="auto"/>
        </w:rPr>
        <w:t>应急预案构成</w:t>
      </w:r>
    </w:p>
    <w:p w14:paraId="42C3955A">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（1）应急组织机构</w:t>
      </w:r>
    </w:p>
    <w:p w14:paraId="363ADC11">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为应对环境风险事故的发生，建议成立环境风险应急处置指挥部，实施对突发事件应急处置工作的统一指挥。应急处置指挥部由各相关成员单位组成。</w:t>
      </w:r>
    </w:p>
    <w:p w14:paraId="5C5CF087">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（2）应急通讯系统</w:t>
      </w:r>
    </w:p>
    <w:p w14:paraId="7C953BC5">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本工程环境风险应急通讯系统包括事故报警、应急指挥、应急信息发布三部分。其要求是：①报警系统平时应设立专用电话，做到24小时畅通；②指挥系统应由对外界相对保密的办公室电话、手机和对讲机组成，以避免应急期间受外界干扰。</w:t>
      </w:r>
    </w:p>
    <w:p w14:paraId="5B8A5539">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（3）应急响应和行动</w:t>
      </w:r>
    </w:p>
    <w:p w14:paraId="25F9214B">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事故发生后，应立即启动应急措施，控制事故风险，减缓事故危害。同时，第一时间发布信息，引导社会舆论，为突发事件处理营造稳定的外部环境。</w:t>
      </w:r>
    </w:p>
    <w:p w14:paraId="35E256D9">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（4）应急队伍和物资装备保障</w:t>
      </w:r>
    </w:p>
    <w:p w14:paraId="1C90A51B">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由应急组织机构中的有关单位人员组成应急抢险队伍，建立应急抢险队伍资料库，一旦发生突发事件，由应急指挥部统一指挥，征调相关人员组成应急队伍实施应急抢险。</w:t>
      </w:r>
    </w:p>
    <w:p w14:paraId="0795E117">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应强化物资储备管理，加强维修保养，及时补充和更新，以满足应对突发事件时，抢险物资和装备的及时使用。</w:t>
      </w:r>
    </w:p>
    <w:p w14:paraId="46B9B6CB">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（5）应急技术储备</w:t>
      </w:r>
    </w:p>
    <w:p w14:paraId="6FB71E45">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水库一旦发生了突发性事件，要真正做到快速有效的应急响应，除了要有一直常备不懈、素质优良的应急队伍外，还必须建立相应的应急技术储备，才能在应急响应时迅速选择简捷有效的应急处置技术和制定处置方案。</w:t>
      </w:r>
    </w:p>
    <w:p w14:paraId="532A619A">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（6）应急培训和演习</w:t>
      </w:r>
    </w:p>
    <w:p w14:paraId="17B922C9">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对有关应急人员进行培训和演习，可检验和促进应急反应的速度和质量的提高。应急培训内容为：①事故安全防范常识；②应急计划的基本内容、应急响应程序；③各专业组相应的专业知识；④案例分析和经验交流等方面。</w:t>
      </w:r>
    </w:p>
    <w:p w14:paraId="3B808C5A">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（7）应急状态终止和善后处理</w:t>
      </w:r>
    </w:p>
    <w:p w14:paraId="4E7A84F8">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事故地点污染清理控制的结束，往往并不意味着风险事故的结束，还需要对水质进行事故后风险后果评价，识别出潜在的环境风险。</w:t>
      </w:r>
    </w:p>
    <w:p w14:paraId="7B720CB5">
      <w:pPr>
        <w:pStyle w:val="5"/>
        <w:bidi w:val="0"/>
        <w:rPr>
          <w:rFonts w:hint="default" w:ascii="Times New Roman" w:hAnsi="Times New Roman" w:cs="Times New Roman"/>
          <w:color w:val="auto"/>
        </w:rPr>
      </w:pPr>
      <w:r>
        <w:rPr>
          <w:rFonts w:hint="default" w:ascii="Times New Roman" w:hAnsi="Times New Roman" w:cs="Times New Roman"/>
          <w:color w:val="auto"/>
        </w:rPr>
        <w:t>预警体系</w:t>
      </w:r>
    </w:p>
    <w:p w14:paraId="25A5E717">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（1）工程安全监测预警体系</w:t>
      </w:r>
    </w:p>
    <w:p w14:paraId="3EF4D2F3">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工程安全监测可通过埋设布置相应的监测仪器对大坝的变形量、渗流量进行实时监测。根据监测数据成果，可以避免因安全隐患未及时发现，导致重大的安全事故而造成人财损失；有利于建设部门动态监控施工过程安全和质量；工程建设中安装安全监测系统后，能够及时地发现影响工程安全的隐患，及时制定处理方案，将事故消除在萌芽状态。</w:t>
      </w:r>
    </w:p>
    <w:p w14:paraId="03D83C93">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（2）水质监测预警系统</w:t>
      </w:r>
    </w:p>
    <w:p w14:paraId="59EFAAC6">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1）应充分利用国家、</w:t>
      </w:r>
      <w:r>
        <w:rPr>
          <w:rFonts w:hint="default" w:ascii="Times New Roman" w:hAnsi="Times New Roman" w:eastAsia="宋体" w:cs="Times New Roman"/>
          <w:caps w:val="0"/>
          <w:smallCaps w:val="0"/>
          <w:color w:val="auto"/>
          <w:spacing w:val="0"/>
          <w:w w:val="100"/>
          <w:position w:val="0"/>
          <w:sz w:val="24"/>
          <w:szCs w:val="24"/>
          <w:u w:val="none" w:color="auto"/>
          <w:lang w:eastAsia="zh-CN"/>
        </w:rPr>
        <w:t>省、</w:t>
      </w:r>
      <w:r>
        <w:rPr>
          <w:rFonts w:hint="default" w:ascii="Times New Roman" w:hAnsi="Times New Roman" w:eastAsia="宋体" w:cs="Times New Roman"/>
          <w:caps w:val="0"/>
          <w:smallCaps w:val="0"/>
          <w:color w:val="auto"/>
          <w:spacing w:val="0"/>
          <w:w w:val="100"/>
          <w:position w:val="0"/>
          <w:sz w:val="24"/>
          <w:szCs w:val="24"/>
          <w:u w:val="none" w:color="auto"/>
        </w:rPr>
        <w:t>市各级环境监测网络资源，建立水源监测预警系统，并与供水单位建立联动预警机制。监测网络包括自动监测和监督性监测。自动监测包括风险源自动监控、流域地表水自动站监测、水源自动监测等。地表水监督性监测包括江河湖库等地表水国控、省控、市控断面例行监测、风险源废水排放例行监测。</w:t>
      </w:r>
    </w:p>
    <w:p w14:paraId="01556EF3">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2）预警信息研判与公告</w:t>
      </w:r>
    </w:p>
    <w:p w14:paraId="53E49629">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应结合水源特点研究制定预警标准，实施分级预警。建立预警研判模板，对来自各方面的预警信息汇总研判。建立预警工作联动机制，发现异常情况第一时间进行监察和监测核实。当水源水质受到或可能受到突发事件影响时，应建议当地政府立即启动预警系统，发布预警公告，设立警示牌，通报受污染水体沿岸污染信息和防范措施。</w:t>
      </w:r>
    </w:p>
    <w:p w14:paraId="1DC288A6">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（3）应急响应</w:t>
      </w:r>
    </w:p>
    <w:p w14:paraId="364CFD21">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1</w:t>
      </w:r>
      <w:r>
        <w:rPr>
          <w:rFonts w:hint="default" w:ascii="Times New Roman" w:hAnsi="Times New Roman" w:eastAsia="宋体" w:cs="Times New Roman"/>
          <w:caps w:val="0"/>
          <w:smallCaps w:val="0"/>
          <w:color w:val="auto"/>
          <w:spacing w:val="0"/>
          <w:w w:val="100"/>
          <w:position w:val="0"/>
          <w:sz w:val="24"/>
          <w:szCs w:val="24"/>
          <w:u w:val="none" w:color="auto"/>
        </w:rPr>
        <w:t>）应急处置</w:t>
      </w:r>
    </w:p>
    <w:p w14:paraId="397C0373">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事故发生后，应在总指挥的统一指挥下，各相关部门相互配合，完成应急工作。同时，第一时间发布信息，引导社会舆论，为突发事件处理营造稳定的外部环境。</w:t>
      </w:r>
    </w:p>
    <w:p w14:paraId="0B7D1BC3">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2</w:t>
      </w:r>
      <w:r>
        <w:rPr>
          <w:rFonts w:hint="default" w:ascii="Times New Roman" w:hAnsi="Times New Roman" w:eastAsia="宋体" w:cs="Times New Roman"/>
          <w:caps w:val="0"/>
          <w:smallCaps w:val="0"/>
          <w:color w:val="auto"/>
          <w:spacing w:val="0"/>
          <w:w w:val="100"/>
          <w:position w:val="0"/>
          <w:sz w:val="24"/>
          <w:szCs w:val="24"/>
          <w:u w:val="none" w:color="auto"/>
        </w:rPr>
        <w:t>）事后管理</w:t>
      </w:r>
    </w:p>
    <w:p w14:paraId="45AB0CC5">
      <w:pPr>
        <w:keepNext w:val="0"/>
        <w:keepLines w:val="0"/>
        <w:pageBreakBefore w:val="0"/>
        <w:widowControl w:val="0"/>
        <w:kinsoku w:val="0"/>
        <w:wordWrap w:val="0"/>
        <w:overflowPunct/>
        <w:topLinePunct/>
        <w:autoSpaceDE/>
        <w:autoSpaceDN/>
        <w:bidi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突发事件发生并处理完毕后，应整理、归档该事件的相关资料。应急物资使用后，应按照应急物质类别妥善处理。对重大或具有代表性的事件，要梳理事件发生和处置过程，利用影像资料和信息平台记录，结合相关模型模拟、再现事件发生演变过程，为事件的全面掌握提供资料。要吸取突发事件处理经验教训，形成书面总结报告。</w:t>
      </w:r>
    </w:p>
    <w:p w14:paraId="0478B374">
      <w:pPr>
        <w:pStyle w:val="4"/>
        <w:bidi w:val="0"/>
        <w:rPr>
          <w:rFonts w:hint="default" w:ascii="Times New Roman" w:hAnsi="Times New Roman" w:cs="Times New Roman"/>
          <w:color w:val="auto"/>
        </w:rPr>
      </w:pPr>
      <w:bookmarkStart w:id="327" w:name="_Toc15004"/>
      <w:r>
        <w:rPr>
          <w:rFonts w:hint="default" w:ascii="Times New Roman" w:hAnsi="Times New Roman" w:cs="Times New Roman"/>
          <w:color w:val="auto"/>
        </w:rPr>
        <w:t>小结</w:t>
      </w:r>
      <w:bookmarkEnd w:id="327"/>
    </w:p>
    <w:p w14:paraId="29885F12">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eastAsia" w:ascii="Times New Roman" w:hAnsi="Times New Roman" w:eastAsia="宋体" w:cs="Times New Roman"/>
          <w:caps w:val="0"/>
          <w:smallCaps w:val="0"/>
          <w:color w:val="auto"/>
          <w:spacing w:val="0"/>
          <w:w w:val="100"/>
          <w:position w:val="0"/>
          <w:sz w:val="24"/>
          <w:szCs w:val="24"/>
          <w:u w:val="none" w:color="auto"/>
          <w:lang w:val="en-US" w:eastAsia="zh-CN"/>
        </w:rPr>
        <w:t xml:space="preserve">本项目风险物质主要为柴油、废机油，环境风险潜势为Ⅰ。本工程根据工程施工及运行特点、周围环境特点以及工程与周围环境之间的关系，施工期主要的环境风险为溢油污染风险、废水事故性排放、危险废物泄漏和火灾、爆炸次生污染事故；运行期主要的环境风险为溢油污染事故。经过风险分析和评价得出结论：项目事故风险水平较低，在进一步采取安全防范措施和事故应急措施后，基本满足国家有关环境保护和安全法规、标准的要求。 </w:t>
      </w:r>
    </w:p>
    <w:p w14:paraId="4525D86B">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eastAsia" w:ascii="Times New Roman" w:hAnsi="Times New Roman" w:eastAsia="宋体" w:cs="Times New Roman"/>
          <w:caps w:val="0"/>
          <w:smallCaps w:val="0"/>
          <w:color w:val="auto"/>
          <w:spacing w:val="0"/>
          <w:w w:val="100"/>
          <w:position w:val="0"/>
          <w:sz w:val="24"/>
          <w:szCs w:val="24"/>
          <w:u w:val="none" w:color="auto"/>
          <w:lang w:val="en-US" w:eastAsia="zh-CN"/>
        </w:rPr>
        <w:t>建设单位需按照要求制定相应的环境风险事故防范措施和事故应急预案，当发生风险事故时立即启动事故应急预案，确保事故不扩大，不会对周边环境造成较大危害。在严格采取安全防护和风险防范措施的条件下，保障工程安全施工、安全运行，风险处于环境可接受的水平。</w:t>
      </w:r>
    </w:p>
    <w:p w14:paraId="715CFAC5">
      <w:pPr>
        <w:keepNext w:val="0"/>
        <w:keepLines w:val="0"/>
        <w:pageBreakBefore w:val="0"/>
        <w:widowControl w:val="0"/>
        <w:kinsoku w:val="0"/>
        <w:wordWrap w:val="0"/>
        <w:overflowPunct/>
        <w:topLinePunct/>
        <w:autoSpaceDE/>
        <w:autoSpaceDN/>
        <w:bidi w:val="0"/>
        <w:adjustRightInd w:val="0"/>
        <w:snapToGrid/>
        <w:spacing w:line="360" w:lineRule="auto"/>
        <w:textAlignment w:val="auto"/>
        <w:rPr>
          <w:rFonts w:hint="default" w:ascii="Times New Roman" w:hAnsi="Times New Roman" w:eastAsia="宋体" w:cs="Times New Roman"/>
          <w:caps w:val="0"/>
          <w:smallCaps w:val="0"/>
          <w:color w:val="auto"/>
          <w:spacing w:val="0"/>
          <w:w w:val="100"/>
          <w:position w:val="0"/>
          <w:sz w:val="24"/>
          <w:szCs w:val="24"/>
          <w:u w:val="none" w:color="auto"/>
        </w:rPr>
        <w:sectPr>
          <w:headerReference r:id="rId17" w:type="default"/>
          <w:footerReference r:id="rId18" w:type="default"/>
          <w:pgSz w:w="11906" w:h="16838"/>
          <w:pgMar w:top="1440" w:right="1803" w:bottom="1440" w:left="1803" w:header="720" w:footer="720" w:gutter="0"/>
          <w:pgBorders>
            <w:top w:val="none" w:sz="0" w:space="0"/>
            <w:left w:val="none" w:sz="0" w:space="0"/>
            <w:bottom w:val="none" w:sz="0" w:space="0"/>
            <w:right w:val="none" w:sz="0" w:space="0"/>
          </w:pgBorders>
          <w:pgNumType w:fmt="decimal"/>
          <w:cols w:space="720" w:num="1"/>
          <w:docGrid w:type="lines" w:linePitch="312" w:charSpace="0"/>
        </w:sectPr>
      </w:pPr>
    </w:p>
    <w:p w14:paraId="7A8E8CDE">
      <w:pPr>
        <w:pStyle w:val="2"/>
        <w:bidi w:val="0"/>
        <w:rPr>
          <w:rFonts w:hint="default" w:ascii="Times New Roman" w:hAnsi="Times New Roman" w:cs="Times New Roman"/>
        </w:rPr>
      </w:pPr>
      <w:bookmarkStart w:id="328" w:name="_Toc12487"/>
      <w:r>
        <w:rPr>
          <w:rFonts w:hint="default" w:ascii="Times New Roman" w:hAnsi="Times New Roman" w:cs="Times New Roman"/>
        </w:rPr>
        <w:t>环境保护措施及其可行性论证</w:t>
      </w:r>
      <w:bookmarkEnd w:id="328"/>
    </w:p>
    <w:p w14:paraId="51A272C3">
      <w:pPr>
        <w:pStyle w:val="3"/>
        <w:bidi w:val="0"/>
        <w:rPr>
          <w:rFonts w:hint="default" w:ascii="Times New Roman" w:hAnsi="Times New Roman" w:cs="Times New Roman"/>
          <w:lang w:val="en-US" w:eastAsia="zh-CN"/>
        </w:rPr>
      </w:pPr>
      <w:bookmarkStart w:id="329" w:name="_Toc29154"/>
      <w:r>
        <w:rPr>
          <w:rFonts w:hint="default" w:ascii="Times New Roman" w:hAnsi="Times New Roman" w:cs="Times New Roman"/>
          <w:lang w:val="en-US" w:eastAsia="zh-CN"/>
        </w:rPr>
        <w:t>施工期环境保护措施</w:t>
      </w:r>
      <w:bookmarkEnd w:id="329"/>
    </w:p>
    <w:p w14:paraId="41280BE6">
      <w:pPr>
        <w:pStyle w:val="4"/>
        <w:bidi w:val="0"/>
        <w:rPr>
          <w:rFonts w:hint="default" w:ascii="Times New Roman" w:hAnsi="Times New Roman" w:cs="Times New Roman"/>
          <w:lang w:val="en-US" w:eastAsia="zh-CN"/>
        </w:rPr>
      </w:pPr>
      <w:bookmarkStart w:id="330" w:name="_Toc4585"/>
      <w:r>
        <w:rPr>
          <w:rFonts w:hint="default" w:ascii="Times New Roman" w:hAnsi="Times New Roman" w:cs="Times New Roman"/>
          <w:lang w:val="en-US" w:eastAsia="zh-CN"/>
        </w:rPr>
        <w:t>施工期大气环境保护措施</w:t>
      </w:r>
      <w:bookmarkEnd w:id="330"/>
    </w:p>
    <w:p w14:paraId="33F93928">
      <w:pPr>
        <w:bidi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（1）施工区扬尘控制</w:t>
      </w:r>
    </w:p>
    <w:p w14:paraId="06B603F2">
      <w:pPr>
        <w:bidi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1）在局部时段对附近敏感目标扬尘影响较大的施工区周围设置连续的围挡，重要部位和主要路段围挡高度不低于2.5米，一般路段围挡高度不低于1.8米。围挡统一采用钢结构多孔面板式或者装配式夹芯板围挡。应在工地围挡上均匀设置给水管及水雾喷头，施工作业期间，可根据作业实际情况每天两次开启喷淋系统各进行30分钟以上喷淋降尘（雨天除外），特殊情况下按环保部门要求增加喷淋频次。</w:t>
      </w:r>
    </w:p>
    <w:p w14:paraId="6E9186B7">
      <w:pPr>
        <w:bidi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2）混凝土拌和系统在添加水泥等多尘物料以及搅拌过程中采用全封闭式系统，对传送带上输送的物料应进行全封闭或半封闭。</w:t>
      </w:r>
    </w:p>
    <w:p w14:paraId="0EC15356">
      <w:pPr>
        <w:bidi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3）在堆料场、渣场、土石方开挖、拆除作业区等多扬尘的施工作业面配备人员及洒水车等降尘设备进行定期洒水，在无雨日每天洒水3～5次，洒水面积需尽量覆盖所有干燥裸露面。</w:t>
      </w:r>
    </w:p>
    <w:p w14:paraId="63ABCEF0">
      <w:pPr>
        <w:bidi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4）为避免施工工厂和施工区在物料装卸、堆存以及场地内汽车行使等过程中会产生扬尘，需在场地内定期洒水，并加强洒水频率，在无雨日每天洒水3～5次，洒水面积需尽量覆盖所有干燥区域。</w:t>
      </w:r>
    </w:p>
    <w:p w14:paraId="146D7F8C">
      <w:pPr>
        <w:bidi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5）施工弃渣应及时清运至弃渣场处理，并及时做好弃渣场的水土保持措施。</w:t>
      </w:r>
    </w:p>
    <w:p w14:paraId="09AB0667">
      <w:pPr>
        <w:bidi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6）物料堆积过程中，堆积边坡的角度不宜过大，弃渣场应及时夯实；晴朗多风天气应对露天临时堆放的土料适当加湿或表面覆盖，减少风力起尘量。</w:t>
      </w:r>
    </w:p>
    <w:p w14:paraId="15F9B640">
      <w:pPr>
        <w:bidi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（2）道路扬尘控制</w:t>
      </w:r>
    </w:p>
    <w:p w14:paraId="19302FFC">
      <w:pPr>
        <w:bidi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1）在施工道路区域设置限速标志，车速不得超过25km/h，以减少起尘量，防止车速过快产生扬尘污染大气环境。</w:t>
      </w:r>
    </w:p>
    <w:p w14:paraId="48B4FE47">
      <w:pPr>
        <w:bidi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2）在物资运输过程中注意防止扬尘污染。装载多尘物料时，应对物料适当加湿或用帆布覆盖，运送散装水泥车辆的储罐应保持良好密封状态，经常清洗运输车辆。运输车辆驶出施工区时，应对车辆轮胎、底盘等容易夹带泥土的部位进行冲洗。</w:t>
      </w:r>
    </w:p>
    <w:p w14:paraId="73A20C33">
      <w:pPr>
        <w:bidi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3）施工阶段对汽车行驶路面勤清扫，可以较好地减少扬尘排放量。对施工道路进行洒水，在无雨日1天洒水3～5次，在干燥大风天气情况下洒水频率加密。</w:t>
      </w:r>
    </w:p>
    <w:p w14:paraId="72640234">
      <w:pPr>
        <w:pStyle w:val="38"/>
        <w:spacing w:after="0" w:line="360" w:lineRule="auto"/>
        <w:ind w:left="0" w:leftChars="0" w:firstLine="480"/>
        <w:rPr>
          <w:rFonts w:hint="default" w:ascii="Times New Roman" w:hAnsi="Times New Roman" w:eastAsia="宋体" w:cs="Times New Roman"/>
          <w:bCs/>
          <w:color w:val="auto"/>
          <w:sz w:val="24"/>
          <w:highlight w:val="none"/>
          <w:u w:val="none" w:color="auto"/>
          <w:lang w:val="en-US" w:eastAsia="zh-CN"/>
        </w:rPr>
      </w:pPr>
      <w:r>
        <w:rPr>
          <w:rFonts w:hint="default" w:ascii="Times New Roman" w:hAnsi="Times New Roman" w:eastAsia="宋体" w:cs="Times New Roman"/>
          <w:color w:val="000000"/>
          <w:sz w:val="24"/>
        </w:rPr>
        <w:t>4）</w:t>
      </w:r>
      <w:r>
        <w:rPr>
          <w:rFonts w:hint="default" w:ascii="Times New Roman" w:hAnsi="Times New Roman" w:eastAsia="宋体" w:cs="Times New Roman"/>
          <w:bCs/>
          <w:color w:val="auto"/>
          <w:sz w:val="24"/>
          <w:highlight w:val="none"/>
          <w:u w:val="none" w:color="auto"/>
          <w:lang w:val="en-US" w:eastAsia="zh-CN"/>
        </w:rPr>
        <w:t>加强施工管理，坚持文明装卸。合理安排施工车辆行驶路线，尽量避开居民集中区，控制施工车辆行驶速度，路经居民区集中区域应减缓行驶车速。</w:t>
      </w:r>
    </w:p>
    <w:p w14:paraId="33244B83">
      <w:pPr>
        <w:pageBreakBefore w:val="0"/>
        <w:kinsoku w:val="0"/>
        <w:wordWrap w:val="0"/>
        <w:overflowPunct/>
        <w:topLinePunct/>
        <w:autoSpaceDE/>
        <w:autoSpaceDN/>
        <w:bidi w:val="0"/>
        <w:spacing w:line="360" w:lineRule="auto"/>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olor w:val="000000"/>
          <w:sz w:val="24"/>
        </w:rPr>
        <w:t>（3）</w:t>
      </w:r>
      <w:r>
        <w:rPr>
          <w:rFonts w:hint="default" w:ascii="Times New Roman" w:hAnsi="Times New Roman" w:eastAsia="宋体" w:cs="Times New Roman"/>
          <w:caps w:val="0"/>
          <w:smallCaps w:val="0"/>
          <w:color w:val="auto"/>
          <w:spacing w:val="0"/>
          <w:w w:val="100"/>
          <w:position w:val="0"/>
          <w:sz w:val="24"/>
          <w:szCs w:val="24"/>
          <w:u w:val="none" w:color="auto"/>
        </w:rPr>
        <w:t>燃油施工机械废气控制</w:t>
      </w:r>
    </w:p>
    <w:p w14:paraId="011BC858">
      <w:pPr>
        <w:pageBreakBefore w:val="0"/>
        <w:kinsoku w:val="0"/>
        <w:wordWrap w:val="0"/>
        <w:overflowPunct/>
        <w:topLinePunct/>
        <w:autoSpaceDE/>
        <w:autoSpaceDN/>
        <w:bidi w:val="0"/>
        <w:spacing w:line="360" w:lineRule="auto"/>
        <w:ind w:firstLine="480" w:firstLineChars="200"/>
        <w:rPr>
          <w:rFonts w:hint="default" w:ascii="Times New Roman" w:hAnsi="Times New Roman" w:eastAsia="宋体" w:cs="Times New Roman"/>
          <w:caps w:val="0"/>
          <w:smallCaps w:val="0"/>
          <w:color w:val="auto"/>
          <w:spacing w:val="0"/>
          <w:w w:val="100"/>
          <w:position w:val="0"/>
          <w:sz w:val="24"/>
          <w:szCs w:val="24"/>
          <w:u w:val="none" w:color="auto"/>
          <w:lang w:eastAsia="zh-CN"/>
        </w:rPr>
      </w:pP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1）</w:t>
      </w:r>
      <w:r>
        <w:rPr>
          <w:rFonts w:hint="default" w:ascii="Times New Roman" w:hAnsi="Times New Roman" w:eastAsia="宋体" w:cs="Times New Roman"/>
          <w:caps w:val="0"/>
          <w:smallCaps w:val="0"/>
          <w:color w:val="auto"/>
          <w:spacing w:val="0"/>
          <w:w w:val="100"/>
          <w:position w:val="0"/>
          <w:sz w:val="24"/>
          <w:szCs w:val="24"/>
          <w:u w:val="none" w:color="auto"/>
        </w:rPr>
        <w:t>施工机械和运输工具</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优先选用</w:t>
      </w:r>
      <w:r>
        <w:rPr>
          <w:rFonts w:hint="default" w:ascii="Times New Roman" w:hAnsi="Times New Roman" w:eastAsia="宋体" w:cs="Times New Roman"/>
          <w:caps w:val="0"/>
          <w:smallCaps w:val="0"/>
          <w:color w:val="auto"/>
          <w:spacing w:val="0"/>
          <w:w w:val="100"/>
          <w:position w:val="0"/>
          <w:sz w:val="24"/>
          <w:szCs w:val="24"/>
          <w:u w:val="none" w:color="auto"/>
        </w:rPr>
        <w:t>符合国家有关卫生标准的施工机械和运输车辆</w:t>
      </w:r>
      <w:r>
        <w:rPr>
          <w:rFonts w:hint="default" w:ascii="Times New Roman" w:hAnsi="Times New Roman" w:eastAsia="宋体" w:cs="Times New Roman"/>
          <w:caps w:val="0"/>
          <w:smallCaps w:val="0"/>
          <w:color w:val="auto"/>
          <w:spacing w:val="0"/>
          <w:w w:val="100"/>
          <w:position w:val="0"/>
          <w:sz w:val="24"/>
          <w:szCs w:val="24"/>
          <w:u w:val="none" w:color="auto"/>
          <w:lang w:eastAsia="zh-CN"/>
        </w:rPr>
        <w:t>；</w:t>
      </w:r>
    </w:p>
    <w:p w14:paraId="06D228E6">
      <w:pPr>
        <w:pageBreakBefore w:val="0"/>
        <w:kinsoku w:val="0"/>
        <w:wordWrap w:val="0"/>
        <w:overflowPunct/>
        <w:topLinePunct/>
        <w:autoSpaceDE/>
        <w:autoSpaceDN/>
        <w:bidi w:val="0"/>
        <w:spacing w:line="360" w:lineRule="auto"/>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2）</w:t>
      </w:r>
      <w:r>
        <w:rPr>
          <w:rFonts w:hint="default" w:ascii="Times New Roman" w:hAnsi="Times New Roman" w:eastAsia="宋体" w:cs="Times New Roman"/>
          <w:caps w:val="0"/>
          <w:smallCaps w:val="0"/>
          <w:color w:val="auto"/>
          <w:spacing w:val="0"/>
          <w:w w:val="100"/>
          <w:position w:val="0"/>
          <w:sz w:val="24"/>
          <w:szCs w:val="24"/>
          <w:u w:val="none" w:color="auto"/>
        </w:rPr>
        <w:t>施工现场应合理布置运输车辆行驶路线，保证行驶速度，减少怠速时间，以减少机动车尾气的排放；</w:t>
      </w:r>
    </w:p>
    <w:p w14:paraId="705E76D7">
      <w:pPr>
        <w:pageBreakBefore w:val="0"/>
        <w:kinsoku w:val="0"/>
        <w:wordWrap w:val="0"/>
        <w:overflowPunct/>
        <w:topLinePunct/>
        <w:autoSpaceDE/>
        <w:autoSpaceDN/>
        <w:bidi w:val="0"/>
        <w:spacing w:line="360" w:lineRule="auto"/>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3）</w:t>
      </w:r>
      <w:r>
        <w:rPr>
          <w:rFonts w:hint="default" w:ascii="Times New Roman" w:hAnsi="Times New Roman" w:eastAsia="宋体" w:cs="Times New Roman"/>
          <w:caps w:val="0"/>
          <w:smallCaps w:val="0"/>
          <w:color w:val="auto"/>
          <w:spacing w:val="0"/>
          <w:w w:val="100"/>
          <w:position w:val="0"/>
          <w:sz w:val="24"/>
          <w:szCs w:val="24"/>
          <w:u w:val="none" w:color="auto"/>
        </w:rPr>
        <w:t>对车辆的尾气排放进行监督管理，严格执行有关汽车排污监管办法、汽车排放监测制度；</w:t>
      </w:r>
    </w:p>
    <w:p w14:paraId="013851D6">
      <w:pPr>
        <w:pageBreakBefore w:val="0"/>
        <w:kinsoku w:val="0"/>
        <w:wordWrap w:val="0"/>
        <w:overflowPunct/>
        <w:topLinePunct/>
        <w:autoSpaceDE/>
        <w:autoSpaceDN/>
        <w:bidi w:val="0"/>
        <w:spacing w:line="360" w:lineRule="auto"/>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4）</w:t>
      </w:r>
      <w:r>
        <w:rPr>
          <w:rFonts w:hint="default" w:ascii="Times New Roman" w:hAnsi="Times New Roman" w:eastAsia="宋体" w:cs="Times New Roman"/>
          <w:caps w:val="0"/>
          <w:smallCaps w:val="0"/>
          <w:color w:val="auto"/>
          <w:spacing w:val="0"/>
          <w:w w:val="100"/>
          <w:position w:val="0"/>
          <w:sz w:val="24"/>
          <w:szCs w:val="24"/>
          <w:u w:val="none" w:color="auto"/>
        </w:rPr>
        <w:t>加强对施工机械，运输车辆的维修保养，禁止施工机械超负荷工作和运输车辆超载；不得使用劣质燃料。</w:t>
      </w:r>
    </w:p>
    <w:p w14:paraId="37820157">
      <w:pPr>
        <w:pageBreakBefore w:val="0"/>
        <w:kinsoku w:val="0"/>
        <w:wordWrap w:val="0"/>
        <w:overflowPunct/>
        <w:topLinePunct/>
        <w:autoSpaceDE/>
        <w:autoSpaceDN/>
        <w:bidi w:val="0"/>
        <w:spacing w:line="360" w:lineRule="auto"/>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4</w:t>
      </w:r>
      <w:r>
        <w:rPr>
          <w:rFonts w:hint="default" w:ascii="Times New Roman" w:hAnsi="Times New Roman" w:eastAsia="宋体" w:cs="Times New Roman"/>
          <w:caps w:val="0"/>
          <w:smallCaps w:val="0"/>
          <w:color w:val="auto"/>
          <w:spacing w:val="0"/>
          <w:w w:val="100"/>
          <w:position w:val="0"/>
          <w:sz w:val="24"/>
          <w:szCs w:val="24"/>
          <w:u w:val="none" w:color="auto"/>
        </w:rPr>
        <w:t>）管理措施</w:t>
      </w:r>
    </w:p>
    <w:p w14:paraId="5B98DA64">
      <w:pPr>
        <w:pageBreakBefore w:val="0"/>
        <w:kinsoku w:val="0"/>
        <w:wordWrap w:val="0"/>
        <w:overflowPunct/>
        <w:topLinePunct/>
        <w:autoSpaceDE/>
        <w:autoSpaceDN/>
        <w:bidi w:val="0"/>
        <w:spacing w:line="360" w:lineRule="auto"/>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 xml:space="preserve">1）施工期间，若因具体情况需暂停施工的，建筑工程停工期达1个月以上的，施工单位应当对工地内的裸露地面采取硬化、覆盖等防止扬尘污染的措施；若停工期超过6个月的，应当实施场地临时绿化措施。 </w:t>
      </w:r>
    </w:p>
    <w:p w14:paraId="50A0EF23">
      <w:pPr>
        <w:keepNext w:val="0"/>
        <w:keepLines w:val="0"/>
        <w:pageBreakBefore w:val="0"/>
        <w:widowControl w:val="0"/>
        <w:kinsoku w:val="0"/>
        <w:wordWrap w:val="0"/>
        <w:overflowPunct/>
        <w:topLinePunct/>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2）施工场地内应设专员负责扬尘控制措施的实施和监督，应有专人负责逸散性材料、垃圾、渣土、裸地等密闭、覆盖、洒水作业以及车辆清洗作业等，并记录扬尘措施的实施情况。</w:t>
      </w:r>
    </w:p>
    <w:p w14:paraId="32394FED">
      <w:pPr>
        <w:pStyle w:val="4"/>
        <w:bidi w:val="0"/>
        <w:rPr>
          <w:rFonts w:hint="default" w:ascii="Times New Roman" w:hAnsi="Times New Roman" w:cs="Times New Roman"/>
          <w:lang w:val="en-US" w:eastAsia="zh-CN"/>
        </w:rPr>
      </w:pPr>
      <w:bookmarkStart w:id="331" w:name="_Toc23871"/>
      <w:r>
        <w:rPr>
          <w:rFonts w:hint="default" w:ascii="Times New Roman" w:hAnsi="Times New Roman" w:cs="Times New Roman"/>
          <w:lang w:val="en-US" w:eastAsia="zh-CN"/>
        </w:rPr>
        <w:t>施工期地表水环境保护措施</w:t>
      </w:r>
      <w:bookmarkEnd w:id="331"/>
    </w:p>
    <w:p w14:paraId="1BC8F624">
      <w:pPr>
        <w:keepNext w:val="0"/>
        <w:keepLines w:val="0"/>
        <w:pageBreakBefore w:val="0"/>
        <w:widowControl w:val="0"/>
        <w:overflowPunct/>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FF0000"/>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施工期水污染源主要有施工废水</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和</w:t>
      </w:r>
      <w:r>
        <w:rPr>
          <w:rFonts w:hint="default" w:ascii="Times New Roman" w:hAnsi="Times New Roman" w:eastAsia="宋体" w:cs="Times New Roman"/>
          <w:caps w:val="0"/>
          <w:smallCaps w:val="0"/>
          <w:color w:val="auto"/>
          <w:spacing w:val="0"/>
          <w:w w:val="100"/>
          <w:kern w:val="0"/>
          <w:position w:val="0"/>
          <w:sz w:val="24"/>
          <w:szCs w:val="24"/>
          <w:u w:val="none" w:color="auto"/>
        </w:rPr>
        <w:t>施工人员的生活污水</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，其中</w:t>
      </w:r>
      <w:r>
        <w:rPr>
          <w:rFonts w:hint="default" w:ascii="Times New Roman" w:hAnsi="Times New Roman" w:eastAsia="宋体" w:cs="Times New Roman"/>
          <w:color w:val="000000"/>
          <w:kern w:val="0"/>
          <w:sz w:val="24"/>
          <w:szCs w:val="24"/>
          <w:lang w:val="en-US" w:eastAsia="zh-CN" w:bidi="ar"/>
        </w:rPr>
        <w:t>施工废水主要包括混凝土搅拌系统冲洗废水、机械设备冲</w:t>
      </w:r>
      <w:r>
        <w:rPr>
          <w:rFonts w:hint="default" w:ascii="Times New Roman" w:hAnsi="Times New Roman" w:eastAsia="宋体" w:cs="Times New Roman"/>
          <w:color w:val="auto"/>
          <w:kern w:val="0"/>
          <w:sz w:val="24"/>
          <w:szCs w:val="24"/>
          <w:lang w:val="en-US" w:eastAsia="zh-CN" w:bidi="ar"/>
        </w:rPr>
        <w:t>洗废水、灌浆施工废水和基坑排水</w:t>
      </w:r>
      <w:r>
        <w:rPr>
          <w:rFonts w:hint="default" w:ascii="Times New Roman" w:hAnsi="Times New Roman" w:eastAsia="宋体" w:cs="Times New Roman"/>
          <w:color w:val="auto"/>
          <w:spacing w:val="0"/>
          <w:w w:val="100"/>
          <w:position w:val="0"/>
          <w:sz w:val="24"/>
          <w:szCs w:val="24"/>
          <w:u w:val="none" w:color="auto"/>
        </w:rPr>
        <w:t>等，主要污染物为</w:t>
      </w:r>
      <w:r>
        <w:rPr>
          <w:rFonts w:hint="default" w:ascii="Times New Roman" w:hAnsi="Times New Roman" w:eastAsia="Times New Roman" w:cs="Times New Roman"/>
          <w:color w:val="auto"/>
          <w:spacing w:val="0"/>
          <w:w w:val="100"/>
          <w:position w:val="0"/>
          <w:sz w:val="24"/>
          <w:szCs w:val="24"/>
          <w:u w:val="none" w:color="auto"/>
        </w:rPr>
        <w:t>SS</w:t>
      </w:r>
      <w:r>
        <w:rPr>
          <w:rFonts w:hint="default" w:ascii="Times New Roman" w:hAnsi="Times New Roman" w:eastAsia="宋体" w:cs="Times New Roman"/>
          <w:color w:val="auto"/>
          <w:spacing w:val="0"/>
          <w:w w:val="100"/>
          <w:position w:val="0"/>
          <w:sz w:val="24"/>
          <w:szCs w:val="24"/>
          <w:u w:val="none" w:color="auto"/>
        </w:rPr>
        <w:t>和</w:t>
      </w:r>
      <w:r>
        <w:rPr>
          <w:rFonts w:hint="default" w:ascii="Times New Roman" w:hAnsi="Times New Roman" w:eastAsia="宋体" w:cs="Times New Roman"/>
          <w:color w:val="auto"/>
          <w:spacing w:val="0"/>
          <w:w w:val="100"/>
          <w:position w:val="0"/>
          <w:sz w:val="24"/>
          <w:szCs w:val="24"/>
          <w:u w:val="none" w:color="auto"/>
          <w:lang w:eastAsia="zh-CN"/>
        </w:rPr>
        <w:t>石</w:t>
      </w:r>
      <w:r>
        <w:rPr>
          <w:rFonts w:hint="default" w:ascii="Times New Roman" w:hAnsi="Times New Roman" w:eastAsia="宋体" w:cs="Times New Roman"/>
          <w:color w:val="auto"/>
          <w:spacing w:val="0"/>
          <w:w w:val="100"/>
          <w:position w:val="0"/>
          <w:sz w:val="24"/>
          <w:szCs w:val="24"/>
          <w:u w:val="none" w:color="auto"/>
        </w:rPr>
        <w:t>油类。</w:t>
      </w:r>
    </w:p>
    <w:p w14:paraId="67A066DD">
      <w:pPr>
        <w:keepNext w:val="0"/>
        <w:keepLines w:val="0"/>
        <w:pageBreakBefore w:val="0"/>
        <w:widowControl w:val="0"/>
        <w:overflowPunct/>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（1）施工期生产废水处理措施</w:t>
      </w:r>
    </w:p>
    <w:p w14:paraId="07023621">
      <w:pPr>
        <w:keepNext w:val="0"/>
        <w:keepLines w:val="0"/>
        <w:pageBreakBefore w:val="0"/>
        <w:widowControl w:val="0"/>
        <w:overflowPunct/>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①混凝土拌和系统冲洗废水处理措施</w:t>
      </w:r>
    </w:p>
    <w:p w14:paraId="1B949C56">
      <w:pPr>
        <w:keepNext w:val="0"/>
        <w:keepLines w:val="0"/>
        <w:pageBreakBefore w:val="0"/>
        <w:widowControl w:val="0"/>
        <w:overflowPunct/>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混凝土拌合系统冲洗废水污染物为SS、pH，针对混凝土冲洗废水具有间歇集中排放、废水量小的特点，将混凝土拌和系统冲洗废水经絮凝、中和沉淀后回用于拌和系统。拌和系统冲洗废水的SS排放浓度约为3000mg/L，pH值9～12。</w:t>
      </w:r>
    </w:p>
    <w:p w14:paraId="73FAD8B5">
      <w:pPr>
        <w:spacing w:line="360" w:lineRule="auto"/>
        <w:ind w:left="-63" w:firstLine="480"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由于混凝土拌和站冲洗废水污染物较为单一，且用水量不大，拟采用平流沉淀池进行处理，</w:t>
      </w:r>
      <w:r>
        <w:rPr>
          <w:rFonts w:hint="default" w:ascii="Times New Roman" w:hAnsi="Times New Roman" w:eastAsia="宋体" w:cs="Times New Roman"/>
          <w:color w:val="000000" w:themeColor="text1"/>
          <w:sz w:val="24"/>
          <w:szCs w:val="24"/>
          <w14:textFill>
            <w14:solidFill>
              <w14:schemeClr w14:val="tx1"/>
            </w14:solidFill>
          </w14:textFill>
        </w:rPr>
        <w:t>混凝土生产系统的冲洗废水处理后出水 SS≤100mg/L，处理达标后循环用于混凝土拌和用水</w:t>
      </w:r>
      <w:r>
        <w:rPr>
          <w:rFonts w:hint="default" w:ascii="Times New Roman" w:hAnsi="Times New Roman" w:eastAsia="仿宋" w:cs="Times New Roman"/>
          <w:color w:val="000000" w:themeColor="text1"/>
          <w:sz w:val="24"/>
          <w:szCs w:val="24"/>
          <w14:textFill>
            <w14:solidFill>
              <w14:schemeClr w14:val="tx1"/>
            </w14:solidFill>
          </w14:textFill>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本项目在大坝下游设1个混凝土拌和站，设置1台0.8m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3</w:t>
      </w:r>
      <w:r>
        <w:rPr>
          <w:rFonts w:hint="default" w:ascii="Times New Roman" w:hAnsi="Times New Roman" w:eastAsia="宋体" w:cs="Times New Roman"/>
          <w:color w:val="000000"/>
          <w:kern w:val="0"/>
          <w:sz w:val="24"/>
          <w:szCs w:val="24"/>
          <w:lang w:val="en-US" w:eastAsia="zh-CN" w:bidi="ar"/>
        </w:rPr>
        <w:t>强制式混凝土搅拌机，因此在</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混凝土拌和站</w:t>
      </w:r>
      <w:r>
        <w:rPr>
          <w:rFonts w:hint="default" w:ascii="Times New Roman" w:hAnsi="Times New Roman" w:eastAsia="宋体" w:cs="Times New Roman"/>
          <w:color w:val="000000"/>
          <w:kern w:val="0"/>
          <w:sz w:val="24"/>
          <w:szCs w:val="24"/>
          <w:lang w:val="en-US" w:eastAsia="zh-CN" w:bidi="ar"/>
        </w:rPr>
        <w:t>布置平流沉淀池1套，包括沉淀池1座，清水池1座。沉淀池的设计处理规模为2m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/d，停留时间为12h。处理流程见图5.1-1。</w:t>
      </w:r>
    </w:p>
    <w:p w14:paraId="32D8A4D1">
      <w:pPr>
        <w:spacing w:line="560" w:lineRule="exact"/>
        <w:ind w:left="-63" w:firstLine="480" w:firstLineChars="200"/>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drawing>
          <wp:anchor distT="0" distB="0" distL="0" distR="0" simplePos="0" relativeHeight="251673600" behindDoc="1" locked="0" layoutInCell="1" allowOverlap="1">
            <wp:simplePos x="0" y="0"/>
            <wp:positionH relativeFrom="page">
              <wp:posOffset>1414145</wp:posOffset>
            </wp:positionH>
            <wp:positionV relativeFrom="paragraph">
              <wp:posOffset>116205</wp:posOffset>
            </wp:positionV>
            <wp:extent cx="4224020" cy="1661160"/>
            <wp:effectExtent l="0" t="0" r="0" b="5715"/>
            <wp:wrapNone/>
            <wp:docPr id="415" name="image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460.png"/>
                    <pic:cNvPicPr>
                      <a:picLocks noChangeAspect="1"/>
                    </pic:cNvPicPr>
                  </pic:nvPicPr>
                  <pic:blipFill>
                    <a:blip r:embed="rId72" cstate="print"/>
                    <a:stretch>
                      <a:fillRect/>
                    </a:stretch>
                  </pic:blipFill>
                  <pic:spPr>
                    <a:xfrm>
                      <a:off x="0" y="0"/>
                      <a:ext cx="4224020" cy="1661160"/>
                    </a:xfrm>
                    <a:prstGeom prst="rect">
                      <a:avLst/>
                    </a:prstGeom>
                  </pic:spPr>
                </pic:pic>
              </a:graphicData>
            </a:graphic>
          </wp:anchor>
        </w:drawing>
      </w:r>
    </w:p>
    <w:p w14:paraId="39646460">
      <w:pPr>
        <w:spacing w:line="560" w:lineRule="exact"/>
        <w:ind w:left="-63" w:firstLine="480" w:firstLineChars="200"/>
        <w:rPr>
          <w:rFonts w:hint="default" w:ascii="Times New Roman" w:hAnsi="Times New Roman" w:cs="Times New Roman"/>
          <w:color w:val="000000" w:themeColor="text1"/>
          <w:sz w:val="24"/>
          <w:szCs w:val="24"/>
          <w14:textFill>
            <w14:solidFill>
              <w14:schemeClr w14:val="tx1"/>
            </w14:solidFill>
          </w14:textFill>
        </w:rPr>
      </w:pPr>
    </w:p>
    <w:p w14:paraId="161F44CD">
      <w:pPr>
        <w:spacing w:line="560" w:lineRule="exact"/>
        <w:ind w:left="-63" w:firstLine="480" w:firstLineChars="200"/>
        <w:rPr>
          <w:rFonts w:hint="default" w:ascii="Times New Roman" w:hAnsi="Times New Roman" w:cs="Times New Roman"/>
          <w:color w:val="000000" w:themeColor="text1"/>
          <w:sz w:val="24"/>
          <w:szCs w:val="24"/>
          <w14:textFill>
            <w14:solidFill>
              <w14:schemeClr w14:val="tx1"/>
            </w14:solidFill>
          </w14:textFill>
        </w:rPr>
      </w:pPr>
    </w:p>
    <w:p w14:paraId="33A8292A">
      <w:pPr>
        <w:spacing w:line="560" w:lineRule="exact"/>
        <w:ind w:left="-63" w:firstLine="480" w:firstLineChars="200"/>
        <w:rPr>
          <w:rFonts w:hint="default" w:ascii="Times New Roman" w:hAnsi="Times New Roman" w:cs="Times New Roman"/>
          <w:color w:val="000000" w:themeColor="text1"/>
          <w:sz w:val="24"/>
          <w:szCs w:val="24"/>
          <w14:textFill>
            <w14:solidFill>
              <w14:schemeClr w14:val="tx1"/>
            </w14:solidFill>
          </w14:textFill>
        </w:rPr>
      </w:pPr>
    </w:p>
    <w:p w14:paraId="3B78C7AE">
      <w:pPr>
        <w:spacing w:line="560" w:lineRule="exact"/>
        <w:ind w:left="-63" w:firstLine="480" w:firstLineChars="200"/>
        <w:rPr>
          <w:rFonts w:hint="default" w:ascii="Times New Roman" w:hAnsi="Times New Roman" w:cs="Times New Roman"/>
          <w:color w:val="000000" w:themeColor="text1"/>
          <w:sz w:val="24"/>
          <w:szCs w:val="24"/>
          <w14:textFill>
            <w14:solidFill>
              <w14:schemeClr w14:val="tx1"/>
            </w14:solidFill>
          </w14:textFill>
        </w:rPr>
      </w:pPr>
    </w:p>
    <w:p w14:paraId="1138B2E5">
      <w:pPr>
        <w:spacing w:line="360" w:lineRule="auto"/>
        <w:ind w:left="14" w:firstLine="480"/>
        <w:jc w:val="center"/>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图</w:t>
      </w:r>
      <w:r>
        <w:rPr>
          <w:rFonts w:hint="default" w:ascii="Times New Roman" w:hAnsi="Times New Roman" w:eastAsia="宋体" w:cs="Times New Roman"/>
          <w:b/>
          <w:bCs/>
          <w:color w:val="000000" w:themeColor="text1"/>
          <w:spacing w:val="-61"/>
          <w:sz w:val="24"/>
          <w:szCs w:val="24"/>
          <w14:textFill>
            <w14:solidFill>
              <w14:schemeClr w14:val="tx1"/>
            </w14:solidFill>
          </w14:textFill>
        </w:rPr>
        <w:t xml:space="preserve"> </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szCs w:val="24"/>
          <w14:textFill>
            <w14:solidFill>
              <w14:schemeClr w14:val="tx1"/>
            </w14:solidFill>
          </w14:textFill>
        </w:rPr>
        <w:t>.1-1</w:t>
      </w:r>
      <w:r>
        <w:rPr>
          <w:rFonts w:hint="default" w:ascii="Times New Roman" w:hAnsi="Times New Roman" w:eastAsia="宋体" w:cs="Times New Roman"/>
          <w:b/>
          <w:bCs/>
          <w:color w:val="000000" w:themeColor="text1"/>
          <w:sz w:val="24"/>
          <w:szCs w:val="24"/>
          <w14:textFill>
            <w14:solidFill>
              <w14:schemeClr w14:val="tx1"/>
            </w14:solidFill>
          </w14:textFill>
        </w:rPr>
        <w:tab/>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 xml:space="preserve">  混凝土拌和系统冲洗废水</w:t>
      </w:r>
      <w:r>
        <w:rPr>
          <w:rFonts w:hint="default" w:ascii="Times New Roman" w:hAnsi="Times New Roman" w:eastAsia="宋体" w:cs="Times New Roman"/>
          <w:b/>
          <w:bCs/>
          <w:color w:val="000000" w:themeColor="text1"/>
          <w:sz w:val="24"/>
          <w:szCs w:val="24"/>
          <w14:textFill>
            <w14:solidFill>
              <w14:schemeClr w14:val="tx1"/>
            </w14:solidFill>
          </w14:textFill>
        </w:rPr>
        <w:t>处理工艺流程图</w:t>
      </w:r>
    </w:p>
    <w:p w14:paraId="7A4D1342">
      <w:pPr>
        <w:spacing w:line="360" w:lineRule="auto"/>
        <w:ind w:left="-63"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②基坑废水</w:t>
      </w:r>
      <w:r>
        <w:rPr>
          <w:rFonts w:hint="default" w:ascii="Times New Roman" w:hAnsi="Times New Roman" w:eastAsia="宋体" w:cs="Times New Roman"/>
          <w:color w:val="000000"/>
          <w:kern w:val="0"/>
          <w:sz w:val="24"/>
          <w:szCs w:val="24"/>
          <w:lang w:val="en-US" w:eastAsia="zh-CN" w:bidi="ar"/>
        </w:rPr>
        <w:t>处理措施</w:t>
      </w:r>
    </w:p>
    <w:p w14:paraId="0E23C538">
      <w:pPr>
        <w:spacing w:line="360" w:lineRule="auto"/>
        <w:ind w:left="-63" w:firstLine="480" w:firstLineChars="200"/>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auto"/>
          <w:spacing w:val="0"/>
          <w:w w:val="100"/>
          <w:position w:val="0"/>
          <w:sz w:val="24"/>
          <w:szCs w:val="24"/>
          <w:u w:val="none" w:color="auto"/>
        </w:rPr>
        <w:t>本项目基坑废水</w:t>
      </w:r>
      <w:r>
        <w:rPr>
          <w:rFonts w:hint="default" w:ascii="Times New Roman" w:hAnsi="Times New Roman" w:eastAsia="宋体" w:cs="Times New Roman"/>
          <w:color w:val="auto"/>
          <w:spacing w:val="0"/>
          <w:w w:val="100"/>
          <w:position w:val="0"/>
          <w:sz w:val="24"/>
          <w:szCs w:val="24"/>
          <w:u w:val="none" w:color="auto"/>
          <w:lang w:eastAsia="zh-CN"/>
        </w:rPr>
        <w:t>通过修建沉淀池对废水进行收集沉淀</w:t>
      </w:r>
      <w:r>
        <w:rPr>
          <w:rFonts w:hint="default" w:ascii="Times New Roman" w:hAnsi="Times New Roman" w:eastAsia="宋体" w:cs="Times New Roman"/>
          <w:color w:val="auto"/>
          <w:spacing w:val="0"/>
          <w:w w:val="100"/>
          <w:position w:val="0"/>
          <w:sz w:val="24"/>
          <w:szCs w:val="24"/>
          <w:u w:val="none" w:color="auto"/>
        </w:rPr>
        <w:t>，同时投加絮凝剂静置</w:t>
      </w:r>
      <w:r>
        <w:rPr>
          <w:rFonts w:hint="default" w:ascii="Times New Roman" w:hAnsi="Times New Roman" w:eastAsia="宋体" w:cs="Times New Roman"/>
          <w:color w:val="auto"/>
          <w:spacing w:val="0"/>
          <w:w w:val="100"/>
          <w:position w:val="0"/>
          <w:sz w:val="24"/>
          <w:szCs w:val="24"/>
          <w:u w:val="none" w:color="auto"/>
          <w:lang w:val="en-US" w:eastAsia="zh-CN"/>
        </w:rPr>
        <w:t>4</w:t>
      </w:r>
      <w:r>
        <w:rPr>
          <w:rFonts w:hint="default" w:ascii="Times New Roman" w:hAnsi="Times New Roman" w:eastAsia="Times New Roman" w:cs="Times New Roman"/>
          <w:color w:val="auto"/>
          <w:spacing w:val="0"/>
          <w:w w:val="100"/>
          <w:position w:val="0"/>
          <w:sz w:val="24"/>
          <w:szCs w:val="24"/>
          <w:u w:val="none" w:color="auto"/>
        </w:rPr>
        <w:t>h</w:t>
      </w:r>
      <w:r>
        <w:rPr>
          <w:rFonts w:hint="default" w:ascii="Times New Roman" w:hAnsi="Times New Roman" w:eastAsia="宋体" w:cs="Times New Roman"/>
          <w:color w:val="auto"/>
          <w:spacing w:val="0"/>
          <w:w w:val="100"/>
          <w:position w:val="0"/>
          <w:sz w:val="24"/>
          <w:szCs w:val="24"/>
          <w:u w:val="none" w:color="auto"/>
        </w:rPr>
        <w:t>的处理方法处理后，经处理沉淀处理后上清液</w:t>
      </w:r>
      <w:r>
        <w:rPr>
          <w:rFonts w:hint="default" w:ascii="Times New Roman" w:hAnsi="Times New Roman" w:eastAsia="Times New Roman" w:cs="Times New Roman"/>
          <w:color w:val="auto"/>
          <w:spacing w:val="0"/>
          <w:w w:val="100"/>
          <w:position w:val="0"/>
          <w:sz w:val="24"/>
          <w:szCs w:val="24"/>
          <w:u w:val="none" w:color="auto"/>
        </w:rPr>
        <w:t>SS</w:t>
      </w:r>
      <w:r>
        <w:rPr>
          <w:rFonts w:hint="default" w:ascii="Times New Roman" w:hAnsi="Times New Roman" w:eastAsia="宋体" w:cs="Times New Roman"/>
          <w:color w:val="auto"/>
          <w:spacing w:val="0"/>
          <w:w w:val="100"/>
          <w:position w:val="0"/>
          <w:sz w:val="24"/>
          <w:szCs w:val="24"/>
          <w:u w:val="none" w:color="auto"/>
        </w:rPr>
        <w:t>的浓度降到</w:t>
      </w:r>
      <w:r>
        <w:rPr>
          <w:rFonts w:hint="default" w:ascii="Times New Roman" w:hAnsi="Times New Roman" w:eastAsia="Times New Roman" w:cs="Times New Roman"/>
          <w:color w:val="auto"/>
          <w:spacing w:val="0"/>
          <w:w w:val="100"/>
          <w:position w:val="0"/>
          <w:sz w:val="24"/>
          <w:szCs w:val="24"/>
          <w:u w:val="none" w:color="auto"/>
        </w:rPr>
        <w:t>60mg/L</w:t>
      </w:r>
      <w:r>
        <w:rPr>
          <w:rFonts w:hint="default" w:ascii="Times New Roman" w:hAnsi="Times New Roman" w:eastAsia="宋体" w:cs="Times New Roman"/>
          <w:color w:val="auto"/>
          <w:spacing w:val="0"/>
          <w:w w:val="100"/>
          <w:position w:val="0"/>
          <w:sz w:val="24"/>
          <w:szCs w:val="24"/>
          <w:u w:val="none" w:color="auto"/>
        </w:rPr>
        <w:t>左右，再由水泵抽出，回用于施工道路和施工区内洒水降尘、车辆清洗等，不外排</w:t>
      </w:r>
      <w:r>
        <w:rPr>
          <w:rFonts w:hint="default" w:ascii="Times New Roman" w:hAnsi="Times New Roman" w:eastAsia="宋体" w:cs="Times New Roman"/>
          <w:color w:val="auto"/>
          <w:spacing w:val="0"/>
          <w:w w:val="100"/>
          <w:position w:val="0"/>
          <w:sz w:val="24"/>
          <w:szCs w:val="24"/>
          <w:u w:val="none" w:color="auto"/>
          <w:lang w:eastAsia="zh-CN"/>
        </w:rPr>
        <w:t>。</w:t>
      </w:r>
    </w:p>
    <w:p w14:paraId="4249F31B">
      <w:pPr>
        <w:spacing w:line="360" w:lineRule="auto"/>
        <w:ind w:left="-63" w:firstLine="480" w:firstLineChars="200"/>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val="en-US" w:eastAsia="zh-CN"/>
        </w:rPr>
        <w:t xml:space="preserve">基坑经常性排水采用沉淀池处理在国内水电站项目中应用广泛，处理后废水中主要污染物（pH、SS）能够满足回用要求；该方案工艺简单，基建投资少，运行管理与维护方便、简单，费用低。因此，该处理方案是可行的。 </w:t>
      </w:r>
    </w:p>
    <w:p w14:paraId="7A6B86FF">
      <w:pPr>
        <w:spacing w:line="360" w:lineRule="auto"/>
        <w:ind w:left="-63"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 3 \* GB3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③</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lang w:eastAsia="zh-CN"/>
          <w14:textFill>
            <w14:solidFill>
              <w14:schemeClr w14:val="tx1"/>
            </w14:solidFill>
          </w14:textFill>
        </w:rPr>
        <w:t>帷幕灌浆施工废水</w:t>
      </w:r>
      <w:r>
        <w:rPr>
          <w:rFonts w:hint="default" w:ascii="Times New Roman" w:hAnsi="Times New Roman" w:eastAsia="宋体" w:cs="Times New Roman"/>
          <w:color w:val="000000"/>
          <w:kern w:val="0"/>
          <w:sz w:val="24"/>
          <w:szCs w:val="24"/>
          <w:lang w:val="en-US" w:eastAsia="zh-CN" w:bidi="ar"/>
        </w:rPr>
        <w:t>处理措施</w:t>
      </w:r>
    </w:p>
    <w:p w14:paraId="29A867C6">
      <w:pPr>
        <w:spacing w:line="360" w:lineRule="auto"/>
        <w:ind w:left="-63"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auto"/>
          <w:spacing w:val="0"/>
          <w:w w:val="100"/>
          <w:position w:val="0"/>
          <w:sz w:val="24"/>
          <w:szCs w:val="24"/>
          <w:u w:val="none" w:color="auto"/>
          <w:lang w:eastAsia="zh-CN"/>
        </w:rPr>
        <w:t>施工时制浆池内的泥浆通过导流管</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在各导墙槽内循环输送</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返上来的泥浆泵至制浆池内暂存后循环使用。</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灌浆施工场地设置截排水沟，出口处设置集水集浆池后回用，严禁施工废水流入饮用水源保护区</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施工结束后，灌浆废水在</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制浆池内沉淀、风干，</w:t>
      </w:r>
      <w:r>
        <w:rPr>
          <w:rFonts w:hint="default" w:ascii="Times New Roman" w:hAnsi="Times New Roman" w:eastAsia="宋体" w:cs="Times New Roman"/>
          <w:caps w:val="0"/>
          <w:smallCaps w:val="0"/>
          <w:color w:val="auto"/>
          <w:spacing w:val="0"/>
          <w:w w:val="100"/>
          <w:kern w:val="0"/>
          <w:position w:val="0"/>
          <w:sz w:val="24"/>
          <w:szCs w:val="24"/>
          <w:u w:val="none" w:color="auto"/>
        </w:rPr>
        <w:t>污泥</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清掏后</w:t>
      </w:r>
      <w:r>
        <w:rPr>
          <w:rFonts w:hint="default" w:ascii="Times New Roman" w:hAnsi="Times New Roman" w:eastAsia="宋体" w:cs="Times New Roman"/>
          <w:caps w:val="0"/>
          <w:smallCaps w:val="0"/>
          <w:color w:val="auto"/>
          <w:spacing w:val="0"/>
          <w:w w:val="100"/>
          <w:kern w:val="0"/>
          <w:position w:val="0"/>
          <w:sz w:val="24"/>
          <w:szCs w:val="24"/>
          <w:u w:val="none" w:color="auto"/>
        </w:rPr>
        <w:t>运至</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砖厂</w:t>
      </w:r>
      <w:r>
        <w:rPr>
          <w:rFonts w:hint="default" w:ascii="Times New Roman" w:hAnsi="Times New Roman" w:eastAsia="宋体" w:cs="Times New Roman"/>
          <w:caps w:val="0"/>
          <w:smallCaps w:val="0"/>
          <w:color w:val="auto"/>
          <w:spacing w:val="0"/>
          <w:w w:val="100"/>
          <w:kern w:val="0"/>
          <w:position w:val="0"/>
          <w:sz w:val="24"/>
          <w:szCs w:val="24"/>
          <w:u w:val="none" w:color="auto"/>
        </w:rPr>
        <w:t>处理</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bidi="ar-SA"/>
        </w:rPr>
        <w:t>帷幕灌浆施工废水不外排</w:t>
      </w:r>
      <w:r>
        <w:rPr>
          <w:rFonts w:hint="default" w:ascii="Times New Roman" w:hAnsi="Times New Roman" w:eastAsia="宋体" w:cs="Times New Roman"/>
          <w:color w:val="000000" w:themeColor="text1"/>
          <w:sz w:val="24"/>
          <w:szCs w:val="24"/>
          <w14:textFill>
            <w14:solidFill>
              <w14:schemeClr w14:val="tx1"/>
            </w14:solidFill>
          </w14:textFill>
        </w:rPr>
        <w:t>。</w:t>
      </w:r>
    </w:p>
    <w:p w14:paraId="743BB757">
      <w:pPr>
        <w:spacing w:line="360" w:lineRule="auto"/>
        <w:ind w:left="-63"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 4 \* GB3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④</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14:textFill>
            <w14:solidFill>
              <w14:schemeClr w14:val="tx1"/>
            </w14:solidFill>
          </w14:textFill>
        </w:rPr>
        <w:t>施工机械冲洗废水</w:t>
      </w:r>
      <w:r>
        <w:rPr>
          <w:rFonts w:hint="default" w:ascii="Times New Roman" w:hAnsi="Times New Roman" w:eastAsia="宋体" w:cs="Times New Roman"/>
          <w:color w:val="000000"/>
          <w:kern w:val="0"/>
          <w:sz w:val="24"/>
          <w:szCs w:val="24"/>
          <w:lang w:val="en-US" w:eastAsia="zh-CN" w:bidi="ar"/>
        </w:rPr>
        <w:t>处理措施</w:t>
      </w:r>
    </w:p>
    <w:p w14:paraId="06361B82">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FF0000"/>
          <w:spacing w:val="0"/>
          <w:w w:val="100"/>
          <w:position w:val="0"/>
          <w:sz w:val="24"/>
          <w:szCs w:val="24"/>
          <w:u w:val="none" w:color="auto"/>
        </w:rPr>
      </w:pPr>
      <w:r>
        <w:rPr>
          <w:rFonts w:hint="default" w:ascii="Times New Roman" w:hAnsi="Times New Roman" w:eastAsia="宋体" w:cs="Times New Roman"/>
          <w:color w:val="000000" w:themeColor="text1"/>
          <w:sz w:val="24"/>
          <w:szCs w:val="24"/>
          <w14:textFill>
            <w14:solidFill>
              <w14:schemeClr w14:val="tx1"/>
            </w14:solidFill>
          </w14:textFill>
        </w:rPr>
        <w:t>针对含油废水排放的特点，拟在机械停放场设置1处含油废水处理系统，</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施工期机械设备车辆冲洗含油废水产生量为5.4m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/d</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施工机械车辆定期冲洗将产生一定的含油废水，主要污染物为石油类和悬浮物，排放的废水中悬浮物约</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000mg/L、石油类约100mg/L。</w:t>
      </w:r>
    </w:p>
    <w:p w14:paraId="2F374BBE">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rPr>
        <w:t>在施工机械车辆停放、维修场地周围设置集水沟，收集清洗废水，</w:t>
      </w:r>
      <w:r>
        <w:rPr>
          <w:rFonts w:hint="default" w:ascii="Times New Roman" w:hAnsi="Times New Roman" w:eastAsia="宋体" w:cs="Times New Roman"/>
          <w:color w:val="auto"/>
          <w:spacing w:val="0"/>
          <w:w w:val="100"/>
          <w:position w:val="0"/>
          <w:sz w:val="24"/>
          <w:szCs w:val="24"/>
          <w:u w:val="none" w:color="auto"/>
          <w:lang w:val="en-US" w:eastAsia="zh-CN"/>
        </w:rPr>
        <w:t>并</w:t>
      </w:r>
      <w:r>
        <w:rPr>
          <w:rFonts w:hint="default" w:ascii="Times New Roman" w:hAnsi="Times New Roman" w:eastAsia="宋体" w:cs="Times New Roman"/>
          <w:color w:val="auto"/>
          <w:spacing w:val="0"/>
          <w:w w:val="100"/>
          <w:position w:val="0"/>
          <w:sz w:val="24"/>
          <w:szCs w:val="24"/>
          <w:u w:val="none" w:color="auto"/>
          <w:lang w:eastAsia="zh-CN"/>
        </w:rPr>
        <w:t>设置隔油沉淀池</w:t>
      </w:r>
      <w:r>
        <w:rPr>
          <w:rFonts w:hint="default" w:ascii="Times New Roman" w:hAnsi="Times New Roman" w:eastAsia="宋体" w:cs="Times New Roman"/>
          <w:color w:val="auto"/>
          <w:spacing w:val="0"/>
          <w:w w:val="100"/>
          <w:position w:val="0"/>
          <w:sz w:val="24"/>
          <w:szCs w:val="24"/>
          <w:u w:val="none" w:color="auto"/>
          <w:lang w:val="en-US" w:eastAsia="zh-CN"/>
        </w:rPr>
        <w:t>1座，经隔油沉淀处理后回用于</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施工场地、道路洒水抑尘不外排。</w:t>
      </w:r>
      <w:r>
        <w:rPr>
          <w:rFonts w:hint="default" w:ascii="Times New Roman" w:hAnsi="Times New Roman" w:eastAsia="宋体" w:cs="Times New Roman"/>
          <w:caps w:val="0"/>
          <w:smallCaps w:val="0"/>
          <w:color w:val="auto"/>
          <w:spacing w:val="0"/>
          <w:w w:val="100"/>
          <w:position w:val="0"/>
          <w:sz w:val="24"/>
          <w:szCs w:val="24"/>
          <w:u w:val="none" w:color="auto"/>
          <w:lang w:eastAsia="zh-CN"/>
        </w:rPr>
        <w:t>隔油沉淀池设计停留时间为</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4h，设计容积6m</w:t>
      </w:r>
      <w:r>
        <w:rPr>
          <w:rFonts w:hint="default" w:ascii="Times New Roman" w:hAnsi="Times New Roman" w:eastAsia="宋体" w:cs="Times New Roman"/>
          <w:caps w:val="0"/>
          <w:smallCaps w:val="0"/>
          <w:color w:val="auto"/>
          <w:spacing w:val="0"/>
          <w:w w:val="100"/>
          <w:position w:val="0"/>
          <w:sz w:val="24"/>
          <w:szCs w:val="24"/>
          <w:u w:val="none" w:color="auto"/>
          <w:vertAlign w:val="superscript"/>
          <w:lang w:val="en-US" w:eastAsia="zh-CN"/>
        </w:rPr>
        <w:t>3</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，设计尺寸2m×3m×1m。</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该处理系统对机械汽车停放场冲洗废水进行处理后可大大降低废水中悬浮物浓度，可用于场地洒水。该处理系统投资少，运行管理与维护方便，维护简单，费用低。因此，该处理方案是可行的。</w:t>
      </w:r>
    </w:p>
    <w:p w14:paraId="62AF97C8">
      <w:pPr>
        <w:keepNext w:val="0"/>
        <w:keepLines w:val="0"/>
        <w:pageBreakBefore w:val="0"/>
        <w:widowControl w:val="0"/>
        <w:kinsoku w:val="0"/>
        <w:wordWrap w:val="0"/>
        <w:overflowPunct/>
        <w:topLinePunct/>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pPr>
      <w:r>
        <w:rPr>
          <w:rFonts w:hint="default" w:ascii="Times New Roman" w:hAnsi="Times New Roman" w:eastAsia="宋体" w:cs="Times New Roman"/>
          <w:caps w:val="0"/>
          <w:smallCaps w:val="0"/>
          <w:color w:val="auto"/>
          <w:spacing w:val="0"/>
          <w:w w:val="100"/>
          <w:position w:val="0"/>
          <w:sz w:val="24"/>
          <w:szCs w:val="24"/>
          <w:highlight w:val="none"/>
          <w:u w:val="none" w:color="auto"/>
        </w:rPr>
        <w:t>（</w:t>
      </w:r>
      <w:r>
        <w:rPr>
          <w:rFonts w:hint="default" w:ascii="Times New Roman" w:hAnsi="Times New Roman" w:eastAsia="宋体" w:cs="Times New Roman"/>
          <w:caps w:val="0"/>
          <w:smallCaps w:val="0"/>
          <w:color w:val="auto"/>
          <w:spacing w:val="0"/>
          <w:w w:val="100"/>
          <w:position w:val="0"/>
          <w:sz w:val="24"/>
          <w:szCs w:val="24"/>
          <w:highlight w:val="none"/>
          <w:u w:val="none" w:color="auto"/>
          <w:lang w:val="en-US" w:eastAsia="zh-CN"/>
        </w:rPr>
        <w:t>3</w:t>
      </w:r>
      <w:r>
        <w:rPr>
          <w:rFonts w:hint="default" w:ascii="Times New Roman" w:hAnsi="Times New Roman" w:eastAsia="宋体" w:cs="Times New Roman"/>
          <w:caps w:val="0"/>
          <w:smallCaps w:val="0"/>
          <w:color w:val="auto"/>
          <w:spacing w:val="0"/>
          <w:w w:val="100"/>
          <w:position w:val="0"/>
          <w:sz w:val="24"/>
          <w:szCs w:val="24"/>
          <w:highlight w:val="none"/>
          <w:u w:val="none" w:color="auto"/>
        </w:rPr>
        <w:t>）</w:t>
      </w:r>
      <w:r>
        <w:rPr>
          <w:rFonts w:hint="default" w:ascii="Times New Roman" w:hAnsi="Times New Roman" w:eastAsia="宋体" w:cs="Times New Roman"/>
          <w:caps w:val="0"/>
          <w:smallCaps w:val="0"/>
          <w:color w:val="auto"/>
          <w:spacing w:val="0"/>
          <w:w w:val="100"/>
          <w:position w:val="0"/>
          <w:sz w:val="24"/>
          <w:szCs w:val="24"/>
          <w:highlight w:val="none"/>
          <w:u w:val="none" w:color="auto"/>
          <w:lang w:eastAsia="zh-CN"/>
        </w:rPr>
        <w:t>施工期生活污水</w:t>
      </w:r>
    </w:p>
    <w:p w14:paraId="28757483">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FF0000"/>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val="en-US" w:eastAsia="zh-CN"/>
        </w:rPr>
        <w:t>本项目施工现场不设置施工营地，也无工地食堂和工地宿舍，施工人员分散租用附近民房，生活污水利用周边已有的生活设施进行处理。</w:t>
      </w:r>
    </w:p>
    <w:p w14:paraId="1C9FA3D1">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val="en-US" w:eastAsia="zh-CN"/>
        </w:rPr>
        <w:t>4</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饮用水源保护措施</w:t>
      </w:r>
    </w:p>
    <w:p w14:paraId="29A58472">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①避让措施</w:t>
      </w:r>
    </w:p>
    <w:p w14:paraId="2A9B4B35">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eastAsia="zh-CN"/>
        </w:rPr>
        <w:t>施工设备堆放区及施工工厂等不得位于一级水源保护区范围内，</w:t>
      </w:r>
      <w:r>
        <w:rPr>
          <w:rFonts w:hint="default" w:ascii="Times New Roman" w:hAnsi="Times New Roman" w:eastAsia="宋体" w:cs="Times New Roman"/>
          <w:color w:val="auto"/>
          <w:spacing w:val="0"/>
          <w:w w:val="100"/>
          <w:position w:val="0"/>
          <w:sz w:val="24"/>
          <w:szCs w:val="24"/>
          <w:u w:val="none" w:color="auto"/>
        </w:rPr>
        <w:t>最大程度的减小项目施工对饮用水源的影响。此外，施工期间应控制施工作业带范围，尽量减少施工扰动面积。</w:t>
      </w:r>
    </w:p>
    <w:p w14:paraId="5EBA7767">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②取水口防护措施</w:t>
      </w:r>
    </w:p>
    <w:p w14:paraId="50F5FE3B">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本环评要求合理安排靠近取水口工程的施工时间，施工前通知水厂，以便水厂及时应对水质变化情况，同时施工过程中加强施工期间取水口附近水质监测， 若发生水质超标情况，及时通知水厂并考虑暂停施工。</w:t>
      </w:r>
    </w:p>
    <w:p w14:paraId="08D051E9">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③生产生活废水处理措施</w:t>
      </w:r>
    </w:p>
    <w:p w14:paraId="624E5440">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根据工程施工布置，施工期间要加强施工管理，杜绝在</w:t>
      </w:r>
      <w:r>
        <w:rPr>
          <w:rFonts w:hint="default" w:ascii="Times New Roman" w:hAnsi="Times New Roman" w:eastAsia="宋体" w:cs="Times New Roman"/>
          <w:color w:val="auto"/>
          <w:spacing w:val="0"/>
          <w:w w:val="100"/>
          <w:position w:val="0"/>
          <w:sz w:val="24"/>
          <w:szCs w:val="24"/>
          <w:u w:val="none" w:color="auto"/>
          <w:lang w:eastAsia="zh-CN"/>
        </w:rPr>
        <w:t>水源保护区范围</w:t>
      </w:r>
      <w:r>
        <w:rPr>
          <w:rFonts w:hint="default" w:ascii="Times New Roman" w:hAnsi="Times New Roman" w:eastAsia="宋体" w:cs="Times New Roman"/>
          <w:color w:val="auto"/>
          <w:spacing w:val="0"/>
          <w:w w:val="100"/>
          <w:position w:val="0"/>
          <w:sz w:val="24"/>
          <w:szCs w:val="24"/>
          <w:u w:val="none" w:color="auto"/>
        </w:rPr>
        <w:t>内清洗施工机械、车辆以及冲洗建材等情况。严格落实环评提出的水环境保护要求，</w:t>
      </w:r>
      <w:r>
        <w:rPr>
          <w:rFonts w:hint="default" w:ascii="Times New Roman" w:hAnsi="Times New Roman" w:eastAsia="宋体" w:cs="Times New Roman"/>
          <w:color w:val="auto"/>
          <w:spacing w:val="0"/>
          <w:w w:val="100"/>
          <w:position w:val="0"/>
          <w:sz w:val="24"/>
          <w:szCs w:val="24"/>
          <w:u w:val="none" w:color="auto"/>
          <w:lang w:val="en-US" w:eastAsia="zh-CN"/>
        </w:rPr>
        <w:t>各类废水</w:t>
      </w:r>
      <w:r>
        <w:rPr>
          <w:rFonts w:hint="default" w:ascii="Times New Roman" w:hAnsi="Times New Roman" w:eastAsia="宋体" w:cs="Times New Roman"/>
          <w:color w:val="auto"/>
          <w:spacing w:val="0"/>
          <w:w w:val="100"/>
          <w:position w:val="0"/>
          <w:sz w:val="24"/>
          <w:szCs w:val="24"/>
          <w:u w:val="none" w:color="auto"/>
        </w:rPr>
        <w:t>严禁排入水库。</w:t>
      </w:r>
    </w:p>
    <w:p w14:paraId="5829D82A">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④生活垃圾处理措施</w:t>
      </w:r>
    </w:p>
    <w:p w14:paraId="53F2604C">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根据施工人员数量，在施工区配置垃圾桶用于收集垃圾，并</w:t>
      </w:r>
      <w:r>
        <w:rPr>
          <w:rFonts w:hint="default" w:ascii="Times New Roman" w:hAnsi="Times New Roman" w:eastAsia="宋体" w:cs="Times New Roman"/>
          <w:color w:val="auto"/>
          <w:spacing w:val="0"/>
          <w:w w:val="100"/>
          <w:position w:val="0"/>
          <w:sz w:val="24"/>
          <w:szCs w:val="24"/>
          <w:u w:val="none" w:color="auto"/>
          <w:lang w:eastAsia="zh-CN"/>
        </w:rPr>
        <w:t>安排</w:t>
      </w:r>
      <w:r>
        <w:rPr>
          <w:rFonts w:hint="default" w:ascii="Times New Roman" w:hAnsi="Times New Roman" w:eastAsia="宋体" w:cs="Times New Roman"/>
          <w:color w:val="auto"/>
          <w:spacing w:val="0"/>
          <w:w w:val="100"/>
          <w:position w:val="0"/>
          <w:sz w:val="24"/>
          <w:szCs w:val="24"/>
          <w:u w:val="none" w:color="auto"/>
        </w:rPr>
        <w:t>专人进行垃圾集中收集和清理，生活垃圾收集后交由当地环卫部门</w:t>
      </w:r>
      <w:r>
        <w:rPr>
          <w:rFonts w:hint="default" w:ascii="Times New Roman" w:hAnsi="Times New Roman" w:eastAsia="宋体" w:cs="Times New Roman"/>
          <w:color w:val="auto"/>
          <w:spacing w:val="0"/>
          <w:w w:val="100"/>
          <w:position w:val="0"/>
          <w:sz w:val="24"/>
          <w:szCs w:val="24"/>
          <w:u w:val="none" w:color="auto"/>
          <w:lang w:eastAsia="zh-CN"/>
        </w:rPr>
        <w:t>清运</w:t>
      </w:r>
      <w:r>
        <w:rPr>
          <w:rFonts w:hint="default" w:ascii="Times New Roman" w:hAnsi="Times New Roman" w:eastAsia="宋体" w:cs="Times New Roman"/>
          <w:color w:val="auto"/>
          <w:spacing w:val="0"/>
          <w:w w:val="100"/>
          <w:position w:val="0"/>
          <w:sz w:val="24"/>
          <w:szCs w:val="24"/>
          <w:u w:val="none" w:color="auto"/>
        </w:rPr>
        <w:t>处置。</w:t>
      </w:r>
    </w:p>
    <w:p w14:paraId="7E74FCFD">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fldChar w:fldCharType="begin"/>
      </w:r>
      <w:r>
        <w:rPr>
          <w:rFonts w:hint="default" w:ascii="Times New Roman" w:hAnsi="Times New Roman" w:eastAsia="宋体" w:cs="Times New Roman"/>
          <w:color w:val="auto"/>
          <w:spacing w:val="0"/>
          <w:w w:val="100"/>
          <w:position w:val="0"/>
          <w:sz w:val="24"/>
          <w:szCs w:val="24"/>
          <w:u w:val="none" w:color="auto"/>
        </w:rPr>
        <w:instrText xml:space="preserve"> = 5 \* GB3 \* MERGEFORMAT </w:instrText>
      </w:r>
      <w:r>
        <w:rPr>
          <w:rFonts w:hint="default" w:ascii="Times New Roman" w:hAnsi="Times New Roman" w:eastAsia="宋体" w:cs="Times New Roman"/>
          <w:color w:val="auto"/>
          <w:spacing w:val="0"/>
          <w:w w:val="100"/>
          <w:position w:val="0"/>
          <w:sz w:val="24"/>
          <w:szCs w:val="24"/>
          <w:u w:val="none" w:color="auto"/>
        </w:rPr>
        <w:fldChar w:fldCharType="separate"/>
      </w:r>
      <w:r>
        <w:rPr>
          <w:rFonts w:hint="default" w:ascii="Times New Roman" w:hAnsi="Times New Roman" w:cs="Times New Roman"/>
          <w:color w:val="auto"/>
          <w:spacing w:val="0"/>
          <w:w w:val="100"/>
          <w:position w:val="0"/>
          <w:sz w:val="24"/>
          <w:szCs w:val="24"/>
          <w:u w:val="none" w:color="auto"/>
        </w:rPr>
        <w:t>⑤</w:t>
      </w:r>
      <w:r>
        <w:rPr>
          <w:rFonts w:hint="default" w:ascii="Times New Roman" w:hAnsi="Times New Roman" w:eastAsia="宋体" w:cs="Times New Roman"/>
          <w:color w:val="auto"/>
          <w:spacing w:val="0"/>
          <w:w w:val="100"/>
          <w:position w:val="0"/>
          <w:sz w:val="24"/>
          <w:szCs w:val="24"/>
          <w:u w:val="none" w:color="auto"/>
        </w:rPr>
        <w:fldChar w:fldCharType="end"/>
      </w:r>
      <w:r>
        <w:rPr>
          <w:rFonts w:hint="default" w:ascii="Times New Roman" w:hAnsi="Times New Roman" w:eastAsia="宋体" w:cs="Times New Roman"/>
          <w:color w:val="auto"/>
          <w:spacing w:val="0"/>
          <w:w w:val="100"/>
          <w:position w:val="0"/>
          <w:sz w:val="24"/>
          <w:szCs w:val="24"/>
          <w:u w:val="none" w:color="auto"/>
        </w:rPr>
        <w:t>水土保持措施</w:t>
      </w:r>
    </w:p>
    <w:p w14:paraId="3AFCE40D">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严格落实水土保持方案提出的各项水土保持措施，禁止在水源保护区违规堆土堆渣，及时清理施工杂物，工程</w:t>
      </w:r>
      <w:r>
        <w:rPr>
          <w:rFonts w:hint="default" w:ascii="Times New Roman" w:hAnsi="Times New Roman" w:eastAsia="宋体" w:cs="Times New Roman"/>
          <w:color w:val="auto"/>
          <w:spacing w:val="0"/>
          <w:w w:val="100"/>
          <w:position w:val="0"/>
          <w:sz w:val="24"/>
          <w:szCs w:val="24"/>
          <w:u w:val="none" w:color="auto"/>
          <w:lang w:eastAsia="zh-CN"/>
        </w:rPr>
        <w:t>弃土</w:t>
      </w:r>
      <w:r>
        <w:rPr>
          <w:rFonts w:hint="default" w:ascii="Times New Roman" w:hAnsi="Times New Roman" w:eastAsia="宋体" w:cs="Times New Roman"/>
          <w:color w:val="auto"/>
          <w:spacing w:val="0"/>
          <w:w w:val="100"/>
          <w:position w:val="0"/>
          <w:sz w:val="24"/>
          <w:szCs w:val="24"/>
          <w:u w:val="none" w:color="auto"/>
        </w:rPr>
        <w:t>及时运往</w:t>
      </w:r>
      <w:r>
        <w:rPr>
          <w:rFonts w:hint="default" w:ascii="Times New Roman" w:hAnsi="Times New Roman" w:eastAsia="宋体" w:cs="Times New Roman"/>
          <w:color w:val="auto"/>
          <w:spacing w:val="0"/>
          <w:w w:val="100"/>
          <w:position w:val="0"/>
          <w:sz w:val="24"/>
          <w:szCs w:val="24"/>
          <w:u w:val="none" w:color="auto"/>
          <w:lang w:val="en-US" w:eastAsia="zh-CN"/>
        </w:rPr>
        <w:t>弃土场</w:t>
      </w:r>
      <w:r>
        <w:rPr>
          <w:rFonts w:hint="default" w:ascii="Times New Roman" w:hAnsi="Times New Roman" w:eastAsia="宋体" w:cs="Times New Roman"/>
          <w:color w:val="auto"/>
          <w:spacing w:val="0"/>
          <w:w w:val="100"/>
          <w:position w:val="0"/>
          <w:sz w:val="24"/>
          <w:szCs w:val="24"/>
          <w:u w:val="none" w:color="auto"/>
        </w:rPr>
        <w:t>，工程开挖临时</w:t>
      </w:r>
      <w:r>
        <w:rPr>
          <w:rFonts w:hint="default" w:ascii="Times New Roman" w:hAnsi="Times New Roman" w:eastAsia="宋体" w:cs="Times New Roman"/>
          <w:color w:val="auto"/>
          <w:spacing w:val="0"/>
          <w:w w:val="100"/>
          <w:position w:val="0"/>
          <w:sz w:val="24"/>
          <w:szCs w:val="24"/>
          <w:u w:val="none" w:color="auto"/>
          <w:lang w:eastAsia="zh-CN"/>
        </w:rPr>
        <w:t>弃土</w:t>
      </w:r>
      <w:r>
        <w:rPr>
          <w:rFonts w:hint="default" w:ascii="Times New Roman" w:hAnsi="Times New Roman" w:eastAsia="宋体" w:cs="Times New Roman"/>
          <w:color w:val="auto"/>
          <w:spacing w:val="0"/>
          <w:w w:val="100"/>
          <w:position w:val="0"/>
          <w:sz w:val="24"/>
          <w:szCs w:val="24"/>
          <w:u w:val="none" w:color="auto"/>
        </w:rPr>
        <w:t>做好围挡、遮盖等工作，用地使用结束后尽快进行绿化恢复，避免水土流失影响。</w:t>
      </w:r>
    </w:p>
    <w:p w14:paraId="3A3D9BEE">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⑥监督管理要求</w:t>
      </w:r>
    </w:p>
    <w:p w14:paraId="4BE14A4D">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加强饮用水水源保护区内的施工人员管理和宣传教育工作，提高施工人员对水源保护的意识，并在饮用水水源保护区内和各施工营地设置宣传警示标牌，写明保护要求和禁止事项；加强施工管理，</w:t>
      </w:r>
      <w:r>
        <w:rPr>
          <w:rFonts w:hint="default" w:ascii="Times New Roman" w:hAnsi="Times New Roman" w:eastAsia="宋体" w:cs="Times New Roman"/>
          <w:color w:val="auto"/>
          <w:spacing w:val="0"/>
          <w:w w:val="100"/>
          <w:position w:val="0"/>
          <w:sz w:val="24"/>
          <w:szCs w:val="24"/>
          <w:u w:val="none" w:color="auto"/>
          <w:lang w:eastAsia="zh-CN"/>
        </w:rPr>
        <w:t>预防</w:t>
      </w:r>
      <w:r>
        <w:rPr>
          <w:rFonts w:hint="default" w:ascii="Times New Roman" w:hAnsi="Times New Roman" w:eastAsia="宋体" w:cs="Times New Roman"/>
          <w:color w:val="auto"/>
          <w:spacing w:val="0"/>
          <w:w w:val="100"/>
          <w:position w:val="0"/>
          <w:sz w:val="24"/>
          <w:szCs w:val="24"/>
          <w:u w:val="none" w:color="auto"/>
        </w:rPr>
        <w:t>饮用水水源保护区施工段车辆油料泄漏，安排专人加强施工机械设备的维护；严格控制施工范围和施工强度，禁止在水源保护区内开展一切不必要的活动；加强施工过程的监督， 配备专职和兼职管理人员，专门负责工程涉及到的饮用水水源保护区的水质安全管理问题，定期或不定期沿线巡查，对施工期可能发生的水环境污染事件进行有效监控， 发现问题及时上报，查找原因并予以控制；制定水污染事件的应急预案，落实各项应急措施，建立健全环境事故责任制和责任追究制。</w:t>
      </w:r>
    </w:p>
    <w:p w14:paraId="6DD9EAED">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 xml:space="preserve">   </w:t>
      </w:r>
      <w:r>
        <w:rPr>
          <w:rFonts w:hint="default" w:ascii="Times New Roman" w:hAnsi="Times New Roman" w:eastAsia="宋体" w:cs="Times New Roman"/>
          <w:color w:val="auto"/>
          <w:spacing w:val="0"/>
          <w:w w:val="100"/>
          <w:position w:val="0"/>
          <w:sz w:val="24"/>
          <w:szCs w:val="24"/>
          <w:u w:val="none" w:color="auto"/>
          <w:lang w:val="en-US" w:eastAsia="zh-CN"/>
        </w:rPr>
        <w:fldChar w:fldCharType="begin"/>
      </w:r>
      <w:r>
        <w:rPr>
          <w:rFonts w:hint="default" w:ascii="Times New Roman" w:hAnsi="Times New Roman" w:eastAsia="宋体" w:cs="Times New Roman"/>
          <w:color w:val="auto"/>
          <w:spacing w:val="0"/>
          <w:w w:val="100"/>
          <w:position w:val="0"/>
          <w:sz w:val="24"/>
          <w:szCs w:val="24"/>
          <w:u w:val="none" w:color="auto"/>
          <w:lang w:val="en-US" w:eastAsia="zh-CN"/>
        </w:rPr>
        <w:instrText xml:space="preserve"> = 7 \* GB3 \* MERGEFORMAT </w:instrText>
      </w:r>
      <w:r>
        <w:rPr>
          <w:rFonts w:hint="default" w:ascii="Times New Roman" w:hAnsi="Times New Roman" w:eastAsia="宋体" w:cs="Times New Roman"/>
          <w:color w:val="auto"/>
          <w:spacing w:val="0"/>
          <w:w w:val="100"/>
          <w:position w:val="0"/>
          <w:sz w:val="24"/>
          <w:szCs w:val="24"/>
          <w:u w:val="none" w:color="auto"/>
          <w:lang w:val="en-US" w:eastAsia="zh-CN"/>
        </w:rPr>
        <w:fldChar w:fldCharType="separate"/>
      </w:r>
      <w:r>
        <w:rPr>
          <w:rFonts w:hint="default" w:ascii="Times New Roman" w:hAnsi="Times New Roman" w:cs="Times New Roman"/>
          <w:color w:val="auto"/>
        </w:rPr>
        <w:t>⑦</w:t>
      </w:r>
      <w:r>
        <w:rPr>
          <w:rFonts w:hint="default" w:ascii="Times New Roman" w:hAnsi="Times New Roman" w:eastAsia="宋体" w:cs="Times New Roman"/>
          <w:color w:val="auto"/>
          <w:spacing w:val="0"/>
          <w:w w:val="100"/>
          <w:position w:val="0"/>
          <w:sz w:val="24"/>
          <w:szCs w:val="24"/>
          <w:u w:val="none" w:color="auto"/>
          <w:lang w:val="en-US" w:eastAsia="zh-CN"/>
        </w:rPr>
        <w:fldChar w:fldCharType="end"/>
      </w:r>
      <w:r>
        <w:rPr>
          <w:rFonts w:hint="default" w:ascii="Times New Roman" w:hAnsi="Times New Roman" w:eastAsia="宋体" w:cs="Times New Roman"/>
          <w:color w:val="auto"/>
          <w:spacing w:val="0"/>
          <w:w w:val="100"/>
          <w:position w:val="0"/>
          <w:sz w:val="24"/>
          <w:szCs w:val="24"/>
          <w:u w:val="none" w:color="auto"/>
          <w:lang w:val="en-US" w:eastAsia="zh-CN"/>
        </w:rPr>
        <w:t>应急措施</w:t>
      </w:r>
    </w:p>
    <w:p w14:paraId="6AC6965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若因为大坝施工导致大坝附近重金属超标污染，则将启动应急预案，远离取水口进行水泵提水。确有必要时启动政府应急供水，即时启用村民原有水源，并对水源缺乏区域采取供水车送水保饮水。</w:t>
      </w:r>
    </w:p>
    <w:p w14:paraId="234BDE0E">
      <w:pPr>
        <w:pStyle w:val="4"/>
        <w:bidi w:val="0"/>
        <w:rPr>
          <w:rFonts w:hint="default" w:ascii="Times New Roman" w:hAnsi="Times New Roman" w:eastAsia="宋体" w:cs="Times New Roman"/>
          <w:b/>
          <w:caps w:val="0"/>
          <w:smallCaps w:val="0"/>
          <w:color w:val="auto"/>
          <w:spacing w:val="0"/>
          <w:w w:val="100"/>
          <w:position w:val="0"/>
          <w:sz w:val="24"/>
          <w:szCs w:val="24"/>
          <w:u w:val="none" w:color="auto"/>
        </w:rPr>
      </w:pPr>
      <w:bookmarkStart w:id="332" w:name="_Toc14507"/>
      <w:r>
        <w:rPr>
          <w:rFonts w:hint="default" w:ascii="Times New Roman" w:hAnsi="Times New Roman" w:eastAsia="宋体" w:cs="Times New Roman"/>
          <w:b/>
          <w:caps w:val="0"/>
          <w:smallCaps w:val="0"/>
          <w:color w:val="auto"/>
          <w:spacing w:val="0"/>
          <w:w w:val="100"/>
          <w:position w:val="0"/>
          <w:sz w:val="24"/>
          <w:szCs w:val="24"/>
          <w:u w:val="none" w:color="auto"/>
          <w:lang w:val="en-US" w:eastAsia="zh-CN"/>
        </w:rPr>
        <w:t>施工期</w:t>
      </w:r>
      <w:r>
        <w:rPr>
          <w:rFonts w:hint="default" w:ascii="Times New Roman" w:hAnsi="Times New Roman" w:eastAsia="宋体" w:cs="Times New Roman"/>
          <w:b/>
          <w:caps w:val="0"/>
          <w:smallCaps w:val="0"/>
          <w:color w:val="auto"/>
          <w:spacing w:val="0"/>
          <w:w w:val="100"/>
          <w:position w:val="0"/>
          <w:sz w:val="24"/>
          <w:szCs w:val="24"/>
          <w:u w:val="none" w:color="auto"/>
        </w:rPr>
        <w:t>地下水环境保护措施</w:t>
      </w:r>
      <w:bookmarkEnd w:id="332"/>
    </w:p>
    <w:p w14:paraId="7AC7ACBB">
      <w:pPr>
        <w:keepNext w:val="0"/>
        <w:keepLines w:val="0"/>
        <w:pageBreakBefore w:val="0"/>
        <w:widowControl w:val="0"/>
        <w:kinsoku w:val="0"/>
        <w:wordWrap w:val="0"/>
        <w:overflowPunct/>
        <w:topLinePunct/>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对于废水污染防治措施，除严格去落实以上针对地表水污染的防治措施外，对地下水提出下面的防治措施。防止地下水污染的主要措施是切断污染物进入地下水环境的途径。对本项目而言，为防止项目施工期废水对地下水环境造成污染，采取以下措施：</w:t>
      </w:r>
    </w:p>
    <w:p w14:paraId="27D88676">
      <w:pPr>
        <w:keepNext w:val="0"/>
        <w:keepLines w:val="0"/>
        <w:pageBreakBefore w:val="0"/>
        <w:widowControl w:val="0"/>
        <w:overflowPunct/>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Times New Roman" w:cs="Times New Roman"/>
          <w:color w:val="auto"/>
          <w:spacing w:val="0"/>
          <w:w w:val="100"/>
          <w:position w:val="0"/>
          <w:sz w:val="24"/>
          <w:szCs w:val="24"/>
          <w:u w:val="none" w:color="auto"/>
        </w:rPr>
        <w:t>1</w:t>
      </w:r>
      <w:r>
        <w:rPr>
          <w:rFonts w:hint="default" w:ascii="Times New Roman" w:hAnsi="Times New Roman" w:eastAsia="宋体" w:cs="Times New Roman"/>
          <w:color w:val="auto"/>
          <w:spacing w:val="0"/>
          <w:w w:val="100"/>
          <w:position w:val="0"/>
          <w:sz w:val="24"/>
          <w:szCs w:val="24"/>
          <w:u w:val="none" w:color="auto"/>
        </w:rPr>
        <w:t>)按照本环评提出的各项废污水处理措施，确保工程施工过程中各废污水的处理和回用，各项废污水处理构筑物(如沉淀池、隔油池等)应做好防渗措施，防止污染物入渗影响地下水水质。</w:t>
      </w:r>
    </w:p>
    <w:p w14:paraId="1DAA9322">
      <w:pPr>
        <w:keepNext w:val="0"/>
        <w:keepLines w:val="0"/>
        <w:pageBreakBefore w:val="0"/>
        <w:widowControl w:val="0"/>
        <w:overflowPunct/>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Times New Roman" w:cs="Times New Roman"/>
          <w:color w:val="auto"/>
          <w:spacing w:val="0"/>
          <w:w w:val="100"/>
          <w:position w:val="0"/>
          <w:sz w:val="24"/>
          <w:szCs w:val="24"/>
          <w:u w:val="none" w:color="auto"/>
        </w:rPr>
        <w:t>2</w:t>
      </w:r>
      <w:r>
        <w:rPr>
          <w:rFonts w:hint="default" w:ascii="Times New Roman" w:hAnsi="Times New Roman" w:eastAsia="宋体" w:cs="Times New Roman"/>
          <w:color w:val="auto"/>
          <w:spacing w:val="0"/>
          <w:w w:val="100"/>
          <w:position w:val="0"/>
          <w:sz w:val="24"/>
          <w:szCs w:val="24"/>
          <w:u w:val="none" w:color="auto"/>
        </w:rPr>
        <w:t>)严禁雨季施工污废水乱排、乱放。根据各工程段降雨特征和工地实际情况设置好排水设施，制定雨季具体排水方案，避免雨季排水不畅</w:t>
      </w:r>
      <w:r>
        <w:rPr>
          <w:rFonts w:hint="default" w:ascii="Times New Roman" w:hAnsi="Times New Roman" w:eastAsia="宋体" w:cs="Times New Roman"/>
          <w:color w:val="auto"/>
          <w:spacing w:val="0"/>
          <w:w w:val="100"/>
          <w:position w:val="0"/>
          <w:sz w:val="24"/>
          <w:szCs w:val="24"/>
          <w:u w:val="none" w:color="auto"/>
          <w:lang w:eastAsia="zh-CN"/>
        </w:rPr>
        <w:t>渗入</w:t>
      </w:r>
      <w:r>
        <w:rPr>
          <w:rFonts w:hint="default" w:ascii="Times New Roman" w:hAnsi="Times New Roman" w:eastAsia="宋体" w:cs="Times New Roman"/>
          <w:color w:val="auto"/>
          <w:spacing w:val="0"/>
          <w:w w:val="100"/>
          <w:position w:val="0"/>
          <w:sz w:val="24"/>
          <w:szCs w:val="24"/>
          <w:u w:val="none" w:color="auto"/>
        </w:rPr>
        <w:t>土壤等事故发生。</w:t>
      </w:r>
    </w:p>
    <w:p w14:paraId="6B4D5C9D">
      <w:pPr>
        <w:keepNext w:val="0"/>
        <w:keepLines w:val="0"/>
        <w:pageBreakBefore w:val="0"/>
        <w:widowControl w:val="0"/>
        <w:overflowPunct/>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Times New Roman" w:cs="Times New Roman"/>
          <w:color w:val="auto"/>
          <w:spacing w:val="0"/>
          <w:w w:val="100"/>
          <w:position w:val="0"/>
          <w:sz w:val="24"/>
          <w:szCs w:val="24"/>
          <w:u w:val="none" w:color="auto"/>
        </w:rPr>
        <w:t>3</w:t>
      </w:r>
      <w:r>
        <w:rPr>
          <w:rFonts w:hint="default" w:ascii="Times New Roman" w:hAnsi="Times New Roman" w:eastAsia="宋体" w:cs="Times New Roman"/>
          <w:color w:val="auto"/>
          <w:spacing w:val="0"/>
          <w:w w:val="100"/>
          <w:position w:val="0"/>
          <w:sz w:val="24"/>
          <w:szCs w:val="24"/>
          <w:u w:val="none" w:color="auto"/>
        </w:rPr>
        <w:t>)工程使用的燃油</w:t>
      </w:r>
      <w:r>
        <w:rPr>
          <w:rFonts w:hint="default" w:ascii="Times New Roman" w:hAnsi="Times New Roman" w:eastAsia="宋体" w:cs="Times New Roman"/>
          <w:color w:val="auto"/>
          <w:spacing w:val="0"/>
          <w:w w:val="100"/>
          <w:position w:val="0"/>
          <w:sz w:val="24"/>
          <w:szCs w:val="24"/>
          <w:u w:val="none" w:color="auto"/>
          <w:lang w:val="en-US" w:eastAsia="zh-CN"/>
        </w:rPr>
        <w:t>机械设备</w:t>
      </w:r>
      <w:r>
        <w:rPr>
          <w:rFonts w:hint="default" w:ascii="Times New Roman" w:hAnsi="Times New Roman" w:eastAsia="宋体" w:cs="Times New Roman"/>
          <w:color w:val="auto"/>
          <w:spacing w:val="0"/>
          <w:w w:val="100"/>
          <w:position w:val="0"/>
          <w:sz w:val="24"/>
          <w:szCs w:val="24"/>
          <w:u w:val="none" w:color="auto"/>
          <w:lang w:eastAsia="zh-CN"/>
        </w:rPr>
        <w:t>安排</w:t>
      </w:r>
      <w:r>
        <w:rPr>
          <w:rFonts w:hint="default" w:ascii="Times New Roman" w:hAnsi="Times New Roman" w:eastAsia="宋体" w:cs="Times New Roman"/>
          <w:color w:val="auto"/>
          <w:spacing w:val="0"/>
          <w:w w:val="100"/>
          <w:position w:val="0"/>
          <w:sz w:val="24"/>
          <w:szCs w:val="24"/>
          <w:u w:val="none" w:color="auto"/>
        </w:rPr>
        <w:t>专人负责</w:t>
      </w:r>
      <w:r>
        <w:rPr>
          <w:rFonts w:hint="default" w:ascii="Times New Roman" w:hAnsi="Times New Roman" w:eastAsia="宋体" w:cs="Times New Roman"/>
          <w:color w:val="auto"/>
          <w:spacing w:val="0"/>
          <w:w w:val="100"/>
          <w:position w:val="0"/>
          <w:sz w:val="24"/>
          <w:szCs w:val="24"/>
          <w:u w:val="none" w:color="auto"/>
          <w:lang w:val="en-US" w:eastAsia="zh-CN"/>
        </w:rPr>
        <w:t>管理，及时保养</w:t>
      </w:r>
      <w:r>
        <w:rPr>
          <w:rFonts w:hint="default" w:ascii="Times New Roman" w:hAnsi="Times New Roman" w:eastAsia="宋体" w:cs="Times New Roman"/>
          <w:color w:val="auto"/>
          <w:spacing w:val="0"/>
          <w:w w:val="100"/>
          <w:position w:val="0"/>
          <w:sz w:val="24"/>
          <w:szCs w:val="24"/>
          <w:u w:val="none" w:color="auto"/>
        </w:rPr>
        <w:t>，防止跑、冒、滴、漏污染土壤和水体；加强交通运输管理，减少交通事故发生，避免油料泄漏污染</w:t>
      </w:r>
      <w:r>
        <w:rPr>
          <w:rFonts w:hint="default" w:ascii="Times New Roman" w:hAnsi="Times New Roman" w:eastAsia="宋体" w:cs="Times New Roman"/>
          <w:color w:val="auto"/>
          <w:spacing w:val="0"/>
          <w:w w:val="100"/>
          <w:position w:val="0"/>
          <w:sz w:val="24"/>
          <w:szCs w:val="24"/>
          <w:u w:val="none" w:color="auto"/>
          <w:lang w:eastAsia="zh-CN"/>
        </w:rPr>
        <w:t>地下水</w:t>
      </w:r>
      <w:r>
        <w:rPr>
          <w:rFonts w:hint="default" w:ascii="Times New Roman" w:hAnsi="Times New Roman" w:eastAsia="宋体" w:cs="Times New Roman"/>
          <w:color w:val="auto"/>
          <w:spacing w:val="0"/>
          <w:w w:val="100"/>
          <w:position w:val="0"/>
          <w:sz w:val="24"/>
          <w:szCs w:val="24"/>
          <w:u w:val="none" w:color="auto"/>
        </w:rPr>
        <w:t>。</w:t>
      </w:r>
    </w:p>
    <w:p w14:paraId="2E27CE15">
      <w:pPr>
        <w:keepNext w:val="0"/>
        <w:keepLines w:val="0"/>
        <w:pageBreakBefore w:val="0"/>
        <w:widowControl w:val="0"/>
        <w:kinsoku w:val="0"/>
        <w:wordWrap w:val="0"/>
        <w:overflowPunct/>
        <w:topLinePunct/>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4</w:t>
      </w:r>
      <w:r>
        <w:rPr>
          <w:rFonts w:hint="default" w:ascii="Times New Roman" w:hAnsi="Times New Roman" w:eastAsia="宋体" w:cs="Times New Roman"/>
          <w:caps w:val="0"/>
          <w:smallCaps w:val="0"/>
          <w:color w:val="auto"/>
          <w:spacing w:val="0"/>
          <w:w w:val="100"/>
          <w:position w:val="0"/>
          <w:sz w:val="24"/>
          <w:szCs w:val="24"/>
          <w:u w:val="none" w:color="auto"/>
        </w:rPr>
        <w:t>）施工期各类固体废物应分类收集，做好收集管理工作，并做到及时清运处理；禁止利用生活垃圾和弃土等固体废物回填沟、坑等，对现场固体废物堆放应做好防渗漏处理，避免因雨淋或渗滤液渗漏引起地下水污染。</w:t>
      </w:r>
    </w:p>
    <w:p w14:paraId="4CC0B6A5">
      <w:pPr>
        <w:pStyle w:val="4"/>
        <w:bidi w:val="0"/>
        <w:rPr>
          <w:rFonts w:hint="default" w:ascii="Times New Roman" w:hAnsi="Times New Roman" w:cs="Times New Roman"/>
        </w:rPr>
      </w:pPr>
      <w:bookmarkStart w:id="333" w:name="_Toc28435"/>
      <w:r>
        <w:rPr>
          <w:rFonts w:hint="default" w:ascii="Times New Roman" w:hAnsi="Times New Roman" w:cs="Times New Roman"/>
          <w:lang w:eastAsia="zh-CN"/>
        </w:rPr>
        <w:t>施工期</w:t>
      </w:r>
      <w:r>
        <w:rPr>
          <w:rFonts w:hint="default" w:ascii="Times New Roman" w:hAnsi="Times New Roman" w:cs="Times New Roman"/>
        </w:rPr>
        <w:t>声环境保护措施</w:t>
      </w:r>
      <w:bookmarkEnd w:id="333"/>
    </w:p>
    <w:p w14:paraId="13A8F7E3">
      <w:pPr>
        <w:keepNext w:val="0"/>
        <w:keepLines w:val="0"/>
        <w:pageBreakBefore w:val="0"/>
        <w:widowControl w:val="0"/>
        <w:kinsoku w:val="0"/>
        <w:wordWrap w:val="0"/>
        <w:overflowPunct/>
        <w:topLinePunct/>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（1）交通噪声控制</w:t>
      </w:r>
    </w:p>
    <w:p w14:paraId="1EABBAE8">
      <w:pPr>
        <w:keepNext w:val="0"/>
        <w:keepLines w:val="0"/>
        <w:pageBreakBefore w:val="0"/>
        <w:widowControl w:val="0"/>
        <w:kinsoku w:val="0"/>
        <w:wordWrap w:val="0"/>
        <w:overflowPunct/>
        <w:topLinePunct/>
        <w:autoSpaceDE/>
        <w:autoSpaceDN/>
        <w:bidi w:val="0"/>
        <w:adjustRightInd/>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为减少交通噪声污染采取以下控制措施：</w:t>
      </w:r>
    </w:p>
    <w:p w14:paraId="480DDBF4">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①在进场公路和场内交通道路，限制使用噪声大的车辆，控制车流量和行车速度，当车辆行驶至周边居民点时，降低车速和禁止使用高音嗽叭。</w:t>
      </w:r>
    </w:p>
    <w:p w14:paraId="635FAEF5">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②加强进场公路交通运输管理，为防止进场公路（主要为</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物料运输</w:t>
      </w:r>
      <w:r>
        <w:rPr>
          <w:rFonts w:hint="default" w:ascii="Times New Roman" w:hAnsi="Times New Roman" w:eastAsia="宋体" w:cs="Times New Roman"/>
          <w:caps w:val="0"/>
          <w:smallCaps w:val="0"/>
          <w:color w:val="auto"/>
          <w:spacing w:val="0"/>
          <w:w w:val="100"/>
          <w:position w:val="0"/>
          <w:sz w:val="24"/>
          <w:szCs w:val="24"/>
          <w:u w:val="none" w:color="auto"/>
        </w:rPr>
        <w:t>进入施工区）产生的交通噪声夜间对沿线居民点的干扰，建设期实行交通管制，夜间严格控制大、中型车辆进入进场公路，对小型车辆进入该进场公路按设计车速进行限制。</w:t>
      </w:r>
    </w:p>
    <w:p w14:paraId="5D02C019">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③加强道路的养护和车辆的维护保养，降低噪声源。</w:t>
      </w:r>
    </w:p>
    <w:p w14:paraId="3C2F3108">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④使用的车辆必须符合《汽车定置噪声限值》（GB16170-1996）和《机动车辆允许噪声》（GB1495-79），并尽量选用低噪声车辆。</w:t>
      </w:r>
    </w:p>
    <w:p w14:paraId="76F6BE48">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⑤加强对施工运输车辆的管理。集中的施工车辆使用应该避开夜间；对驾驶员应该宣传、教育和监督，杜绝超载、超速、减少鸣笛，并加强车辆维修，防止车况不良导致的高噪声。</w:t>
      </w:r>
    </w:p>
    <w:p w14:paraId="338779D9">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（2）施工设备控制</w:t>
      </w:r>
    </w:p>
    <w:p w14:paraId="0E5DC7E4">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①</w:t>
      </w:r>
      <w:r>
        <w:rPr>
          <w:rFonts w:hint="default" w:ascii="Times New Roman" w:hAnsi="Times New Roman" w:eastAsia="宋体" w:cs="Times New Roman"/>
          <w:caps w:val="0"/>
          <w:smallCaps w:val="0"/>
          <w:color w:val="auto"/>
          <w:spacing w:val="0"/>
          <w:w w:val="100"/>
          <w:position w:val="0"/>
          <w:sz w:val="24"/>
          <w:szCs w:val="24"/>
          <w:u w:val="none" w:color="auto"/>
          <w:lang w:eastAsia="zh-CN"/>
        </w:rPr>
        <w:t>钢筋加工</w:t>
      </w:r>
      <w:r>
        <w:rPr>
          <w:rFonts w:hint="default" w:ascii="Times New Roman" w:hAnsi="Times New Roman" w:eastAsia="宋体" w:cs="Times New Roman"/>
          <w:caps w:val="0"/>
          <w:smallCaps w:val="0"/>
          <w:color w:val="auto"/>
          <w:spacing w:val="0"/>
          <w:w w:val="100"/>
          <w:position w:val="0"/>
          <w:sz w:val="24"/>
          <w:szCs w:val="24"/>
          <w:u w:val="none" w:color="auto"/>
        </w:rPr>
        <w:t>等</w:t>
      </w:r>
      <w:r>
        <w:rPr>
          <w:rFonts w:hint="default" w:ascii="Times New Roman" w:hAnsi="Times New Roman" w:eastAsia="宋体" w:cs="Times New Roman"/>
          <w:caps w:val="0"/>
          <w:smallCaps w:val="0"/>
          <w:color w:val="auto"/>
          <w:spacing w:val="0"/>
          <w:w w:val="100"/>
          <w:position w:val="0"/>
          <w:sz w:val="24"/>
          <w:szCs w:val="24"/>
          <w:u w:val="none" w:color="auto"/>
          <w:lang w:eastAsia="zh-CN"/>
        </w:rPr>
        <w:t>高噪声生产区</w:t>
      </w:r>
      <w:r>
        <w:rPr>
          <w:rFonts w:hint="default" w:ascii="Times New Roman" w:hAnsi="Times New Roman" w:eastAsia="宋体" w:cs="Times New Roman"/>
          <w:caps w:val="0"/>
          <w:smallCaps w:val="0"/>
          <w:color w:val="auto"/>
          <w:spacing w:val="0"/>
          <w:w w:val="100"/>
          <w:position w:val="0"/>
          <w:sz w:val="24"/>
          <w:szCs w:val="24"/>
          <w:u w:val="none" w:color="auto"/>
        </w:rPr>
        <w:t>尽可能用多孔性吸声材料建立隔声屏障、隔声罩和隔声间。</w:t>
      </w:r>
    </w:p>
    <w:p w14:paraId="4E4BD57A">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②施工机械设备应安放稳固，并与地面保持良好接触，有条件的应使用减振机座。</w:t>
      </w:r>
    </w:p>
    <w:p w14:paraId="4E2AB677">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③</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从源头控制污染源，选择符合噪声标准机械设备、优先采取先进低噪声施工技术，加强噪声源控制。</w:t>
      </w:r>
    </w:p>
    <w:p w14:paraId="2BC850D8">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④优化施工布置。在施工工厂、仓库场界范围内，</w:t>
      </w:r>
      <w:bookmarkStart w:id="334" w:name="_Hlk496705448"/>
      <w:r>
        <w:rPr>
          <w:rFonts w:hint="default" w:ascii="Times New Roman" w:hAnsi="Times New Roman" w:eastAsia="宋体" w:cs="Times New Roman"/>
          <w:caps w:val="0"/>
          <w:smallCaps w:val="0"/>
          <w:color w:val="auto"/>
          <w:spacing w:val="0"/>
          <w:w w:val="100"/>
          <w:position w:val="0"/>
          <w:sz w:val="24"/>
          <w:szCs w:val="24"/>
          <w:u w:val="none" w:color="auto"/>
        </w:rPr>
        <w:t>将噪声影响较大的机械设备尽量布置在远离居民点的一侧</w:t>
      </w:r>
      <w:bookmarkEnd w:id="334"/>
      <w:r>
        <w:rPr>
          <w:rFonts w:hint="default" w:ascii="Times New Roman" w:hAnsi="Times New Roman" w:eastAsia="宋体" w:cs="Times New Roman"/>
          <w:caps w:val="0"/>
          <w:smallCaps w:val="0"/>
          <w:color w:val="auto"/>
          <w:spacing w:val="0"/>
          <w:w w:val="100"/>
          <w:position w:val="0"/>
          <w:sz w:val="24"/>
          <w:szCs w:val="24"/>
          <w:u w:val="none" w:color="auto"/>
        </w:rPr>
        <w:t>，在靠近居民点一侧用于材料设备停放。</w:t>
      </w:r>
    </w:p>
    <w:p w14:paraId="1D443EBA">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⑤</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合理安排施工时间，</w:t>
      </w:r>
      <w:r>
        <w:rPr>
          <w:rFonts w:hint="default" w:ascii="Times New Roman" w:hAnsi="Times New Roman" w:eastAsia="宋体" w:cs="Times New Roman"/>
          <w:caps w:val="0"/>
          <w:smallCaps w:val="0"/>
          <w:color w:val="auto"/>
          <w:spacing w:val="0"/>
          <w:w w:val="100"/>
          <w:position w:val="0"/>
          <w:sz w:val="24"/>
          <w:szCs w:val="24"/>
          <w:u w:val="none" w:color="auto"/>
        </w:rPr>
        <w:t>禁止夜间施工。若因工艺需要必须在晚上施工，应上报当地生态环境主管部门批准同意，并在施工前公告。</w:t>
      </w:r>
    </w:p>
    <w:p w14:paraId="1448289D">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fldChar w:fldCharType="begin"/>
      </w:r>
      <w:r>
        <w:rPr>
          <w:rFonts w:hint="default" w:ascii="Times New Roman" w:hAnsi="Times New Roman" w:eastAsia="宋体" w:cs="Times New Roman"/>
          <w:caps w:val="0"/>
          <w:smallCaps w:val="0"/>
          <w:color w:val="auto"/>
          <w:spacing w:val="0"/>
          <w:w w:val="100"/>
          <w:position w:val="0"/>
          <w:sz w:val="24"/>
          <w:szCs w:val="24"/>
          <w:u w:val="none" w:color="auto"/>
        </w:rPr>
        <w:instrText xml:space="preserve"> = 6 \* GB3 \* MERGEFORMAT </w:instrText>
      </w:r>
      <w:r>
        <w:rPr>
          <w:rFonts w:hint="default" w:ascii="Times New Roman" w:hAnsi="Times New Roman" w:eastAsia="宋体" w:cs="Times New Roman"/>
          <w:caps w:val="0"/>
          <w:smallCaps w:val="0"/>
          <w:color w:val="auto"/>
          <w:spacing w:val="0"/>
          <w:w w:val="100"/>
          <w:position w:val="0"/>
          <w:sz w:val="24"/>
          <w:szCs w:val="24"/>
          <w:u w:val="none" w:color="auto"/>
        </w:rPr>
        <w:fldChar w:fldCharType="separate"/>
      </w:r>
      <w:r>
        <w:rPr>
          <w:rFonts w:hint="default" w:ascii="Times New Roman" w:hAnsi="Times New Roman" w:cs="Times New Roman"/>
          <w:color w:val="auto"/>
        </w:rPr>
        <w:t>⑥</w:t>
      </w:r>
      <w:r>
        <w:rPr>
          <w:rFonts w:hint="default" w:ascii="Times New Roman" w:hAnsi="Times New Roman" w:eastAsia="宋体" w:cs="Times New Roman"/>
          <w:caps w:val="0"/>
          <w:smallCaps w:val="0"/>
          <w:color w:val="auto"/>
          <w:spacing w:val="0"/>
          <w:w w:val="100"/>
          <w:position w:val="0"/>
          <w:sz w:val="24"/>
          <w:szCs w:val="24"/>
          <w:u w:val="none" w:color="auto"/>
        </w:rPr>
        <w:fldChar w:fldCharType="end"/>
      </w:r>
      <w:r>
        <w:rPr>
          <w:rFonts w:hint="default" w:ascii="Times New Roman" w:hAnsi="Times New Roman" w:eastAsia="宋体" w:cs="Times New Roman"/>
          <w:caps w:val="0"/>
          <w:smallCaps w:val="0"/>
          <w:color w:val="auto"/>
          <w:spacing w:val="0"/>
          <w:w w:val="100"/>
          <w:position w:val="0"/>
          <w:sz w:val="24"/>
          <w:szCs w:val="24"/>
          <w:u w:val="none" w:color="auto"/>
        </w:rPr>
        <w:t>加强施工设备的维护保养</w:t>
      </w:r>
      <w:r>
        <w:rPr>
          <w:rFonts w:hint="default" w:ascii="Times New Roman" w:hAnsi="Times New Roman" w:eastAsia="宋体" w:cs="Times New Roman"/>
          <w:caps w:val="0"/>
          <w:smallCaps w:val="0"/>
          <w:color w:val="auto"/>
          <w:spacing w:val="0"/>
          <w:w w:val="100"/>
          <w:position w:val="0"/>
          <w:sz w:val="24"/>
          <w:szCs w:val="24"/>
          <w:u w:val="none" w:color="auto"/>
          <w:lang w:eastAsia="zh-CN"/>
        </w:rPr>
        <w:t>，</w:t>
      </w:r>
      <w:r>
        <w:rPr>
          <w:rFonts w:hint="default" w:ascii="Times New Roman" w:hAnsi="Times New Roman" w:eastAsia="宋体" w:cs="Times New Roman"/>
          <w:caps w:val="0"/>
          <w:smallCaps w:val="0"/>
          <w:color w:val="auto"/>
          <w:spacing w:val="0"/>
          <w:w w:val="100"/>
          <w:position w:val="0"/>
          <w:sz w:val="24"/>
          <w:szCs w:val="24"/>
          <w:u w:val="none" w:color="auto"/>
        </w:rPr>
        <w:t>发生故障应及时维修，保持润滑、紧固各部件，减少运行振动噪声。</w:t>
      </w:r>
    </w:p>
    <w:p w14:paraId="1E778D3A">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fldChar w:fldCharType="begin"/>
      </w:r>
      <w:r>
        <w:rPr>
          <w:rFonts w:hint="default" w:ascii="Times New Roman" w:hAnsi="Times New Roman" w:eastAsia="宋体" w:cs="Times New Roman"/>
          <w:caps w:val="0"/>
          <w:smallCaps w:val="0"/>
          <w:color w:val="auto"/>
          <w:spacing w:val="0"/>
          <w:w w:val="100"/>
          <w:position w:val="0"/>
          <w:sz w:val="24"/>
          <w:szCs w:val="24"/>
          <w:u w:val="none" w:color="auto"/>
        </w:rPr>
        <w:instrText xml:space="preserve"> = 7 \* GB3 \* MERGEFORMAT </w:instrText>
      </w:r>
      <w:r>
        <w:rPr>
          <w:rFonts w:hint="default" w:ascii="Times New Roman" w:hAnsi="Times New Roman" w:eastAsia="宋体" w:cs="Times New Roman"/>
          <w:caps w:val="0"/>
          <w:smallCaps w:val="0"/>
          <w:color w:val="auto"/>
          <w:spacing w:val="0"/>
          <w:w w:val="100"/>
          <w:position w:val="0"/>
          <w:sz w:val="24"/>
          <w:szCs w:val="24"/>
          <w:u w:val="none" w:color="auto"/>
        </w:rPr>
        <w:fldChar w:fldCharType="separate"/>
      </w:r>
      <w:r>
        <w:rPr>
          <w:rFonts w:hint="default" w:ascii="Times New Roman" w:hAnsi="Times New Roman" w:cs="Times New Roman"/>
          <w:color w:val="auto"/>
        </w:rPr>
        <w:t>⑦</w:t>
      </w:r>
      <w:r>
        <w:rPr>
          <w:rFonts w:hint="default" w:ascii="Times New Roman" w:hAnsi="Times New Roman" w:eastAsia="宋体" w:cs="Times New Roman"/>
          <w:caps w:val="0"/>
          <w:smallCaps w:val="0"/>
          <w:color w:val="auto"/>
          <w:spacing w:val="0"/>
          <w:w w:val="100"/>
          <w:position w:val="0"/>
          <w:sz w:val="24"/>
          <w:szCs w:val="24"/>
          <w:u w:val="none" w:color="auto"/>
        </w:rPr>
        <w:fldChar w:fldCharType="end"/>
      </w:r>
      <w:r>
        <w:rPr>
          <w:rFonts w:hint="default" w:ascii="Times New Roman" w:hAnsi="Times New Roman" w:eastAsia="宋体" w:cs="Times New Roman"/>
          <w:caps w:val="0"/>
          <w:smallCaps w:val="0"/>
          <w:color w:val="auto"/>
          <w:spacing w:val="0"/>
          <w:w w:val="100"/>
          <w:position w:val="0"/>
          <w:sz w:val="24"/>
          <w:szCs w:val="24"/>
          <w:u w:val="none" w:color="auto"/>
        </w:rPr>
        <w:t>加强施工管理、文明施工，杜绝施工机械在运行过程中因维护不当而产生的其他噪声。</w:t>
      </w:r>
    </w:p>
    <w:p w14:paraId="4AFE3C41">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FF0000"/>
          <w:spacing w:val="0"/>
          <w:w w:val="100"/>
          <w:position w:val="0"/>
          <w:sz w:val="24"/>
          <w:szCs w:val="24"/>
          <w:u w:val="none" w:color="auto"/>
          <w:lang w:val="en-US" w:eastAsia="zh-CN"/>
        </w:rPr>
        <w:t xml:space="preserve"> </w:t>
      </w:r>
      <w:r>
        <w:rPr>
          <w:rFonts w:hint="default" w:ascii="Times New Roman" w:hAnsi="Times New Roman" w:eastAsia="宋体" w:cs="Times New Roman"/>
          <w:caps w:val="0"/>
          <w:smallCaps w:val="0"/>
          <w:color w:val="auto"/>
          <w:spacing w:val="0"/>
          <w:w w:val="100"/>
          <w:position w:val="0"/>
          <w:sz w:val="24"/>
          <w:szCs w:val="24"/>
          <w:u w:val="none" w:color="auto"/>
        </w:rPr>
        <w:t>（3）敏感目标保护措施</w:t>
      </w:r>
    </w:p>
    <w:p w14:paraId="05D8C6C9">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针对进场道路两侧居民</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及施工区周边的仙鹅寺村居民</w:t>
      </w:r>
      <w:r>
        <w:rPr>
          <w:rFonts w:hint="default" w:ascii="Times New Roman" w:hAnsi="Times New Roman" w:eastAsia="宋体" w:cs="Times New Roman"/>
          <w:caps w:val="0"/>
          <w:smallCaps w:val="0"/>
          <w:color w:val="auto"/>
          <w:spacing w:val="0"/>
          <w:w w:val="100"/>
          <w:position w:val="0"/>
          <w:sz w:val="24"/>
          <w:szCs w:val="24"/>
          <w:u w:val="none" w:color="auto"/>
        </w:rPr>
        <w:t>等环境敏感目标的影响特点，在采取上述噪声控制措施的基础上，提出如下环境保护措施：加强与敏感点人群的沟通，施工前应在敏感点张贴公示，争取获得谅解。公示内容包括工程名称、施工单位、施工时间安排，建设单位及主要联系人的名称与联系方式。对公众提出的环境影响投诉及时予以反馈与解决。夜间施工往往会造成较严重的噪声污染，因此应该合理安排施工进度，尽量减少夜间施工，尤其注意避免夜间进行高噪声施工。如果需要夜间施工，必须获得环保主管部门的认可，并公示周边公众。</w:t>
      </w:r>
    </w:p>
    <w:p w14:paraId="2A4646A8">
      <w:pPr>
        <w:pStyle w:val="4"/>
        <w:bidi w:val="0"/>
        <w:rPr>
          <w:rFonts w:hint="default" w:ascii="Times New Roman" w:hAnsi="Times New Roman" w:cs="Times New Roman"/>
        </w:rPr>
      </w:pPr>
      <w:bookmarkStart w:id="335" w:name="_Toc12033"/>
      <w:r>
        <w:rPr>
          <w:rFonts w:hint="default" w:ascii="Times New Roman" w:hAnsi="Times New Roman" w:cs="Times New Roman"/>
        </w:rPr>
        <w:t>固体废物保护措施</w:t>
      </w:r>
      <w:bookmarkEnd w:id="335"/>
    </w:p>
    <w:p w14:paraId="237D30FC">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Times New Roman" w:cs="Times New Roman"/>
          <w:b w:val="0"/>
          <w:bCs w:val="0"/>
          <w:color w:val="auto"/>
          <w:spacing w:val="0"/>
          <w:w w:val="100"/>
          <w:position w:val="0"/>
          <w:sz w:val="24"/>
          <w:szCs w:val="24"/>
          <w:u w:val="none" w:color="auto"/>
        </w:rPr>
        <w:t>1</w:t>
      </w:r>
      <w:r>
        <w:rPr>
          <w:rFonts w:hint="default" w:ascii="Times New Roman" w:hAnsi="Times New Roman" w:eastAsia="宋体" w:cs="Times New Roman"/>
          <w:color w:val="auto"/>
          <w:spacing w:val="0"/>
          <w:w w:val="100"/>
          <w:position w:val="0"/>
          <w:sz w:val="24"/>
          <w:szCs w:val="24"/>
          <w:u w:val="none" w:color="auto"/>
        </w:rPr>
        <w:t>)</w:t>
      </w:r>
      <w:r>
        <w:rPr>
          <w:rFonts w:hint="default" w:ascii="Times New Roman" w:hAnsi="Times New Roman" w:eastAsia="宋体" w:cs="Times New Roman"/>
          <w:color w:val="auto"/>
          <w:spacing w:val="0"/>
          <w:w w:val="100"/>
          <w:position w:val="0"/>
          <w:sz w:val="24"/>
          <w:szCs w:val="24"/>
          <w:u w:val="none" w:color="auto"/>
          <w:lang w:eastAsia="zh-CN"/>
        </w:rPr>
        <w:t>工程弃</w:t>
      </w:r>
      <w:r>
        <w:rPr>
          <w:rFonts w:hint="default" w:ascii="Times New Roman" w:hAnsi="Times New Roman" w:eastAsia="宋体" w:cs="Times New Roman"/>
          <w:color w:val="auto"/>
          <w:spacing w:val="0"/>
          <w:w w:val="100"/>
          <w:position w:val="0"/>
          <w:sz w:val="24"/>
          <w:szCs w:val="24"/>
          <w:u w:val="none" w:color="auto"/>
          <w:lang w:val="en-US" w:eastAsia="zh-CN"/>
        </w:rPr>
        <w:t>土</w:t>
      </w:r>
    </w:p>
    <w:p w14:paraId="4B2B1133">
      <w:pPr>
        <w:keepNext w:val="0"/>
        <w:keepLines w:val="0"/>
        <w:widowControl/>
        <w:suppressLineNumbers w:val="0"/>
        <w:spacing w:line="360" w:lineRule="auto"/>
        <w:ind w:firstLine="480" w:firstLineChars="200"/>
        <w:jc w:val="left"/>
        <w:rPr>
          <w:rFonts w:hint="default" w:ascii="Times New Roman" w:hAnsi="Times New Roman" w:eastAsia="宋体" w:cs="Times New Roman"/>
          <w:color w:val="FF0000"/>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本工程产生弃土</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量约为9883</w:t>
      </w:r>
      <w:r>
        <w:rPr>
          <w:rFonts w:hint="default" w:ascii="Times New Roman" w:hAnsi="Times New Roman" w:eastAsia="宋体" w:cs="Times New Roman"/>
          <w:caps w:val="0"/>
          <w:smallCaps w:val="0"/>
          <w:color w:val="auto"/>
          <w:spacing w:val="0"/>
          <w:w w:val="100"/>
          <w:kern w:val="0"/>
          <w:position w:val="0"/>
          <w:sz w:val="24"/>
          <w:szCs w:val="24"/>
          <w:u w:val="none" w:color="auto"/>
        </w:rPr>
        <w:t>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。项目弃方全部运至大坝下游的弃渣场，施工弃渣严禁向水库和河道内倾倒。</w:t>
      </w:r>
    </w:p>
    <w:p w14:paraId="3A9BC928">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FF0000"/>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（2）</w:t>
      </w:r>
      <w:r>
        <w:rPr>
          <w:rFonts w:hint="default" w:ascii="Times New Roman" w:hAnsi="Times New Roman" w:eastAsia="宋体" w:cs="Times New Roman"/>
          <w:color w:val="auto"/>
          <w:spacing w:val="0"/>
          <w:w w:val="100"/>
          <w:position w:val="0"/>
          <w:sz w:val="24"/>
          <w:szCs w:val="24"/>
          <w:u w:val="none" w:color="auto"/>
          <w:lang w:eastAsia="zh-CN"/>
        </w:rPr>
        <w:t>拆除的设备</w:t>
      </w:r>
    </w:p>
    <w:p w14:paraId="4B29B908">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FF0000"/>
          <w:spacing w:val="0"/>
          <w:w w:val="100"/>
          <w:kern w:val="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本工程对金属结构及设备拆除后</w:t>
      </w:r>
      <w:r>
        <w:rPr>
          <w:rFonts w:hint="default" w:ascii="Times New Roman" w:hAnsi="Times New Roman" w:eastAsia="宋体" w:cs="Times New Roman"/>
          <w:color w:val="auto"/>
          <w:spacing w:val="0"/>
          <w:w w:val="100"/>
          <w:position w:val="0"/>
          <w:sz w:val="24"/>
          <w:szCs w:val="24"/>
          <w:u w:val="none" w:color="auto"/>
          <w:lang w:eastAsia="zh-CN"/>
        </w:rPr>
        <w:t>外售</w:t>
      </w:r>
      <w:r>
        <w:rPr>
          <w:rFonts w:hint="default" w:ascii="Times New Roman" w:hAnsi="Times New Roman" w:eastAsia="宋体" w:cs="Times New Roman"/>
          <w:color w:val="auto"/>
          <w:spacing w:val="0"/>
          <w:w w:val="100"/>
          <w:position w:val="0"/>
          <w:sz w:val="24"/>
          <w:szCs w:val="24"/>
          <w:u w:val="none" w:color="auto"/>
        </w:rPr>
        <w:t>进行资源回收</w:t>
      </w:r>
      <w:r>
        <w:rPr>
          <w:rFonts w:hint="default" w:ascii="Times New Roman" w:hAnsi="Times New Roman" w:eastAsia="宋体" w:cs="Times New Roman"/>
          <w:color w:val="auto"/>
          <w:spacing w:val="0"/>
          <w:w w:val="100"/>
          <w:position w:val="0"/>
          <w:sz w:val="24"/>
          <w:szCs w:val="24"/>
          <w:u w:val="none" w:color="auto"/>
          <w:lang w:eastAsia="zh-CN"/>
        </w:rPr>
        <w:t>利用</w:t>
      </w:r>
      <w:r>
        <w:rPr>
          <w:rFonts w:hint="default" w:ascii="Times New Roman" w:hAnsi="Times New Roman" w:eastAsia="宋体" w:cs="Times New Roman"/>
          <w:color w:val="auto"/>
          <w:spacing w:val="0"/>
          <w:w w:val="100"/>
          <w:position w:val="0"/>
          <w:sz w:val="24"/>
          <w:szCs w:val="24"/>
          <w:u w:val="none" w:color="auto"/>
        </w:rPr>
        <w:t>。</w:t>
      </w:r>
    </w:p>
    <w:p w14:paraId="760B9B30">
      <w:pPr>
        <w:pageBreakBefore w:val="0"/>
        <w:kinsoku w:val="0"/>
        <w:wordWrap w:val="0"/>
        <w:overflowPunct/>
        <w:topLinePunct/>
        <w:autoSpaceDE/>
        <w:autoSpaceDN/>
        <w:bidi w:val="0"/>
        <w:adjustRightInd w:val="0"/>
        <w:spacing w:line="500" w:lineRule="exact"/>
        <w:ind w:firstLine="480" w:firstLineChars="200"/>
        <w:rPr>
          <w:rFonts w:hint="eastAsia" w:ascii="Times New Roman" w:hAnsi="Times New Roman" w:eastAsia="宋体" w:cs="Times New Roman"/>
          <w:caps w:val="0"/>
          <w:smallCaps w:val="0"/>
          <w:color w:val="FF0000"/>
          <w:spacing w:val="0"/>
          <w:w w:val="100"/>
          <w:kern w:val="0"/>
          <w:position w:val="0"/>
          <w:sz w:val="24"/>
          <w:szCs w:val="24"/>
          <w:u w:val="none" w:color="auto"/>
          <w:lang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3</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eastAsia="zh-CN"/>
        </w:rPr>
        <w:t>建筑垃圾</w:t>
      </w:r>
    </w:p>
    <w:p w14:paraId="53D4A078">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eastAsia="zh-CN"/>
        </w:rPr>
        <w:t>根据工程设计方案，砌体和混凝土拆除工程量约为</w:t>
      </w:r>
      <w:r>
        <w:rPr>
          <w:rFonts w:hint="default" w:ascii="Times New Roman" w:hAnsi="Times New Roman" w:eastAsia="宋体" w:cs="Times New Roman"/>
          <w:color w:val="auto"/>
          <w:spacing w:val="0"/>
          <w:w w:val="100"/>
          <w:position w:val="0"/>
          <w:sz w:val="24"/>
          <w:szCs w:val="24"/>
          <w:u w:val="none" w:color="auto"/>
          <w:lang w:val="en-US" w:eastAsia="zh-CN"/>
        </w:rPr>
        <w:t>3278</w:t>
      </w:r>
      <w:r>
        <w:rPr>
          <w:rFonts w:hint="default" w:ascii="Times New Roman" w:hAnsi="Times New Roman" w:eastAsia="宋体" w:cs="Times New Roman"/>
          <w:caps w:val="0"/>
          <w:smallCaps w:val="0"/>
          <w:color w:val="auto"/>
          <w:spacing w:val="0"/>
          <w:w w:val="100"/>
          <w:kern w:val="0"/>
          <w:position w:val="0"/>
          <w:sz w:val="24"/>
          <w:szCs w:val="24"/>
          <w:u w:val="none" w:color="auto"/>
        </w:rPr>
        <w:t>m</w:t>
      </w:r>
      <w:r>
        <w:rPr>
          <w:rFonts w:hint="default" w:ascii="Times New Roman" w:hAnsi="Times New Roman" w:eastAsia="宋体" w:cs="Times New Roman"/>
          <w:caps w:val="0"/>
          <w:smallCaps w:val="0"/>
          <w:color w:val="auto"/>
          <w:spacing w:val="0"/>
          <w:w w:val="100"/>
          <w:kern w:val="0"/>
          <w:position w:val="0"/>
          <w:sz w:val="24"/>
          <w:szCs w:val="24"/>
          <w:u w:val="none" w:color="auto"/>
          <w:vertAlign w:val="superscript"/>
        </w:rPr>
        <w:t>3</w:t>
      </w:r>
      <w:r>
        <w:rPr>
          <w:rFonts w:hint="default" w:ascii="Times New Roman" w:hAnsi="Times New Roman" w:eastAsia="宋体" w:cs="Times New Roman"/>
          <w:color w:val="auto"/>
          <w:spacing w:val="0"/>
          <w:w w:val="100"/>
          <w:position w:val="0"/>
          <w:sz w:val="24"/>
          <w:szCs w:val="24"/>
          <w:u w:val="none" w:color="auto"/>
          <w:lang w:val="en-US" w:eastAsia="zh-CN"/>
        </w:rPr>
        <w:t>，收集后运至弃渣场堆存。</w:t>
      </w:r>
    </w:p>
    <w:p w14:paraId="15C8BB14">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FF0000"/>
          <w:spacing w:val="0"/>
          <w:w w:val="100"/>
          <w:kern w:val="0"/>
          <w:position w:val="0"/>
          <w:sz w:val="24"/>
          <w:szCs w:val="24"/>
          <w:u w:val="none" w:color="auto"/>
        </w:rPr>
      </w:pPr>
      <w:r>
        <w:rPr>
          <w:rFonts w:hint="eastAsia" w:ascii="Times New Roman" w:hAnsi="Times New Roman" w:eastAsia="宋体" w:cs="Times New Roman"/>
          <w:color w:val="auto"/>
          <w:spacing w:val="0"/>
          <w:w w:val="100"/>
          <w:position w:val="0"/>
          <w:sz w:val="24"/>
          <w:szCs w:val="24"/>
          <w:u w:val="none" w:color="auto"/>
          <w:lang w:val="en-US" w:eastAsia="zh-CN"/>
        </w:rPr>
        <w:t>（4）</w:t>
      </w:r>
      <w:r>
        <w:rPr>
          <w:rFonts w:hint="default" w:ascii="Times New Roman" w:hAnsi="Times New Roman" w:eastAsia="宋体" w:cs="Times New Roman"/>
          <w:color w:val="auto"/>
          <w:spacing w:val="0"/>
          <w:w w:val="100"/>
          <w:position w:val="0"/>
          <w:sz w:val="24"/>
          <w:szCs w:val="24"/>
          <w:u w:val="none" w:color="auto"/>
          <w:lang w:val="en-US" w:eastAsia="zh-CN"/>
        </w:rPr>
        <w:t>沉淀池收集的污泥</w:t>
      </w:r>
    </w:p>
    <w:p w14:paraId="5A04E0AF">
      <w:pPr>
        <w:pageBreakBefore w:val="0"/>
        <w:kinsoku w:val="0"/>
        <w:wordWrap w:val="0"/>
        <w:overflowPunct/>
        <w:topLinePunct/>
        <w:autoSpaceDE/>
        <w:autoSpaceDN/>
        <w:bidi w:val="0"/>
        <w:adjustRightInd w:val="0"/>
        <w:spacing w:line="500" w:lineRule="exact"/>
        <w:ind w:firstLine="480" w:firstLineChars="200"/>
      </w:pPr>
      <w:r>
        <w:rPr>
          <w:rFonts w:hint="default" w:ascii="Times New Roman" w:hAnsi="Times New Roman" w:eastAsia="宋体" w:cs="Times New Roman"/>
          <w:sz w:val="24"/>
          <w:szCs w:val="24"/>
          <w:lang w:val="en-US" w:eastAsia="zh-CN"/>
        </w:rPr>
        <w:t>沉淀池会产生污泥、泥渣</w:t>
      </w:r>
      <w:r>
        <w:rPr>
          <w:rFonts w:hint="eastAsia" w:ascii="Times New Roman" w:hAnsi="Times New Roman" w:eastAsia="宋体" w:cs="Times New Roman"/>
          <w:sz w:val="24"/>
          <w:szCs w:val="24"/>
          <w:lang w:val="en-US" w:eastAsia="zh-CN"/>
        </w:rPr>
        <w:t>，及</w:t>
      </w:r>
      <w:r>
        <w:rPr>
          <w:rFonts w:hint="default" w:ascii="Times New Roman" w:hAnsi="Times New Roman" w:eastAsia="瀹嬩綋" w:cs="Times New Roman"/>
          <w:color w:val="000000"/>
          <w:kern w:val="0"/>
          <w:sz w:val="24"/>
          <w:szCs w:val="24"/>
          <w:lang w:val="en-US" w:eastAsia="zh-CN" w:bidi="ar"/>
        </w:rPr>
        <w:t>施工结束后</w:t>
      </w:r>
      <w:r>
        <w:rPr>
          <w:rFonts w:hint="default" w:ascii="Times New Roman" w:hAnsi="Times New Roman" w:eastAsia="宋体" w:cs="Times New Roman"/>
          <w:color w:val="auto"/>
          <w:spacing w:val="0"/>
          <w:w w:val="100"/>
          <w:position w:val="0"/>
          <w:sz w:val="24"/>
          <w:szCs w:val="24"/>
          <w:u w:val="none" w:color="auto"/>
        </w:rPr>
        <w:t>帷幕灌浆</w:t>
      </w:r>
      <w:r>
        <w:rPr>
          <w:rFonts w:hint="default" w:ascii="Times New Roman" w:hAnsi="Times New Roman" w:eastAsia="宋体" w:cs="Times New Roman"/>
          <w:color w:val="auto"/>
          <w:spacing w:val="0"/>
          <w:w w:val="100"/>
          <w:position w:val="0"/>
          <w:sz w:val="24"/>
          <w:szCs w:val="24"/>
          <w:u w:val="none" w:color="auto"/>
          <w:lang w:eastAsia="zh-CN"/>
        </w:rPr>
        <w:t>废</w:t>
      </w:r>
      <w:r>
        <w:rPr>
          <w:rFonts w:hint="default" w:ascii="Times New Roman" w:hAnsi="Times New Roman" w:eastAsia="瀹嬩綋" w:cs="Times New Roman"/>
          <w:color w:val="000000"/>
          <w:kern w:val="0"/>
          <w:sz w:val="24"/>
          <w:szCs w:val="24"/>
          <w:lang w:val="en-US" w:eastAsia="zh-CN" w:bidi="ar"/>
        </w:rPr>
        <w:t>泥浆在泥浆池干化后，会产生部分污泥。</w:t>
      </w:r>
      <w:r>
        <w:rPr>
          <w:rFonts w:hint="default" w:ascii="Times New Roman" w:hAnsi="Times New Roman" w:eastAsia="宋体" w:cs="Times New Roman"/>
          <w:sz w:val="24"/>
          <w:szCs w:val="24"/>
          <w:lang w:val="en-US" w:eastAsia="zh-CN"/>
        </w:rPr>
        <w:t>施工期污泥产生量约为15t。</w:t>
      </w:r>
      <w:r>
        <w:rPr>
          <w:rFonts w:hint="eastAsia" w:ascii="Times New Roman" w:hAnsi="Times New Roman" w:eastAsia="宋体" w:cs="Times New Roman"/>
          <w:sz w:val="24"/>
          <w:szCs w:val="24"/>
          <w:lang w:val="en-US" w:eastAsia="zh-CN"/>
        </w:rPr>
        <w:t>各</w:t>
      </w:r>
      <w:r>
        <w:rPr>
          <w:rFonts w:hint="eastAsia" w:ascii="宋体" w:hAnsi="宋体" w:eastAsia="宋体" w:cs="宋体"/>
          <w:color w:val="000000"/>
          <w:kern w:val="0"/>
          <w:sz w:val="24"/>
          <w:szCs w:val="24"/>
          <w:lang w:val="en-US" w:eastAsia="zh-CN" w:bidi="ar"/>
        </w:rPr>
        <w:t>沉淀池收集的污泥定期人工清理，经收集后外售砖厂制砖。</w:t>
      </w:r>
    </w:p>
    <w:p w14:paraId="4352F5C4">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生活垃圾</w:t>
      </w:r>
    </w:p>
    <w:p w14:paraId="3EAE6451">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项目施工期</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生活垃圾</w:t>
      </w:r>
      <w:r>
        <w:rPr>
          <w:rFonts w:hint="default" w:ascii="Times New Roman" w:hAnsi="Times New Roman" w:eastAsia="宋体" w:cs="Times New Roman"/>
          <w:caps w:val="0"/>
          <w:smallCaps w:val="0"/>
          <w:color w:val="auto"/>
          <w:spacing w:val="0"/>
          <w:w w:val="100"/>
          <w:kern w:val="0"/>
          <w:position w:val="0"/>
          <w:sz w:val="24"/>
          <w:szCs w:val="24"/>
          <w:u w:val="none" w:color="auto"/>
        </w:rPr>
        <w:t>产生量为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0.16t</w:t>
      </w:r>
      <w:r>
        <w:rPr>
          <w:rFonts w:hint="default" w:ascii="Times New Roman" w:hAnsi="Times New Roman" w:eastAsia="宋体" w:cs="Times New Roman"/>
          <w:caps w:val="0"/>
          <w:smallCaps w:val="0"/>
          <w:color w:val="auto"/>
          <w:spacing w:val="0"/>
          <w:w w:val="100"/>
          <w:kern w:val="0"/>
          <w:position w:val="0"/>
          <w:sz w:val="24"/>
          <w:szCs w:val="24"/>
          <w:u w:val="none" w:color="auto"/>
        </w:rPr>
        <w:t>/d，施工场地设置垃圾</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桶</w:t>
      </w:r>
      <w:r>
        <w:rPr>
          <w:rFonts w:hint="default" w:ascii="Times New Roman" w:hAnsi="Times New Roman" w:eastAsia="宋体" w:cs="Times New Roman"/>
          <w:caps w:val="0"/>
          <w:smallCaps w:val="0"/>
          <w:color w:val="auto"/>
          <w:spacing w:val="0"/>
          <w:w w:val="100"/>
          <w:kern w:val="0"/>
          <w:position w:val="0"/>
          <w:sz w:val="24"/>
          <w:szCs w:val="24"/>
          <w:u w:val="none" w:color="auto"/>
        </w:rPr>
        <w:t>，生活垃圾集中收集，定时清运处理。</w:t>
      </w:r>
    </w:p>
    <w:p w14:paraId="41D39E32">
      <w:pPr>
        <w:pageBreakBefore w:val="0"/>
        <w:numPr>
          <w:ilvl w:val="0"/>
          <w:numId w:val="23"/>
        </w:numPr>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eastAsia="zh-CN"/>
        </w:rPr>
        <w:t>废油</w:t>
      </w:r>
    </w:p>
    <w:p w14:paraId="3275C0A3">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工程施工期间，对隔油沉淀池定期清理将产生一定量废油，废油产生量约为0.5t/a</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废油</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采</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用储油桶暂存于危废暂存仓库内，</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及时</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交由</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有资质的单位处理处置。</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危险废物暂存仓库设置于水库管理所，按照《危险废物贮存污染控制标准》（GB18597-2023）的相关要求设置，地面做好防渗，</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并张贴危废标识、标牌及相关警示标语。同时应严格按照危险废物规范化管理台账要求，认真登记危险废物产生、贮存、利用、处置、转移等各环节地点建立的相关台账，按时、详细、准确记录各环节危险废物相关数据，管理台账要</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妥善</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保管。</w:t>
      </w:r>
    </w:p>
    <w:p w14:paraId="563AD1AA">
      <w:pPr>
        <w:pStyle w:val="4"/>
        <w:bidi w:val="0"/>
        <w:rPr>
          <w:rFonts w:hint="default" w:ascii="Times New Roman" w:hAnsi="Times New Roman" w:cs="Times New Roman"/>
        </w:rPr>
      </w:pPr>
      <w:bookmarkStart w:id="336" w:name="_Toc20018"/>
      <w:r>
        <w:rPr>
          <w:rFonts w:hint="default" w:ascii="Times New Roman" w:hAnsi="Times New Roman" w:cs="Times New Roman"/>
          <w:lang w:val="en-US" w:eastAsia="zh-CN"/>
        </w:rPr>
        <w:t>生</w:t>
      </w:r>
      <w:r>
        <w:rPr>
          <w:rFonts w:hint="default" w:ascii="Times New Roman" w:hAnsi="Times New Roman" w:cs="Times New Roman"/>
        </w:rPr>
        <w:t>态保护措施</w:t>
      </w:r>
      <w:bookmarkEnd w:id="336"/>
    </w:p>
    <w:p w14:paraId="5FC87D25">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bookmarkStart w:id="337" w:name="_Toc472409866"/>
      <w:bookmarkStart w:id="338" w:name="_Toc478721151"/>
      <w:r>
        <w:rPr>
          <w:rFonts w:hint="default" w:ascii="Times New Roman" w:hAnsi="Times New Roman" w:eastAsia="宋体" w:cs="Times New Roman"/>
          <w:caps w:val="0"/>
          <w:smallCaps w:val="0"/>
          <w:snapToGrid/>
          <w:color w:val="auto"/>
          <w:spacing w:val="0"/>
          <w:kern w:val="0"/>
          <w:sz w:val="24"/>
          <w:szCs w:val="24"/>
          <w:highlight w:val="none"/>
          <w:u w:val="none"/>
        </w:rPr>
        <w:t>针对评价区生态现状及生态功能分区，结合工程可能对区域生物及生态环境带来的不利影响，提出一系列切实可行的保护和恢复措施，以减小由于工程建设对区域生态的不利影响，达到积极的保护、恢复及改善作用。</w:t>
      </w:r>
    </w:p>
    <w:p w14:paraId="528C930B">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水生生态保护</w:t>
      </w:r>
    </w:p>
    <w:p w14:paraId="7F5D65E7">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合理安排施工时序，3-8月是鱼类产卵高峰期，从减缓对鱼类资源影响的角度出发，在鱼类繁殖期避免在水域范围内进行施工作业，以减少对鱼类繁殖的影响；为减缓施工噪声对鱼类的影响，采用消声设备，进一步降低水下噪声的影响；各类施工废水分类收集、处理后回用，禁止将含油废水外排入库；施工材料的堆放要远离水体，并做好防雨遮雨设施，防止随地表径流进入水体；施工弃渣和生活垃圾等应集中收集处理，禁止排入水库及下游河流，严禁在库区及邻近渠道倾倒、堆放施工固体废物，以减缓污水和固体废弃物对</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东山</w:t>
      </w:r>
      <w:r>
        <w:rPr>
          <w:rFonts w:hint="default" w:ascii="Times New Roman" w:hAnsi="Times New Roman" w:eastAsia="宋体" w:cs="Times New Roman"/>
          <w:caps w:val="0"/>
          <w:smallCaps w:val="0"/>
          <w:snapToGrid/>
          <w:color w:val="auto"/>
          <w:spacing w:val="0"/>
          <w:kern w:val="0"/>
          <w:sz w:val="24"/>
          <w:szCs w:val="24"/>
          <w:highlight w:val="none"/>
          <w:u w:val="none"/>
        </w:rPr>
        <w:t>水库生态环境的影响。在施工区域设立警示牌，加强对施工及管理人员环保知识的宣传教育，树立良好环境保护意识；加强监管，严禁施工人员随意捕捉野生动植物和水生生物。在工程施工期应有专业人员负责环保工作，落实各项环保措施，并对工程施工行为的监督和管理。</w:t>
      </w:r>
    </w:p>
    <w:p w14:paraId="5373FA7F">
      <w:pPr>
        <w:bidi w:val="0"/>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1、减缓措施</w:t>
      </w:r>
    </w:p>
    <w:p w14:paraId="2CCD19BA">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加强监管，严格按环保要求施工，生活污水和施工废水、生活垃圾与其他固体废弃物等按环保要求严禁直接排放入水库及下游河道，防止污染破坏水生生境。</w:t>
      </w:r>
    </w:p>
    <w:p w14:paraId="73EE74C6">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在工程施工区设置水生生物保护警示牌，增强施工人员的环保意识，严禁施工人员下水捕捞以及炸鱼、毒鱼、电力捕鱼等行为。</w:t>
      </w:r>
    </w:p>
    <w:p w14:paraId="0B1A6727">
      <w:pPr>
        <w:bidi w:val="0"/>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2、管理措施</w:t>
      </w:r>
    </w:p>
    <w:p w14:paraId="1A04ECEF">
      <w:pPr>
        <w:spacing w:line="360" w:lineRule="auto"/>
        <w:ind w:firstLine="480" w:firstLineChars="200"/>
        <w:rPr>
          <w:rFonts w:hint="default" w:ascii="Times New Roman" w:hAnsi="Times New Roman" w:eastAsia="宋体" w:cs="Times New Roman"/>
          <w:sz w:val="24"/>
          <w:szCs w:val="21"/>
        </w:rPr>
      </w:pPr>
      <w:r>
        <w:rPr>
          <w:rFonts w:hint="default" w:ascii="Times New Roman" w:hAnsi="Times New Roman" w:eastAsia="宋体" w:cs="Times New Roman"/>
          <w:caps w:val="0"/>
          <w:smallCaps w:val="0"/>
          <w:snapToGrid/>
          <w:color w:val="auto"/>
          <w:spacing w:val="0"/>
          <w:kern w:val="0"/>
          <w:sz w:val="24"/>
          <w:szCs w:val="24"/>
          <w:highlight w:val="none"/>
          <w:u w:val="none"/>
        </w:rPr>
        <w:t>加强施工期渔业资源监测，及时掌握库区及下游河道渔业资源的动态变化情况。建立鱼类及时救护机制，施工中如发现有受困或受伤保护野生动物，应立即停止施工，并通报渔政部门进行处理。</w:t>
      </w:r>
    </w:p>
    <w:p w14:paraId="64251018">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陆生生态保护</w:t>
      </w:r>
    </w:p>
    <w:p w14:paraId="4201F3EF">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陆生植物保护措施</w:t>
      </w:r>
    </w:p>
    <w:p w14:paraId="46CCF9B8">
      <w:pPr>
        <w:bidi w:val="0"/>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1、避让措施</w:t>
      </w:r>
    </w:p>
    <w:p w14:paraId="178AADBC">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1）优化工程设计</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w:t>
      </w:r>
      <w:r>
        <w:rPr>
          <w:rFonts w:hint="default" w:ascii="Times New Roman" w:hAnsi="Times New Roman" w:eastAsia="宋体" w:cs="Times New Roman"/>
          <w:caps w:val="0"/>
          <w:smallCaps w:val="0"/>
          <w:snapToGrid/>
          <w:color w:val="auto"/>
          <w:spacing w:val="0"/>
          <w:kern w:val="0"/>
          <w:sz w:val="24"/>
          <w:szCs w:val="24"/>
          <w:highlight w:val="none"/>
          <w:u w:val="none"/>
        </w:rPr>
        <w:t>在保证安全的前提下，尽可能减少坝肩边坡开挖对植被的破坏，并尽可能给植被恢复提供立地条件；合理利用弃渣在下游填筑出永久场地，用于布置坝区绿化。</w:t>
      </w:r>
    </w:p>
    <w:p w14:paraId="7EA586E2">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2）优化施工方案，项目临时中转堆存场等工程的设置要在最大限度上做到挖填平衡，减少土石方远距离调运，尽可能地减轻在施工过程中因土石方运输造成的扬尘污染以及雨季施工潜在的水土流失等对植被的破坏。</w:t>
      </w:r>
    </w:p>
    <w:p w14:paraId="2DB0D68D">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3）优化施工时序，评价区农田生态系统多分布于下坝下，优化施工时序，在坝下施工时建议在农作物收获后施工。</w:t>
      </w:r>
    </w:p>
    <w:p w14:paraId="70553109">
      <w:pPr>
        <w:bidi w:val="0"/>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2、减缓措施</w:t>
      </w:r>
    </w:p>
    <w:p w14:paraId="46DF7EE0">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1）加强森林资源保护。防止在评价区森林资源的滥砍乱伐和过量采伐林木及毁林开荒等不良现象发生，保护和培育现有森林。</w:t>
      </w:r>
    </w:p>
    <w:p w14:paraId="485B399F">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2）划定施工活动范围，加强施工监理工作。确保施工人员在征地范围内活动，从而减轻非施工因素对周围植物及植被的占用与压踏。</w:t>
      </w:r>
    </w:p>
    <w:p w14:paraId="3750C89D">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3）设置警示牌，施工期间，在溢洪道进口、</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大坝</w:t>
      </w:r>
      <w:r>
        <w:rPr>
          <w:rFonts w:hint="default" w:ascii="Times New Roman" w:hAnsi="Times New Roman" w:eastAsia="宋体" w:cs="Times New Roman"/>
          <w:caps w:val="0"/>
          <w:smallCaps w:val="0"/>
          <w:snapToGrid/>
          <w:color w:val="auto"/>
          <w:spacing w:val="0"/>
          <w:kern w:val="0"/>
          <w:sz w:val="24"/>
          <w:szCs w:val="24"/>
          <w:highlight w:val="none"/>
          <w:u w:val="none"/>
        </w:rPr>
        <w:t>、</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输水隧洞、防汛公路</w:t>
      </w:r>
      <w:r>
        <w:rPr>
          <w:rFonts w:hint="default" w:ascii="Times New Roman" w:hAnsi="Times New Roman" w:eastAsia="宋体" w:cs="Times New Roman"/>
          <w:caps w:val="0"/>
          <w:smallCaps w:val="0"/>
          <w:snapToGrid/>
          <w:color w:val="auto"/>
          <w:spacing w:val="0"/>
          <w:kern w:val="0"/>
          <w:sz w:val="24"/>
          <w:szCs w:val="24"/>
          <w:highlight w:val="none"/>
          <w:u w:val="none"/>
        </w:rPr>
        <w:t>及施工工厂等人为活动较为频繁的区域以及涉及</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森林公园</w:t>
      </w:r>
      <w:r>
        <w:rPr>
          <w:rFonts w:hint="default" w:ascii="Times New Roman" w:hAnsi="Times New Roman" w:eastAsia="宋体" w:cs="Times New Roman"/>
          <w:caps w:val="0"/>
          <w:smallCaps w:val="0"/>
          <w:snapToGrid/>
          <w:color w:val="auto"/>
          <w:spacing w:val="0"/>
          <w:kern w:val="0"/>
          <w:sz w:val="24"/>
          <w:szCs w:val="24"/>
          <w:highlight w:val="none"/>
          <w:u w:val="none"/>
        </w:rPr>
        <w:t>地段设置生态保护警示牌。警示牌上标明工程施工区范围，禁止越界施工占地或砍伐林木，尽量减少占地对植被和生态敏感区的破坏。</w:t>
      </w:r>
    </w:p>
    <w:p w14:paraId="52FA0AEB">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4）防止外来入侵种的扩散。加大宣传力度，对外来入侵植物的危害以及传播途径向施工人员进行宣传。</w:t>
      </w:r>
    </w:p>
    <w:p w14:paraId="03B6DA93">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5）加强宣传教育活动，强化对现有生态的保护。施工前印发生态保护手册，加强对施工人员的法律和生态保护知识的宣传教育，强化生态保护意识。</w:t>
      </w:r>
    </w:p>
    <w:p w14:paraId="6BFA51FA">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6）加强植物检疫。在施工建设过程中要加强包装材料的检疫工作，防止森林病虫害的爆发。</w:t>
      </w:r>
    </w:p>
    <w:p w14:paraId="07029D0B">
      <w:pPr>
        <w:bidi w:val="0"/>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3、恢复与补偿措施</w:t>
      </w:r>
    </w:p>
    <w:p w14:paraId="1B4A7BA2">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施工结束后，应结合水土保持植物措施，对各施工迹地实施植被修复措施。</w:t>
      </w:r>
    </w:p>
    <w:p w14:paraId="79C697C6">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lang w:eastAsia="zh-CN"/>
        </w:rPr>
      </w:pPr>
      <w:r>
        <w:rPr>
          <w:rFonts w:hint="default" w:ascii="Times New Roman" w:hAnsi="Times New Roman" w:eastAsia="宋体" w:cs="Times New Roman"/>
          <w:caps w:val="0"/>
          <w:smallCaps w:val="0"/>
          <w:snapToGrid/>
          <w:color w:val="auto"/>
          <w:spacing w:val="0"/>
          <w:kern w:val="0"/>
          <w:sz w:val="24"/>
          <w:szCs w:val="24"/>
          <w:highlight w:val="none"/>
          <w:u w:val="none"/>
          <w:lang w:eastAsia="zh-CN"/>
        </w:rPr>
        <w:t>（</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1</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）植被修复原则</w:t>
      </w:r>
    </w:p>
    <w:p w14:paraId="792AE4BA">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lang w:eastAsia="zh-CN"/>
        </w:rPr>
      </w:pP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1</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）保护原有生态系统的原则</w:t>
      </w:r>
    </w:p>
    <w:p w14:paraId="2140C3C5">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评价区地貌以丘陵山地为主，区域自然植被以次生林为主。本项目建设不可避免的会占用区域内的林地、耕地、草地等，原区域内植被破坏，生态系统结构及功能受到影响。因此在植被修复过程中，必须尽量保护施工占地区域原有体系的生态环境，尽量发展以竹林、阔叶林植被为主体的生态系统。</w:t>
      </w:r>
    </w:p>
    <w:p w14:paraId="111C509B">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lang w:eastAsia="zh-CN"/>
        </w:rPr>
      </w:pP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2</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）保护生物多样性的原则</w:t>
      </w:r>
    </w:p>
    <w:p w14:paraId="1BDBC078">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植被修复措施不仅考虑植被覆盖率，而且需要在利用当地原有物种的情况下，尽量使物种多样化，避免单一。在保证物种多样性的前提下，防止外来入侵种的扩散。</w:t>
      </w:r>
    </w:p>
    <w:p w14:paraId="61B69A6D">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3）景观优化的原则</w:t>
      </w:r>
    </w:p>
    <w:p w14:paraId="41064298">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植被恢复时，应与景观美化相结合，在恢复原有植被、生态系统的同时，尽量与提升景观质量相结合。</w:t>
      </w:r>
    </w:p>
    <w:p w14:paraId="1B1C0891">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lang w:eastAsia="zh-CN"/>
        </w:rPr>
        <w:t>（</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2</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w:t>
      </w:r>
      <w:r>
        <w:rPr>
          <w:rFonts w:hint="default" w:ascii="Times New Roman" w:hAnsi="Times New Roman" w:eastAsia="宋体" w:cs="Times New Roman"/>
          <w:caps w:val="0"/>
          <w:smallCaps w:val="0"/>
          <w:snapToGrid/>
          <w:color w:val="auto"/>
          <w:spacing w:val="0"/>
          <w:kern w:val="0"/>
          <w:sz w:val="24"/>
          <w:szCs w:val="24"/>
          <w:highlight w:val="none"/>
          <w:u w:val="none"/>
        </w:rPr>
        <w:t>恢复植物的选择</w:t>
      </w:r>
    </w:p>
    <w:p w14:paraId="259802F0">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1）选择的原则</w:t>
      </w:r>
    </w:p>
    <w:p w14:paraId="49F7700D">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fldChar w:fldCharType="begin"/>
      </w:r>
      <w:r>
        <w:rPr>
          <w:rFonts w:hint="default" w:ascii="Times New Roman" w:hAnsi="Times New Roman" w:eastAsia="宋体" w:cs="Times New Roman"/>
          <w:caps w:val="0"/>
          <w:smallCaps w:val="0"/>
          <w:snapToGrid/>
          <w:color w:val="auto"/>
          <w:spacing w:val="0"/>
          <w:kern w:val="0"/>
          <w:sz w:val="24"/>
          <w:szCs w:val="24"/>
          <w:highlight w:val="none"/>
          <w:u w:val="none"/>
        </w:rPr>
        <w:instrText xml:space="preserve"> = 1 \* GB3 \* MERGEFORMAT </w:instrText>
      </w:r>
      <w:r>
        <w:rPr>
          <w:rFonts w:hint="default" w:ascii="Times New Roman" w:hAnsi="Times New Roman" w:eastAsia="宋体" w:cs="Times New Roman"/>
          <w:caps w:val="0"/>
          <w:smallCaps w:val="0"/>
          <w:snapToGrid/>
          <w:color w:val="auto"/>
          <w:spacing w:val="0"/>
          <w:kern w:val="0"/>
          <w:sz w:val="24"/>
          <w:szCs w:val="24"/>
          <w:highlight w:val="none"/>
          <w:u w:val="none"/>
        </w:rPr>
        <w:fldChar w:fldCharType="separate"/>
      </w:r>
      <w:r>
        <w:rPr>
          <w:rFonts w:hint="default" w:ascii="Times New Roman" w:hAnsi="Times New Roman" w:cs="Times New Roman"/>
        </w:rPr>
        <w:t>①</w:t>
      </w:r>
      <w:r>
        <w:rPr>
          <w:rFonts w:hint="default" w:ascii="Times New Roman" w:hAnsi="Times New Roman" w:eastAsia="宋体" w:cs="Times New Roman"/>
          <w:caps w:val="0"/>
          <w:smallCaps w:val="0"/>
          <w:snapToGrid/>
          <w:color w:val="auto"/>
          <w:spacing w:val="0"/>
          <w:kern w:val="0"/>
          <w:sz w:val="24"/>
          <w:szCs w:val="24"/>
          <w:highlight w:val="none"/>
          <w:u w:val="none"/>
        </w:rPr>
        <w:fldChar w:fldCharType="end"/>
      </w:r>
      <w:r>
        <w:rPr>
          <w:rFonts w:hint="default" w:ascii="Times New Roman" w:hAnsi="Times New Roman" w:eastAsia="宋体" w:cs="Times New Roman"/>
          <w:caps w:val="0"/>
          <w:smallCaps w:val="0"/>
          <w:snapToGrid/>
          <w:color w:val="auto"/>
          <w:spacing w:val="0"/>
          <w:kern w:val="0"/>
          <w:sz w:val="24"/>
          <w:szCs w:val="24"/>
          <w:highlight w:val="none"/>
          <w:u w:val="none"/>
        </w:rPr>
        <w:t>生态适应性原则：植物生态习性必须与当地条件相适应。评价区属亚热带大陆性季风气候区，属中低山地貌，所发育的地带性植被是亚热带常绿阔叶林，区域植被恢复时需选择适应亚热带大陆性季风气候环境的植物，应以毛竹、</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楝</w:t>
      </w:r>
      <w:r>
        <w:rPr>
          <w:rFonts w:hint="default" w:ascii="Times New Roman" w:hAnsi="Times New Roman" w:eastAsia="宋体" w:cs="Times New Roman"/>
          <w:caps w:val="0"/>
          <w:smallCaps w:val="0"/>
          <w:snapToGrid/>
          <w:color w:val="auto"/>
          <w:spacing w:val="0"/>
          <w:kern w:val="0"/>
          <w:sz w:val="24"/>
          <w:szCs w:val="24"/>
          <w:highlight w:val="none"/>
          <w:u w:val="none"/>
        </w:rPr>
        <w:t>、油茶等为主。</w:t>
      </w:r>
    </w:p>
    <w:p w14:paraId="4B6C030D">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fldChar w:fldCharType="begin"/>
      </w:r>
      <w:r>
        <w:rPr>
          <w:rFonts w:hint="default" w:ascii="Times New Roman" w:hAnsi="Times New Roman" w:eastAsia="宋体" w:cs="Times New Roman"/>
          <w:caps w:val="0"/>
          <w:smallCaps w:val="0"/>
          <w:snapToGrid/>
          <w:color w:val="auto"/>
          <w:spacing w:val="0"/>
          <w:kern w:val="0"/>
          <w:sz w:val="24"/>
          <w:szCs w:val="24"/>
          <w:highlight w:val="none"/>
          <w:u w:val="none"/>
        </w:rPr>
        <w:instrText xml:space="preserve"> = 2 \* GB3 \* MERGEFORMAT </w:instrText>
      </w:r>
      <w:r>
        <w:rPr>
          <w:rFonts w:hint="default" w:ascii="Times New Roman" w:hAnsi="Times New Roman" w:eastAsia="宋体" w:cs="Times New Roman"/>
          <w:caps w:val="0"/>
          <w:smallCaps w:val="0"/>
          <w:snapToGrid/>
          <w:color w:val="auto"/>
          <w:spacing w:val="0"/>
          <w:kern w:val="0"/>
          <w:sz w:val="24"/>
          <w:szCs w:val="24"/>
          <w:highlight w:val="none"/>
          <w:u w:val="none"/>
        </w:rPr>
        <w:fldChar w:fldCharType="separate"/>
      </w:r>
      <w:r>
        <w:rPr>
          <w:rFonts w:hint="default" w:ascii="Times New Roman" w:hAnsi="Times New Roman" w:cs="Times New Roman"/>
        </w:rPr>
        <w:t>②</w:t>
      </w:r>
      <w:r>
        <w:rPr>
          <w:rFonts w:hint="default" w:ascii="Times New Roman" w:hAnsi="Times New Roman" w:eastAsia="宋体" w:cs="Times New Roman"/>
          <w:caps w:val="0"/>
          <w:smallCaps w:val="0"/>
          <w:snapToGrid/>
          <w:color w:val="auto"/>
          <w:spacing w:val="0"/>
          <w:kern w:val="0"/>
          <w:sz w:val="24"/>
          <w:szCs w:val="24"/>
          <w:highlight w:val="none"/>
          <w:u w:val="none"/>
        </w:rPr>
        <w:fldChar w:fldCharType="end"/>
      </w:r>
      <w:r>
        <w:rPr>
          <w:rFonts w:hint="default" w:ascii="Times New Roman" w:hAnsi="Times New Roman" w:eastAsia="宋体" w:cs="Times New Roman"/>
          <w:caps w:val="0"/>
          <w:smallCaps w:val="0"/>
          <w:snapToGrid/>
          <w:color w:val="auto"/>
          <w:spacing w:val="0"/>
          <w:kern w:val="0"/>
          <w:sz w:val="24"/>
          <w:szCs w:val="24"/>
          <w:highlight w:val="none"/>
          <w:u w:val="none"/>
        </w:rPr>
        <w:t>本土植物优先原则：乡土树种对植被恢复具有重要作用，其能快速融于周边生态环境，减轻对景观的影响，并可阻止外来物种入侵。由于乡土种在当地食物链中已经形成相对稳定的结构，与生境建立了和谐的关系，其适应性强、生长快、自我繁殖和更新能力强，有利于保护生物多样性和维持当地生态平衡。</w:t>
      </w:r>
    </w:p>
    <w:p w14:paraId="799A7B55">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2）恢复植物的选择</w:t>
      </w:r>
    </w:p>
    <w:p w14:paraId="6646C9C0">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根据评价区生态环境特点及区域植被分布特征，植被恢复时乔木树种应尽量选择毛竹、</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楝</w:t>
      </w:r>
      <w:r>
        <w:rPr>
          <w:rFonts w:hint="default" w:ascii="Times New Roman" w:hAnsi="Times New Roman" w:eastAsia="宋体" w:cs="Times New Roman"/>
          <w:caps w:val="0"/>
          <w:smallCaps w:val="0"/>
          <w:snapToGrid/>
          <w:color w:val="auto"/>
          <w:spacing w:val="0"/>
          <w:kern w:val="0"/>
          <w:sz w:val="24"/>
          <w:szCs w:val="24"/>
          <w:highlight w:val="none"/>
          <w:u w:val="none"/>
        </w:rPr>
        <w:t>、樟树等，灌木尽量选择檵木、牡荆、盐肤木等，草本植物尽量选择五节芒、芒等，这些植物皆为评价区常见种，其适应性强，生长快，且可起到较好的水土保持的作用。</w:t>
      </w:r>
    </w:p>
    <w:p w14:paraId="123BDEA4">
      <w:pPr>
        <w:bidi w:val="0"/>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4、管理措施</w:t>
      </w:r>
    </w:p>
    <w:p w14:paraId="5F3000F3">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1）加强宣传教育活动。施工前印发环境保护手册，组织专家对施工人员及附近居民等进行环保宣传教育，提高施工人员及附近居民对环境的保护意识。坚决制止评价区植被的滥砍乱伐、过量采伐、毁林开荒等不良现象发生，保护和培育现有森林资源。</w:t>
      </w:r>
    </w:p>
    <w:p w14:paraId="59C57D45">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2）加强施工监理工作，强化对现有植被的管理。施工前划定施工活动范围，确保施工人员在征地范围内活动；施工过程中，加强对施工人员的管理，严格限制施工人员的活动范围，严禁越界施工破坏区域植被及生态环境。</w:t>
      </w:r>
    </w:p>
    <w:p w14:paraId="4C2FDE38">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3）工程施工期、运营期都应对植物的影响进行监测或调查。施工过程中若发现，及时上报主管部门，并根据其所处位置及受影响程度，采取迁地移栽或就地保护等措施。运营期主要监测生境的变化，植被的变化以及生态系统整体性变化。通过监测，加强对生态的管理，在工程管理机构，应设置生态环境管理人员，建立各种管理及报告制度，开展对工程影响区的环境教育，提高施工人员和管理人员环境意识。通过动态监测和完善管理，使生态向良性或有利方向发展。</w:t>
      </w:r>
    </w:p>
    <w:p w14:paraId="7E25ED7F">
      <w:pPr>
        <w:bidi w:val="0"/>
        <w:spacing w:line="360" w:lineRule="auto"/>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5、对古树名木的保护措施</w:t>
      </w:r>
    </w:p>
    <w:p w14:paraId="46FC8707">
      <w:pPr>
        <w:tabs>
          <w:tab w:val="left" w:pos="1021"/>
        </w:tabs>
        <w:spacing w:line="360" w:lineRule="auto"/>
        <w:ind w:firstLine="480" w:firstLineChars="200"/>
        <w:rPr>
          <w:rFonts w:hint="default" w:ascii="Times New Roman" w:hAnsi="Times New Roman" w:eastAsia="宋体" w:cs="Times New Roman"/>
          <w:color w:val="auto"/>
          <w:kern w:val="0"/>
          <w:sz w:val="24"/>
          <w:szCs w:val="24"/>
          <w:highlight w:val="none"/>
          <w:u w:val="none"/>
        </w:rPr>
      </w:pPr>
      <w:r>
        <w:rPr>
          <w:rFonts w:hint="default" w:ascii="Times New Roman" w:hAnsi="Times New Roman" w:eastAsia="宋体" w:cs="Times New Roman"/>
          <w:caps w:val="0"/>
          <w:smallCaps w:val="0"/>
          <w:color w:val="auto"/>
          <w:kern w:val="0"/>
          <w:sz w:val="24"/>
          <w:szCs w:val="24"/>
          <w:highlight w:val="none"/>
          <w:u w:val="none"/>
          <w:lang w:val="en-US" w:eastAsia="zh-CN"/>
        </w:rPr>
        <w:t>评价区发现的1株香樟古树和1株银杏古树，因严格实施原址保护，禁止人为砍伐、破坏生境。同时加强宣传，增强员工的保护意识，避免意外砍伐。</w:t>
      </w:r>
    </w:p>
    <w:p w14:paraId="3801AF97">
      <w:pPr>
        <w:bidi w:val="0"/>
        <w:spacing w:line="360" w:lineRule="auto"/>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6、对保护植物的保护措施</w:t>
      </w:r>
    </w:p>
    <w:p w14:paraId="6C8BE165">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工程在施工时应采取相关措施加强对国家级省级重点保护野生植物的宣传和保护：</w:t>
      </w:r>
    </w:p>
    <w:p w14:paraId="5BF7C3EC">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1）加强宣教，严禁采挖。工程施工强对评价区可能分布的保护野生植物应印发宣传手册进行宣传教育，严禁施工人员采挖具有观赏及经济价值的保护植物如兰属植物、中华猕猴桃等。</w:t>
      </w:r>
    </w:p>
    <w:p w14:paraId="5F546E28">
      <w:pPr>
        <w:widowControl w:val="0"/>
        <w:spacing w:line="360" w:lineRule="auto"/>
        <w:ind w:firstLine="480" w:firstLineChars="200"/>
        <w:jc w:val="both"/>
        <w:rPr>
          <w:rFonts w:hint="default" w:ascii="Times New Roman" w:hAnsi="Times New Roman" w:eastAsia="宋体" w:cs="Times New Roman"/>
          <w:sz w:val="24"/>
          <w:szCs w:val="21"/>
        </w:rPr>
      </w:pPr>
      <w:r>
        <w:rPr>
          <w:rFonts w:hint="default" w:ascii="Times New Roman" w:hAnsi="Times New Roman" w:eastAsia="宋体" w:cs="Times New Roman"/>
          <w:caps w:val="0"/>
          <w:smallCaps w:val="0"/>
          <w:snapToGrid/>
          <w:color w:val="auto"/>
          <w:spacing w:val="0"/>
          <w:kern w:val="0"/>
          <w:sz w:val="24"/>
          <w:szCs w:val="24"/>
          <w:highlight w:val="none"/>
          <w:u w:val="none"/>
        </w:rPr>
        <w:t>2）工程在施工中若发现国家级省级重点保护野生植物应立即停止施工，向当地主管部门汇报待保护植物得到相关保护措施后方可进行施工。</w:t>
      </w:r>
    </w:p>
    <w:p w14:paraId="294DDF7E">
      <w:pPr>
        <w:pStyle w:val="9"/>
        <w:bidi w:val="0"/>
        <w:rPr>
          <w:rFonts w:hint="default" w:ascii="Times New Roman" w:hAnsi="Times New Roman" w:cs="Times New Roman"/>
          <w:lang w:val="en-US" w:eastAsia="zh-CN"/>
        </w:rPr>
      </w:pPr>
      <w:r>
        <w:rPr>
          <w:rFonts w:hint="default" w:ascii="Times New Roman" w:hAnsi="Times New Roman" w:cs="Times New Roman"/>
          <w:lang w:val="en-US" w:eastAsia="zh-CN"/>
        </w:rPr>
        <w:t>陆生动物保护措施</w:t>
      </w:r>
    </w:p>
    <w:p w14:paraId="42768CD8">
      <w:pPr>
        <w:bidi w:val="0"/>
        <w:spacing w:line="360" w:lineRule="auto"/>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1、避让措施</w:t>
      </w:r>
    </w:p>
    <w:p w14:paraId="06C3B56A">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pPr>
      <w:r>
        <w:rPr>
          <w:rFonts w:hint="default" w:ascii="Times New Roman" w:hAnsi="Times New Roman" w:eastAsia="宋体" w:cs="Times New Roman"/>
          <w:caps w:val="0"/>
          <w:smallCaps w:val="0"/>
          <w:snapToGrid/>
          <w:color w:val="auto"/>
          <w:spacing w:val="0"/>
          <w:kern w:val="0"/>
          <w:sz w:val="24"/>
          <w:szCs w:val="24"/>
          <w:highlight w:val="none"/>
          <w:u w:val="none"/>
        </w:rPr>
        <w:t>根据项目施工进度，</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东山</w:t>
      </w:r>
      <w:r>
        <w:rPr>
          <w:rFonts w:hint="default" w:ascii="Times New Roman" w:hAnsi="Times New Roman" w:eastAsia="宋体" w:cs="Times New Roman"/>
          <w:caps w:val="0"/>
          <w:smallCaps w:val="0"/>
          <w:snapToGrid/>
          <w:color w:val="auto"/>
          <w:spacing w:val="0"/>
          <w:kern w:val="0"/>
          <w:sz w:val="24"/>
          <w:szCs w:val="24"/>
          <w:highlight w:val="none"/>
          <w:u w:val="none"/>
        </w:rPr>
        <w:t>水库</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施工总工期为</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8个月，从第一年9月至第二年4月。第1年9月为施工准备期，主要完成场内交通、风水电系统、砼系统修建、施工仓库、施工工厂及生活福利设施的建设。主体工程包括大坝、溢洪道、输水隧洞、引水渠、防汛公路和管理设施等部位的除险加固。其中，大坝上游坝坡和防渗处理需要通过输水隧洞放水降低水库水位后进行，拟在一个枯水期内从第1年10月至第2年3月完成全部土建、装修和金结安装工程。第2年4月为工程完建期。</w:t>
      </w:r>
    </w:p>
    <w:p w14:paraId="7A353446">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根据现场调查，在评价区内繁殖的鸟类</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6</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0</w:t>
      </w:r>
      <w:r>
        <w:rPr>
          <w:rFonts w:hint="default" w:ascii="Times New Roman" w:hAnsi="Times New Roman" w:eastAsia="宋体" w:cs="Times New Roman"/>
          <w:caps w:val="0"/>
          <w:smallCaps w:val="0"/>
          <w:snapToGrid/>
          <w:color w:val="auto"/>
          <w:spacing w:val="0"/>
          <w:kern w:val="0"/>
          <w:sz w:val="24"/>
          <w:szCs w:val="24"/>
          <w:highlight w:val="none"/>
          <w:u w:val="none"/>
        </w:rPr>
        <w:t>种，占比</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6</w:t>
      </w:r>
      <w:r>
        <w:rPr>
          <w:rFonts w:hint="default" w:ascii="Times New Roman" w:hAnsi="Times New Roman" w:eastAsia="宋体" w:cs="Times New Roman"/>
          <w:caps w:val="0"/>
          <w:smallCaps w:val="0"/>
          <w:snapToGrid/>
          <w:color w:val="auto"/>
          <w:spacing w:val="0"/>
          <w:kern w:val="0"/>
          <w:sz w:val="24"/>
          <w:szCs w:val="24"/>
          <w:highlight w:val="none"/>
          <w:u w:val="none"/>
          <w:lang w:val="en-US" w:eastAsia="zh-CN"/>
        </w:rPr>
        <w:t>3.83</w:t>
      </w:r>
      <w:r>
        <w:rPr>
          <w:rFonts w:hint="default" w:ascii="Times New Roman" w:hAnsi="Times New Roman" w:eastAsia="宋体" w:cs="Times New Roman"/>
          <w:caps w:val="0"/>
          <w:smallCaps w:val="0"/>
          <w:snapToGrid/>
          <w:color w:val="auto"/>
          <w:spacing w:val="0"/>
          <w:kern w:val="0"/>
          <w:sz w:val="24"/>
          <w:szCs w:val="24"/>
          <w:highlight w:val="none"/>
          <w:u w:val="none"/>
        </w:rPr>
        <w:t>%，主要繁殖期为3~7月，主要营巢于林地内，工程施工破坏洲滩植被，会对区域鸟类繁殖造成一定影响。建议毁坏林地时施工避开区域鸟类主要繁殖期。区域冬候鸟主要为雁鸭类，活动于</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东山</w:t>
      </w:r>
      <w:r>
        <w:rPr>
          <w:rFonts w:hint="default" w:ascii="Times New Roman" w:hAnsi="Times New Roman" w:eastAsia="宋体" w:cs="Times New Roman"/>
          <w:caps w:val="0"/>
          <w:smallCaps w:val="0"/>
          <w:snapToGrid/>
          <w:color w:val="auto"/>
          <w:spacing w:val="0"/>
          <w:kern w:val="0"/>
          <w:sz w:val="24"/>
          <w:szCs w:val="24"/>
          <w:highlight w:val="none"/>
          <w:u w:val="none"/>
        </w:rPr>
        <w:t>水库，栖息时间为11~翌年3月。建议合理安排工期，主体工程施工避开区域冬候鸟栖息时间。</w:t>
      </w:r>
    </w:p>
    <w:p w14:paraId="0A03450E">
      <w:pPr>
        <w:bidi w:val="0"/>
        <w:spacing w:line="360" w:lineRule="auto"/>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2、减缓措施</w:t>
      </w:r>
    </w:p>
    <w:p w14:paraId="1B186573">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1）施工期间项目建设单位组织生态环保宣传教育，提高施工人员的保护意识，严禁捕猎野生动物。施工人员必须遵守《中华人民共和国野生动物保护法》，严禁在施工区及其周围捕猎野生动物，特别是国家级、省级重点保护动物，在施工时严禁对其进行猎捕，严禁施工人员捕杀野生动物。</w:t>
      </w:r>
    </w:p>
    <w:p w14:paraId="08DA552A">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2）施工单位合理设置工程施工时段和方式，防止噪声对野生动物的惊扰。野生鸟类和哺乳类大多是早晨、黄昏或夜间外出觅食，正午是鸟类休息时间。为了减少工程施工噪声对野生动物的惊扰，应做好施工方式和时间的计划，并力求避免在晨昏和正午的噪声影响等。</w:t>
      </w:r>
    </w:p>
    <w:p w14:paraId="761F7C0A">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（3）由于</w:t>
      </w:r>
      <w:r>
        <w:rPr>
          <w:rFonts w:hint="default" w:ascii="Times New Roman" w:hAnsi="Times New Roman" w:eastAsia="宋体" w:cs="Times New Roman"/>
          <w:caps w:val="0"/>
          <w:smallCaps w:val="0"/>
          <w:snapToGrid/>
          <w:color w:val="auto"/>
          <w:spacing w:val="0"/>
          <w:kern w:val="0"/>
          <w:sz w:val="24"/>
          <w:szCs w:val="24"/>
          <w:highlight w:val="none"/>
          <w:u w:val="none"/>
          <w:lang w:eastAsia="zh-CN"/>
        </w:rPr>
        <w:t>东山</w:t>
      </w:r>
      <w:r>
        <w:rPr>
          <w:rFonts w:hint="default" w:ascii="Times New Roman" w:hAnsi="Times New Roman" w:eastAsia="宋体" w:cs="Times New Roman"/>
          <w:caps w:val="0"/>
          <w:smallCaps w:val="0"/>
          <w:snapToGrid/>
          <w:color w:val="auto"/>
          <w:spacing w:val="0"/>
          <w:kern w:val="0"/>
          <w:sz w:val="24"/>
          <w:szCs w:val="24"/>
          <w:highlight w:val="none"/>
          <w:u w:val="none"/>
        </w:rPr>
        <w:t>水库中有不少游禽、涉禽及两栖爬行类活动，所以施工单位要加强对施工人员的各类卫生管理（如个人卫生、粪便和生活污水），施工废水应经过处理达标后回用于施工或绿化。</w:t>
      </w:r>
    </w:p>
    <w:p w14:paraId="643018D6">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（4）主体工程工时需要不断观察周围水域，不断改进施工方案，减少污染，尽量减少对河床的扰动。</w:t>
      </w:r>
    </w:p>
    <w:p w14:paraId="418220ED">
      <w:pPr>
        <w:bidi w:val="0"/>
        <w:spacing w:line="360" w:lineRule="auto"/>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3、修复措施</w:t>
      </w:r>
    </w:p>
    <w:p w14:paraId="5D1E8EFC">
      <w:p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及时对临时工程进行拆除，并进行植被恢复，削减工程占地对区域野生动物生境占用的影响。</w:t>
      </w:r>
    </w:p>
    <w:p w14:paraId="5FFE70FF">
      <w:pPr>
        <w:bidi w:val="0"/>
        <w:spacing w:line="360" w:lineRule="auto"/>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4、管理措施</w:t>
      </w:r>
    </w:p>
    <w:p w14:paraId="4E76EBF8">
      <w:pPr>
        <w:numPr>
          <w:ilvl w:val="0"/>
          <w:numId w:val="25"/>
        </w:num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加强对工程施工人员的生态教育和野生动物保护教育，加强宣传力度。采用在工程施工营造地分发宣传资料和制作重点保护野生动物板报、日常工作会议中重点告示的方式宣传《中华人民共和国野生动物保护法》、《森林和野生动物类型自然保护区管理办法》、《中华人民共和国陆生野生动物保护实施条例》等相关法律法规及条例，提高施工和管理人员的保护意识，严禁捕猎野生动物的行为。</w:t>
      </w:r>
    </w:p>
    <w:p w14:paraId="217EAF2B">
      <w:pPr>
        <w:numPr>
          <w:ilvl w:val="0"/>
          <w:numId w:val="0"/>
        </w:num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（2）加强宣传教育活动，提高工作人员及区域居民的环境保护意识，严禁将生活废水直接排入水域，削减施工对水环境的污染。</w:t>
      </w:r>
    </w:p>
    <w:p w14:paraId="11211171">
      <w:pPr>
        <w:numPr>
          <w:ilvl w:val="0"/>
          <w:numId w:val="0"/>
        </w:num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（3）施工单位强对施工器械的检查力度，防止施工器械“跑、冒、滴、漏”油的事故发生。</w:t>
      </w:r>
    </w:p>
    <w:p w14:paraId="374260E8">
      <w:pPr>
        <w:numPr>
          <w:ilvl w:val="0"/>
          <w:numId w:val="0"/>
        </w:num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（4）施工和施工完成后，业主单位委托具有相关资质的单位积极开展对项目区域内的湿地鸟类进行监测，分析冬候鸟的变化趋势，掌握保护措施的实际效果，用于改善湿地鸟类的保护措施。</w:t>
      </w:r>
    </w:p>
    <w:p w14:paraId="11539140">
      <w:pPr>
        <w:numPr>
          <w:ilvl w:val="0"/>
          <w:numId w:val="0"/>
        </w:num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（5）自然疫源性疾病的传播者（部分鼠类），施工人员生活垃圾的堆放可能引来鼠类聚集，施工单位需要重视施工区域人、畜的防疫工作。</w:t>
      </w:r>
    </w:p>
    <w:p w14:paraId="03672C08">
      <w:pPr>
        <w:bidi w:val="0"/>
        <w:spacing w:line="360" w:lineRule="auto"/>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5、对重要动物的保护措施</w:t>
      </w:r>
    </w:p>
    <w:p w14:paraId="6D92D36F">
      <w:pPr>
        <w:numPr>
          <w:ilvl w:val="0"/>
          <w:numId w:val="0"/>
        </w:numPr>
        <w:tabs>
          <w:tab w:val="left" w:pos="1021"/>
        </w:tabs>
        <w:spacing w:line="360" w:lineRule="auto"/>
        <w:ind w:firstLine="480" w:firstLineChars="200"/>
        <w:rPr>
          <w:rFonts w:hint="default" w:ascii="Times New Roman" w:hAnsi="Times New Roman" w:eastAsia="宋体" w:cs="Times New Roman"/>
          <w:caps w:val="0"/>
          <w:smallCaps w:val="0"/>
          <w:snapToGrid/>
          <w:color w:val="auto"/>
          <w:spacing w:val="0"/>
          <w:kern w:val="0"/>
          <w:sz w:val="24"/>
          <w:szCs w:val="24"/>
          <w:highlight w:val="none"/>
          <w:u w:val="none"/>
        </w:rPr>
      </w:pPr>
      <w:r>
        <w:rPr>
          <w:rFonts w:hint="default" w:ascii="Times New Roman" w:hAnsi="Times New Roman" w:eastAsia="宋体" w:cs="Times New Roman"/>
          <w:caps w:val="0"/>
          <w:smallCaps w:val="0"/>
          <w:snapToGrid/>
          <w:color w:val="auto"/>
          <w:spacing w:val="0"/>
          <w:kern w:val="0"/>
          <w:sz w:val="24"/>
          <w:szCs w:val="24"/>
          <w:highlight w:val="none"/>
          <w:u w:val="none"/>
        </w:rPr>
        <w:t>施工期，工程施工严格控制征地范围；选用低噪音设备，禁止正午和晨昏进行高噪声活动；主体工程施工避开冬候鸟栖息时间；加强动物的监测，及时掌握重点保护动物分布范围、数量、种类、栖息生境等。加强与地方野生动物保护部门的联系，在工程实施期间，若发现受伤的野生动物及时上报。</w:t>
      </w:r>
    </w:p>
    <w:bookmarkEnd w:id="337"/>
    <w:bookmarkEnd w:id="338"/>
    <w:p w14:paraId="2301AE3F">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生态敏感区的保护措施</w:t>
      </w:r>
    </w:p>
    <w:p w14:paraId="776D80E6">
      <w:pPr>
        <w:spacing w:line="360" w:lineRule="auto"/>
        <w:ind w:firstLine="480" w:firstLineChars="200"/>
        <w:rPr>
          <w:rFonts w:hint="default" w:ascii="Times New Roman" w:hAnsi="Times New Roman" w:eastAsia="宋体" w:cs="Times New Roman"/>
          <w:caps w:val="0"/>
          <w:smallCaps w:val="0"/>
          <w:color w:val="auto"/>
          <w:kern w:val="0"/>
          <w:sz w:val="24"/>
          <w:szCs w:val="21"/>
          <w:u w:val="none"/>
          <w:lang w:val="en-US" w:eastAsia="zh-CN"/>
        </w:rPr>
      </w:pPr>
      <w:r>
        <w:rPr>
          <w:rFonts w:hint="default" w:ascii="Times New Roman" w:hAnsi="Times New Roman" w:eastAsia="宋体" w:cs="Times New Roman"/>
          <w:caps w:val="0"/>
          <w:smallCaps w:val="0"/>
          <w:color w:val="auto"/>
          <w:kern w:val="0"/>
          <w:sz w:val="24"/>
          <w:szCs w:val="21"/>
          <w:highlight w:val="none"/>
          <w:u w:val="none"/>
          <w:lang w:val="en-US" w:eastAsia="zh-CN"/>
        </w:rPr>
        <w:t>工程涉及到湖南华容桃花山省级森林公园，</w:t>
      </w:r>
      <w:r>
        <w:rPr>
          <w:rFonts w:hint="default" w:ascii="Times New Roman" w:hAnsi="Times New Roman" w:eastAsia="宋体" w:cs="Times New Roman"/>
          <w:caps w:val="0"/>
          <w:smallCaps w:val="0"/>
          <w:color w:val="auto"/>
          <w:kern w:val="0"/>
          <w:sz w:val="24"/>
          <w:szCs w:val="21"/>
          <w:u w:val="none"/>
          <w:lang w:val="en-US" w:eastAsia="zh-CN"/>
        </w:rPr>
        <w:t>相关优化、减缓措施正在进一步研究论证，工程将在维护生态敏感区结构与功能稳定，确保不因工程建设导致区域生态环境质量下降的基础上推进。</w:t>
      </w:r>
    </w:p>
    <w:p w14:paraId="6FF3447E">
      <w:pPr>
        <w:spacing w:line="360" w:lineRule="auto"/>
        <w:ind w:firstLine="480" w:firstLineChars="200"/>
        <w:rPr>
          <w:rFonts w:hint="default" w:ascii="Times New Roman" w:hAnsi="Times New Roman" w:eastAsia="宋体" w:cs="Times New Roman"/>
          <w:color w:val="auto"/>
          <w:kern w:val="0"/>
          <w:sz w:val="24"/>
          <w:szCs w:val="21"/>
          <w:u w:val="none"/>
          <w:lang w:val="en-US" w:eastAsia="zh-CN"/>
        </w:rPr>
      </w:pPr>
      <w:r>
        <w:rPr>
          <w:rFonts w:hint="default" w:ascii="Times New Roman" w:hAnsi="Times New Roman" w:eastAsia="宋体" w:cs="Times New Roman"/>
          <w:color w:val="auto"/>
          <w:kern w:val="0"/>
          <w:sz w:val="24"/>
          <w:szCs w:val="21"/>
          <w:u w:val="none"/>
          <w:lang w:val="en-US" w:eastAsia="zh-CN"/>
        </w:rPr>
        <w:t>（1）优化工程方案</w:t>
      </w:r>
    </w:p>
    <w:p w14:paraId="4BB08C76">
      <w:pPr>
        <w:spacing w:line="360" w:lineRule="auto"/>
        <w:ind w:firstLine="480" w:firstLineChars="200"/>
        <w:rPr>
          <w:rFonts w:hint="default" w:ascii="Times New Roman" w:hAnsi="Times New Roman" w:eastAsia="宋体" w:cs="Times New Roman"/>
          <w:color w:val="auto"/>
          <w:kern w:val="0"/>
          <w:sz w:val="24"/>
          <w:szCs w:val="21"/>
          <w:u w:val="none"/>
          <w:lang w:val="en-US" w:eastAsia="zh-CN"/>
        </w:rPr>
      </w:pPr>
      <w:r>
        <w:rPr>
          <w:rFonts w:hint="default" w:ascii="Times New Roman" w:hAnsi="Times New Roman" w:eastAsia="宋体" w:cs="Times New Roman"/>
          <w:color w:val="auto"/>
          <w:kern w:val="0"/>
          <w:sz w:val="24"/>
          <w:szCs w:val="21"/>
          <w:u w:val="none"/>
          <w:lang w:val="en-US" w:eastAsia="zh-CN"/>
        </w:rPr>
        <w:t>加强与主管部门沟通，就本项目建设征求有关意见和建议，进一步优化比选工程方案，妥善处理工程建设与森林公园的关系。</w:t>
      </w:r>
    </w:p>
    <w:p w14:paraId="345CB050">
      <w:pPr>
        <w:spacing w:line="360" w:lineRule="auto"/>
        <w:ind w:firstLine="480" w:firstLineChars="200"/>
        <w:rPr>
          <w:rFonts w:hint="default" w:ascii="Times New Roman" w:hAnsi="Times New Roman" w:eastAsia="宋体" w:cs="Times New Roman"/>
          <w:color w:val="auto"/>
          <w:kern w:val="0"/>
          <w:sz w:val="24"/>
          <w:szCs w:val="21"/>
          <w:u w:val="none"/>
          <w:lang w:val="en-US" w:eastAsia="zh-CN"/>
        </w:rPr>
      </w:pPr>
      <w:r>
        <w:rPr>
          <w:rFonts w:hint="default" w:ascii="Times New Roman" w:hAnsi="Times New Roman" w:eastAsia="宋体" w:cs="Times New Roman"/>
          <w:color w:val="auto"/>
          <w:kern w:val="0"/>
          <w:sz w:val="24"/>
          <w:szCs w:val="21"/>
          <w:u w:val="none"/>
          <w:lang w:val="en-US" w:eastAsia="zh-CN"/>
        </w:rPr>
        <w:t>（2）加强对重点保护动植物的保护宣传</w:t>
      </w:r>
    </w:p>
    <w:p w14:paraId="12EB553E">
      <w:pPr>
        <w:spacing w:line="360" w:lineRule="auto"/>
        <w:ind w:firstLine="480" w:firstLineChars="200"/>
        <w:rPr>
          <w:rFonts w:hint="default" w:ascii="Times New Roman" w:hAnsi="Times New Roman" w:eastAsia="宋体" w:cs="Times New Roman"/>
          <w:color w:val="auto"/>
          <w:kern w:val="0"/>
          <w:sz w:val="24"/>
          <w:szCs w:val="21"/>
          <w:u w:val="none"/>
          <w:lang w:val="en-US" w:eastAsia="zh-CN"/>
        </w:rPr>
      </w:pPr>
      <w:r>
        <w:rPr>
          <w:rFonts w:hint="default" w:ascii="Times New Roman" w:hAnsi="Times New Roman" w:eastAsia="宋体" w:cs="Times New Roman"/>
          <w:color w:val="auto"/>
          <w:kern w:val="0"/>
          <w:sz w:val="24"/>
          <w:szCs w:val="21"/>
          <w:u w:val="none"/>
          <w:lang w:val="en-US" w:eastAsia="zh-CN"/>
        </w:rPr>
        <w:t>给施工人员发放宣传手册，宣传中华人民共和国野生动物保护法，自然保护区条例等相关法规，以及八景洞省级森林公园的基本情况等。</w:t>
      </w:r>
    </w:p>
    <w:p w14:paraId="16A07277">
      <w:pPr>
        <w:spacing w:line="360" w:lineRule="auto"/>
        <w:ind w:firstLine="480" w:firstLineChars="200"/>
        <w:rPr>
          <w:rFonts w:hint="default" w:ascii="Times New Roman" w:hAnsi="Times New Roman" w:eastAsia="宋体" w:cs="Times New Roman"/>
          <w:color w:val="auto"/>
          <w:kern w:val="0"/>
          <w:sz w:val="24"/>
          <w:szCs w:val="21"/>
          <w:u w:val="none"/>
          <w:lang w:val="en-US" w:eastAsia="zh-CN"/>
        </w:rPr>
      </w:pPr>
      <w:r>
        <w:rPr>
          <w:rFonts w:hint="default" w:ascii="Times New Roman" w:hAnsi="Times New Roman" w:eastAsia="宋体" w:cs="Times New Roman"/>
          <w:color w:val="auto"/>
          <w:kern w:val="0"/>
          <w:sz w:val="24"/>
          <w:szCs w:val="21"/>
          <w:u w:val="none"/>
          <w:lang w:val="en-US" w:eastAsia="zh-CN"/>
        </w:rPr>
        <w:t>（3）施工期巡视及临时救护</w:t>
      </w:r>
    </w:p>
    <w:p w14:paraId="7A0FE762">
      <w:pPr>
        <w:spacing w:line="360" w:lineRule="auto"/>
        <w:ind w:firstLine="480" w:firstLineChars="200"/>
        <w:rPr>
          <w:rFonts w:hint="default" w:ascii="Times New Roman" w:hAnsi="Times New Roman" w:eastAsia="宋体" w:cs="Times New Roman"/>
          <w:color w:val="auto"/>
          <w:kern w:val="0"/>
          <w:sz w:val="24"/>
          <w:szCs w:val="21"/>
          <w:u w:val="none"/>
          <w:lang w:val="en-US" w:eastAsia="zh-CN"/>
        </w:rPr>
      </w:pPr>
      <w:r>
        <w:rPr>
          <w:rFonts w:hint="default" w:ascii="Times New Roman" w:hAnsi="Times New Roman" w:eastAsia="宋体" w:cs="Times New Roman"/>
          <w:color w:val="auto"/>
          <w:kern w:val="0"/>
          <w:sz w:val="24"/>
          <w:szCs w:val="21"/>
          <w:u w:val="none"/>
          <w:lang w:val="en-US" w:eastAsia="zh-CN"/>
        </w:rPr>
        <w:t>由施工方聘请专业人员对施工区域进行巡视，若发现有重点保护动物出没时，应停止施工，采取无伤害措施将保护动物驱离施工现场，必要时采取救助措施。</w:t>
      </w:r>
    </w:p>
    <w:p w14:paraId="7C874B14">
      <w:pPr>
        <w:spacing w:line="360" w:lineRule="auto"/>
        <w:ind w:firstLine="480" w:firstLineChars="200"/>
        <w:rPr>
          <w:rFonts w:hint="default" w:ascii="Times New Roman" w:hAnsi="Times New Roman" w:eastAsia="宋体" w:cs="Times New Roman"/>
          <w:color w:val="auto"/>
          <w:kern w:val="0"/>
          <w:sz w:val="24"/>
          <w:szCs w:val="21"/>
          <w:u w:val="none"/>
          <w:lang w:val="en-US" w:eastAsia="zh-CN"/>
        </w:rPr>
      </w:pPr>
      <w:r>
        <w:rPr>
          <w:rFonts w:hint="default" w:ascii="Times New Roman" w:hAnsi="Times New Roman" w:eastAsia="宋体" w:cs="Times New Roman"/>
          <w:color w:val="auto"/>
          <w:kern w:val="0"/>
          <w:sz w:val="24"/>
          <w:szCs w:val="21"/>
          <w:u w:val="none"/>
          <w:lang w:val="en-US" w:eastAsia="zh-CN"/>
        </w:rPr>
        <w:t>（4）设置护栏和拦网</w:t>
      </w:r>
    </w:p>
    <w:p w14:paraId="44E44294">
      <w:pPr>
        <w:spacing w:line="360" w:lineRule="auto"/>
        <w:ind w:firstLine="480" w:firstLineChars="200"/>
        <w:rPr>
          <w:rFonts w:hint="default" w:ascii="Times New Roman" w:hAnsi="Times New Roman" w:eastAsia="宋体" w:cs="Times New Roman"/>
          <w:color w:val="auto"/>
          <w:kern w:val="0"/>
          <w:sz w:val="24"/>
          <w:szCs w:val="21"/>
          <w:u w:val="none"/>
          <w:lang w:val="en-US" w:eastAsia="zh-CN"/>
        </w:rPr>
      </w:pPr>
      <w:r>
        <w:rPr>
          <w:rFonts w:hint="default" w:ascii="Times New Roman" w:hAnsi="Times New Roman" w:eastAsia="宋体" w:cs="Times New Roman"/>
          <w:color w:val="auto"/>
          <w:kern w:val="0"/>
          <w:sz w:val="24"/>
          <w:szCs w:val="21"/>
          <w:u w:val="none"/>
          <w:lang w:val="en-US" w:eastAsia="zh-CN"/>
        </w:rPr>
        <w:t>加强施工期管理，在位于森林公园的施工区设置护栏和拦网，减缓施工活动对森林公园的影响。</w:t>
      </w:r>
    </w:p>
    <w:p w14:paraId="35CF280E">
      <w:pPr>
        <w:pStyle w:val="5"/>
        <w:bidi w:val="0"/>
        <w:rPr>
          <w:rFonts w:hint="default" w:ascii="Times New Roman" w:hAnsi="Times New Roman" w:cs="Times New Roman"/>
          <w:lang w:val="en-US" w:eastAsia="zh-CN"/>
        </w:rPr>
      </w:pPr>
      <w:r>
        <w:rPr>
          <w:rFonts w:hint="default" w:ascii="Times New Roman" w:hAnsi="Times New Roman" w:cs="Times New Roman"/>
          <w:lang w:val="en-US" w:eastAsia="zh-CN"/>
        </w:rPr>
        <w:t>生态保护红线相关保护措施</w:t>
      </w:r>
    </w:p>
    <w:p w14:paraId="596E02F0">
      <w:pPr>
        <w:spacing w:line="360" w:lineRule="auto"/>
        <w:ind w:firstLine="480" w:firstLineChars="200"/>
        <w:rPr>
          <w:rFonts w:hint="eastAsia" w:ascii="Times New Roman" w:hAnsi="Times New Roman" w:eastAsia="宋体" w:cs="Times New Roman"/>
          <w:color w:val="auto"/>
          <w:kern w:val="0"/>
          <w:sz w:val="24"/>
          <w:szCs w:val="21"/>
          <w:u w:val="none"/>
          <w:lang w:val="en-US" w:eastAsia="zh-CN"/>
        </w:rPr>
      </w:pPr>
      <w:r>
        <w:rPr>
          <w:rFonts w:hint="eastAsia" w:ascii="Times New Roman" w:hAnsi="Times New Roman" w:eastAsia="宋体" w:cs="Times New Roman"/>
          <w:color w:val="auto"/>
          <w:kern w:val="0"/>
          <w:sz w:val="24"/>
          <w:szCs w:val="21"/>
          <w:u w:val="none"/>
          <w:lang w:val="en-US" w:eastAsia="zh-CN"/>
        </w:rPr>
        <w:t>（1）优化施工时序和施工方案，尽量少的占用生态保护红线区域，选择在枯水期施工，避免对水体的扰动。</w:t>
      </w:r>
    </w:p>
    <w:p w14:paraId="2669CD8F">
      <w:pPr>
        <w:spacing w:line="360" w:lineRule="auto"/>
        <w:ind w:firstLine="480" w:firstLineChars="200"/>
        <w:rPr>
          <w:rFonts w:hint="eastAsia" w:ascii="Times New Roman" w:hAnsi="Times New Roman" w:eastAsia="宋体" w:cs="Times New Roman"/>
          <w:color w:val="auto"/>
          <w:kern w:val="0"/>
          <w:sz w:val="24"/>
          <w:szCs w:val="21"/>
          <w:u w:val="none"/>
          <w:lang w:val="en-US" w:eastAsia="zh-CN"/>
        </w:rPr>
      </w:pPr>
      <w:r>
        <w:rPr>
          <w:rFonts w:hint="eastAsia" w:ascii="Times New Roman" w:hAnsi="Times New Roman" w:eastAsia="宋体" w:cs="Times New Roman"/>
          <w:color w:val="auto"/>
          <w:kern w:val="0"/>
          <w:sz w:val="24"/>
          <w:szCs w:val="21"/>
          <w:u w:val="none"/>
          <w:lang w:val="en-US" w:eastAsia="zh-CN"/>
        </w:rPr>
        <w:t>（2）施工材料远离水域堆放，最好选择在背水面堆放，并设置遮盖和挡护措施，避免对水域的影响。</w:t>
      </w:r>
    </w:p>
    <w:p w14:paraId="122EBE02">
      <w:pPr>
        <w:spacing w:line="360" w:lineRule="auto"/>
        <w:ind w:firstLine="480" w:firstLineChars="200"/>
        <w:rPr>
          <w:rFonts w:hint="default" w:ascii="Times New Roman" w:hAnsi="Times New Roman" w:eastAsia="宋体" w:cs="Times New Roman"/>
          <w:color w:val="auto"/>
          <w:kern w:val="0"/>
          <w:sz w:val="24"/>
          <w:szCs w:val="21"/>
          <w:u w:val="none"/>
          <w:lang w:val="en-US" w:eastAsia="zh-CN"/>
        </w:rPr>
      </w:pPr>
      <w:r>
        <w:rPr>
          <w:rFonts w:hint="eastAsia" w:ascii="Times New Roman" w:hAnsi="Times New Roman" w:eastAsia="宋体" w:cs="Times New Roman"/>
          <w:color w:val="auto"/>
          <w:kern w:val="0"/>
          <w:sz w:val="24"/>
          <w:szCs w:val="21"/>
          <w:u w:val="none"/>
          <w:lang w:val="en-US" w:eastAsia="zh-CN"/>
        </w:rPr>
        <w:t>（3）</w:t>
      </w:r>
      <w:r>
        <w:rPr>
          <w:rFonts w:hint="default" w:ascii="Times New Roman" w:hAnsi="Times New Roman" w:eastAsia="宋体" w:cs="Times New Roman"/>
          <w:color w:val="auto"/>
          <w:kern w:val="0"/>
          <w:sz w:val="24"/>
          <w:szCs w:val="21"/>
          <w:u w:val="none"/>
          <w:lang w:val="en-US" w:eastAsia="zh-CN"/>
        </w:rPr>
        <w:t>为了保护生态红线内的生态环境，施工期间在靠近生态保护红线区域施工时设置提示标语，施工期间禁止越过红线施工。</w:t>
      </w:r>
    </w:p>
    <w:p w14:paraId="15B7F2D8">
      <w:pPr>
        <w:spacing w:line="360" w:lineRule="auto"/>
        <w:ind w:firstLine="480" w:firstLineChars="200"/>
        <w:rPr>
          <w:rFonts w:hint="default" w:ascii="Times New Roman" w:hAnsi="Times New Roman" w:eastAsia="宋体" w:cs="Times New Roman"/>
          <w:color w:val="auto"/>
          <w:kern w:val="0"/>
          <w:sz w:val="24"/>
          <w:szCs w:val="21"/>
          <w:u w:val="none"/>
          <w:lang w:val="en-US" w:eastAsia="zh-CN"/>
        </w:rPr>
      </w:pPr>
      <w:r>
        <w:rPr>
          <w:rFonts w:hint="eastAsia" w:ascii="Times New Roman" w:hAnsi="Times New Roman" w:eastAsia="宋体" w:cs="Times New Roman"/>
          <w:color w:val="auto"/>
          <w:kern w:val="0"/>
          <w:sz w:val="24"/>
          <w:szCs w:val="21"/>
          <w:u w:val="none"/>
          <w:lang w:val="en-US" w:eastAsia="zh-CN"/>
        </w:rPr>
        <w:t>（4）</w:t>
      </w:r>
      <w:r>
        <w:rPr>
          <w:rFonts w:hint="default" w:ascii="Times New Roman" w:hAnsi="Times New Roman" w:eastAsia="宋体" w:cs="Times New Roman"/>
          <w:color w:val="auto"/>
          <w:kern w:val="0"/>
          <w:sz w:val="24"/>
          <w:szCs w:val="21"/>
          <w:u w:val="none"/>
          <w:lang w:val="en-US" w:eastAsia="zh-CN"/>
        </w:rPr>
        <w:t>加强施工管理及施工人员培训，防止对施工期周边分布的生态保护红线造成破坏。</w:t>
      </w:r>
    </w:p>
    <w:p w14:paraId="3DAAA609">
      <w:pPr>
        <w:pStyle w:val="3"/>
        <w:bidi w:val="0"/>
        <w:rPr>
          <w:rFonts w:hint="default" w:ascii="Times New Roman" w:hAnsi="Times New Roman" w:cs="Times New Roman"/>
        </w:rPr>
      </w:pPr>
      <w:bookmarkStart w:id="339" w:name="_Toc31330"/>
      <w:r>
        <w:rPr>
          <w:rFonts w:hint="default" w:ascii="Times New Roman" w:hAnsi="Times New Roman" w:cs="Times New Roman"/>
        </w:rPr>
        <w:t>营运期环境保护措施</w:t>
      </w:r>
      <w:bookmarkEnd w:id="339"/>
    </w:p>
    <w:p w14:paraId="55006115">
      <w:pPr>
        <w:keepNext w:val="0"/>
        <w:keepLines w:val="0"/>
        <w:pageBreakBefore w:val="0"/>
        <w:widowControl w:val="0"/>
        <w:overflowPunct/>
        <w:autoSpaceDE/>
        <w:autoSpaceDN/>
        <w:bidi w:val="0"/>
        <w:adjustRightInd/>
        <w:snapToGrid/>
        <w:spacing w:line="360" w:lineRule="auto"/>
        <w:ind w:left="0" w:right="0" w:firstLine="480"/>
        <w:textAlignment w:val="auto"/>
        <w:rPr>
          <w:rFonts w:hint="default" w:ascii="Times New Roman" w:hAnsi="Times New Roman" w:cs="Times New Roman"/>
          <w:color w:val="auto"/>
          <w:spacing w:val="0"/>
          <w:w w:val="100"/>
          <w:position w:val="0"/>
          <w:u w:val="none" w:color="auto"/>
        </w:rPr>
      </w:pPr>
      <w:r>
        <w:rPr>
          <w:rFonts w:hint="default" w:ascii="Times New Roman" w:hAnsi="Times New Roman" w:eastAsia="宋体" w:cs="Times New Roman"/>
          <w:color w:val="auto"/>
          <w:spacing w:val="0"/>
          <w:w w:val="100"/>
          <w:position w:val="0"/>
          <w:sz w:val="24"/>
          <w:szCs w:val="24"/>
          <w:u w:val="none" w:color="auto"/>
        </w:rPr>
        <w:t>工程属非污染生态影响项目， 项目运行后本身不产生污染物， 项目不新增管理人员，产生</w:t>
      </w:r>
      <w:r>
        <w:rPr>
          <w:rFonts w:hint="default" w:ascii="Times New Roman" w:hAnsi="Times New Roman" w:eastAsia="宋体" w:cs="Times New Roman"/>
          <w:color w:val="auto"/>
          <w:spacing w:val="0"/>
          <w:w w:val="100"/>
          <w:position w:val="0"/>
          <w:sz w:val="24"/>
          <w:szCs w:val="24"/>
          <w:u w:val="none" w:color="auto"/>
          <w:lang w:eastAsia="zh-CN"/>
        </w:rPr>
        <w:t>的</w:t>
      </w:r>
      <w:r>
        <w:rPr>
          <w:rFonts w:hint="default" w:ascii="Times New Roman" w:hAnsi="Times New Roman" w:eastAsia="宋体" w:cs="Times New Roman"/>
          <w:color w:val="auto"/>
          <w:spacing w:val="0"/>
          <w:w w:val="100"/>
          <w:position w:val="0"/>
          <w:sz w:val="24"/>
          <w:szCs w:val="24"/>
          <w:u w:val="none" w:color="auto"/>
        </w:rPr>
        <w:t>污染物主要为</w:t>
      </w:r>
      <w:r>
        <w:rPr>
          <w:rFonts w:hint="default" w:ascii="Times New Roman" w:hAnsi="Times New Roman" w:eastAsia="宋体" w:cs="Times New Roman"/>
          <w:color w:val="auto"/>
          <w:spacing w:val="0"/>
          <w:w w:val="100"/>
          <w:position w:val="0"/>
          <w:sz w:val="24"/>
          <w:szCs w:val="24"/>
          <w:u w:val="none" w:color="auto"/>
          <w:lang w:eastAsia="zh-CN"/>
        </w:rPr>
        <w:t>水库</w:t>
      </w:r>
      <w:r>
        <w:rPr>
          <w:rFonts w:hint="default" w:ascii="Times New Roman" w:hAnsi="Times New Roman" w:eastAsia="宋体" w:cs="Times New Roman"/>
          <w:color w:val="auto"/>
          <w:spacing w:val="0"/>
          <w:w w:val="100"/>
          <w:position w:val="0"/>
          <w:sz w:val="24"/>
          <w:szCs w:val="24"/>
          <w:u w:val="none" w:color="auto"/>
        </w:rPr>
        <w:t>管理人员的生活污水、生活垃圾以及食堂油烟。</w:t>
      </w:r>
    </w:p>
    <w:p w14:paraId="6A9EDCA3">
      <w:pPr>
        <w:pStyle w:val="4"/>
        <w:bidi w:val="0"/>
        <w:rPr>
          <w:rFonts w:hint="default" w:ascii="Times New Roman" w:hAnsi="Times New Roman" w:cs="Times New Roman"/>
        </w:rPr>
      </w:pPr>
      <w:bookmarkStart w:id="340" w:name="_Toc9339"/>
      <w:r>
        <w:rPr>
          <w:rFonts w:hint="default" w:ascii="Times New Roman" w:hAnsi="Times New Roman" w:cs="Times New Roman"/>
        </w:rPr>
        <w:t>环境空气保护措施</w:t>
      </w:r>
      <w:bookmarkEnd w:id="340"/>
    </w:p>
    <w:p w14:paraId="583C4F72">
      <w:pPr>
        <w:keepNext w:val="0"/>
        <w:keepLines w:val="0"/>
        <w:pageBreakBefore w:val="0"/>
        <w:widowControl w:val="0"/>
        <w:tabs>
          <w:tab w:val="left" w:pos="247"/>
        </w:tabs>
        <w:overflowPunct/>
        <w:autoSpaceDE/>
        <w:autoSpaceDN/>
        <w:bidi w:val="0"/>
        <w:adjustRightInd/>
        <w:snapToGrid/>
        <w:spacing w:line="360" w:lineRule="auto"/>
        <w:ind w:left="0" w:right="0" w:firstLine="484"/>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lang w:eastAsia="zh-CN"/>
        </w:rPr>
        <w:t>水库</w:t>
      </w:r>
      <w:r>
        <w:rPr>
          <w:rFonts w:hint="default" w:ascii="Times New Roman" w:hAnsi="Times New Roman" w:eastAsia="宋体" w:cs="Times New Roman"/>
          <w:caps w:val="0"/>
          <w:smallCaps w:val="0"/>
          <w:color w:val="auto"/>
          <w:spacing w:val="0"/>
          <w:w w:val="100"/>
          <w:position w:val="0"/>
          <w:sz w:val="24"/>
          <w:szCs w:val="24"/>
          <w:u w:val="none" w:color="auto"/>
        </w:rPr>
        <w:t>营运期</w:t>
      </w:r>
      <w:r>
        <w:rPr>
          <w:rFonts w:hint="default" w:ascii="Times New Roman" w:hAnsi="Times New Roman" w:eastAsia="宋体" w:cs="Times New Roman"/>
          <w:caps w:val="0"/>
          <w:smallCaps w:val="0"/>
          <w:color w:val="auto"/>
          <w:spacing w:val="0"/>
          <w:w w:val="100"/>
          <w:position w:val="0"/>
          <w:sz w:val="24"/>
          <w:szCs w:val="24"/>
          <w:u w:val="none" w:color="auto"/>
          <w:lang w:eastAsia="zh-CN"/>
        </w:rPr>
        <w:t>本身</w:t>
      </w:r>
      <w:r>
        <w:rPr>
          <w:rFonts w:hint="default" w:ascii="Times New Roman" w:hAnsi="Times New Roman" w:eastAsia="宋体" w:cs="Times New Roman"/>
          <w:caps w:val="0"/>
          <w:smallCaps w:val="0"/>
          <w:color w:val="auto"/>
          <w:spacing w:val="0"/>
          <w:w w:val="100"/>
          <w:position w:val="0"/>
          <w:sz w:val="24"/>
          <w:szCs w:val="24"/>
          <w:u w:val="none" w:color="auto"/>
        </w:rPr>
        <w:t>无废气产生</w:t>
      </w:r>
      <w:r>
        <w:rPr>
          <w:rFonts w:hint="default" w:ascii="Times New Roman" w:hAnsi="Times New Roman" w:eastAsia="宋体" w:cs="Times New Roman"/>
          <w:caps w:val="0"/>
          <w:smallCaps w:val="0"/>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运行期间废气主要来源为食堂油烟，食堂配套油烟净化器装置，风机风量</w:t>
      </w:r>
      <w:r>
        <w:rPr>
          <w:rFonts w:hint="default" w:ascii="Times New Roman" w:hAnsi="Times New Roman" w:eastAsia="宋体" w:cs="Times New Roman"/>
          <w:color w:val="auto"/>
          <w:spacing w:val="0"/>
          <w:w w:val="100"/>
          <w:position w:val="0"/>
          <w:sz w:val="24"/>
          <w:szCs w:val="24"/>
          <w:u w:val="none" w:color="auto"/>
          <w:lang w:val="en-US" w:eastAsia="zh-CN"/>
        </w:rPr>
        <w:t>1</w:t>
      </w:r>
      <w:r>
        <w:rPr>
          <w:rFonts w:hint="default" w:ascii="Times New Roman" w:hAnsi="Times New Roman" w:eastAsia="Times New Roman" w:cs="Times New Roman"/>
          <w:color w:val="auto"/>
          <w:spacing w:val="0"/>
          <w:w w:val="100"/>
          <w:position w:val="0"/>
          <w:sz w:val="24"/>
          <w:szCs w:val="24"/>
          <w:u w:val="none" w:color="auto"/>
        </w:rPr>
        <w:t>000m</w:t>
      </w:r>
      <w:r>
        <w:rPr>
          <w:rFonts w:hint="default" w:ascii="Times New Roman" w:hAnsi="Times New Roman" w:eastAsia="宋体" w:cs="Times New Roman"/>
          <w:color w:val="auto"/>
          <w:spacing w:val="0"/>
          <w:w w:val="100"/>
          <w:position w:val="0"/>
          <w:sz w:val="24"/>
          <w:szCs w:val="24"/>
          <w:u w:val="none" w:color="auto"/>
        </w:rPr>
        <w:t>³</w:t>
      </w:r>
      <w:r>
        <w:rPr>
          <w:rFonts w:hint="default" w:ascii="Times New Roman" w:hAnsi="Times New Roman" w:eastAsia="Times New Roman" w:cs="Times New Roman"/>
          <w:color w:val="auto"/>
          <w:spacing w:val="0"/>
          <w:w w:val="100"/>
          <w:position w:val="0"/>
          <w:sz w:val="24"/>
          <w:szCs w:val="24"/>
          <w:u w:val="none" w:color="auto"/>
        </w:rPr>
        <w:t>/h</w:t>
      </w:r>
      <w:r>
        <w:rPr>
          <w:rFonts w:hint="default" w:ascii="Times New Roman" w:hAnsi="Times New Roman" w:eastAsia="宋体" w:cs="Times New Roman"/>
          <w:color w:val="auto"/>
          <w:spacing w:val="0"/>
          <w:w w:val="100"/>
          <w:position w:val="0"/>
          <w:sz w:val="24"/>
          <w:szCs w:val="24"/>
          <w:u w:val="none" w:color="auto"/>
        </w:rPr>
        <w:t>，净化效率≥</w:t>
      </w:r>
      <w:r>
        <w:rPr>
          <w:rFonts w:hint="default" w:ascii="Times New Roman" w:hAnsi="Times New Roman" w:eastAsia="宋体" w:cs="Times New Roman"/>
          <w:color w:val="auto"/>
          <w:spacing w:val="0"/>
          <w:w w:val="100"/>
          <w:position w:val="0"/>
          <w:sz w:val="24"/>
          <w:szCs w:val="24"/>
          <w:u w:val="none" w:color="auto"/>
          <w:lang w:val="en-US" w:eastAsia="zh-CN"/>
        </w:rPr>
        <w:t>60</w:t>
      </w:r>
      <w:r>
        <w:rPr>
          <w:rFonts w:hint="default" w:ascii="Times New Roman" w:hAnsi="Times New Roman" w:eastAsia="Times New Roman" w:cs="Times New Roman"/>
          <w:color w:val="auto"/>
          <w:spacing w:val="0"/>
          <w:w w:val="100"/>
          <w:position w:val="0"/>
          <w:sz w:val="24"/>
          <w:szCs w:val="24"/>
          <w:u w:val="none" w:color="auto"/>
        </w:rPr>
        <w:t>%</w:t>
      </w:r>
      <w:r>
        <w:rPr>
          <w:rFonts w:hint="default" w:ascii="Times New Roman" w:hAnsi="Times New Roman" w:eastAsia="宋体" w:cs="Times New Roman"/>
          <w:color w:val="auto"/>
          <w:spacing w:val="0"/>
          <w:w w:val="100"/>
          <w:position w:val="0"/>
          <w:sz w:val="24"/>
          <w:szCs w:val="24"/>
          <w:u w:val="none" w:color="auto"/>
        </w:rPr>
        <w:t>，油烟排放浓度小于《饮食业油烟排放标准 (试行)》(</w:t>
      </w:r>
      <w:r>
        <w:rPr>
          <w:rFonts w:hint="default" w:ascii="Times New Roman" w:hAnsi="Times New Roman" w:eastAsia="Times New Roman" w:cs="Times New Roman"/>
          <w:color w:val="auto"/>
          <w:spacing w:val="0"/>
          <w:w w:val="100"/>
          <w:position w:val="0"/>
          <w:sz w:val="24"/>
          <w:szCs w:val="24"/>
          <w:u w:val="none" w:color="auto"/>
        </w:rPr>
        <w:t>GB18483-2001</w:t>
      </w:r>
      <w:r>
        <w:rPr>
          <w:rFonts w:hint="default" w:ascii="Times New Roman" w:hAnsi="Times New Roman" w:eastAsia="宋体" w:cs="Times New Roman"/>
          <w:color w:val="auto"/>
          <w:spacing w:val="0"/>
          <w:w w:val="100"/>
          <w:position w:val="0"/>
          <w:sz w:val="24"/>
          <w:szCs w:val="24"/>
          <w:u w:val="none" w:color="auto"/>
        </w:rPr>
        <w:t>)中</w:t>
      </w:r>
      <w:r>
        <w:rPr>
          <w:rFonts w:hint="default" w:ascii="Times New Roman" w:hAnsi="Times New Roman" w:eastAsia="Times New Roman" w:cs="Times New Roman"/>
          <w:color w:val="auto"/>
          <w:spacing w:val="0"/>
          <w:w w:val="100"/>
          <w:position w:val="0"/>
          <w:sz w:val="24"/>
          <w:szCs w:val="24"/>
          <w:u w:val="none" w:color="auto"/>
        </w:rPr>
        <w:t>2.0 mg/m</w:t>
      </w:r>
      <w:r>
        <w:rPr>
          <w:rFonts w:hint="default" w:ascii="Times New Roman" w:hAnsi="Times New Roman" w:eastAsia="宋体" w:cs="Times New Roman"/>
          <w:color w:val="auto"/>
          <w:spacing w:val="0"/>
          <w:w w:val="100"/>
          <w:position w:val="0"/>
          <w:sz w:val="24"/>
          <w:szCs w:val="24"/>
          <w:u w:val="none" w:color="auto"/>
        </w:rPr>
        <w:t>³的标准，食堂油烟对环境空气影响不大。</w:t>
      </w:r>
    </w:p>
    <w:p w14:paraId="455AB381">
      <w:pPr>
        <w:pStyle w:val="4"/>
        <w:bidi w:val="0"/>
        <w:rPr>
          <w:rFonts w:hint="default" w:ascii="Times New Roman" w:hAnsi="Times New Roman" w:cs="Times New Roman"/>
        </w:rPr>
      </w:pPr>
      <w:bookmarkStart w:id="341" w:name="_Toc30308"/>
      <w:r>
        <w:rPr>
          <w:rFonts w:hint="default" w:ascii="Times New Roman" w:hAnsi="Times New Roman" w:cs="Times New Roman"/>
        </w:rPr>
        <w:t>地表水环境保护措施</w:t>
      </w:r>
      <w:bookmarkEnd w:id="341"/>
    </w:p>
    <w:p w14:paraId="1563E4CB">
      <w:pPr>
        <w:keepNext w:val="0"/>
        <w:keepLines w:val="0"/>
        <w:pageBreakBefore w:val="0"/>
        <w:widowControl w:val="0"/>
        <w:kinsoku/>
        <w:wordWrap/>
        <w:overflowPunct/>
        <w:topLinePunct w:val="0"/>
        <w:autoSpaceDE/>
        <w:autoSpaceDN/>
        <w:bidi w:val="0"/>
        <w:adjustRightInd/>
        <w:snapToGrid/>
        <w:spacing w:line="360" w:lineRule="auto"/>
        <w:ind w:left="0" w:right="0" w:firstLine="479"/>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eastAsia="zh-CN"/>
        </w:rPr>
        <w:t>东山水库</w:t>
      </w:r>
      <w:r>
        <w:rPr>
          <w:rFonts w:hint="default" w:ascii="Times New Roman" w:hAnsi="Times New Roman" w:eastAsia="宋体" w:cs="Times New Roman"/>
          <w:color w:val="auto"/>
          <w:spacing w:val="0"/>
          <w:w w:val="100"/>
          <w:position w:val="0"/>
          <w:sz w:val="24"/>
          <w:szCs w:val="24"/>
          <w:u w:val="none" w:color="auto"/>
        </w:rPr>
        <w:t>已划定为饮用水源保护区。根据</w:t>
      </w:r>
      <w:r>
        <w:rPr>
          <w:rFonts w:hint="default" w:ascii="Times New Roman" w:hAnsi="Times New Roman" w:eastAsia="宋体" w:cs="Times New Roman"/>
          <w:color w:val="auto"/>
          <w:spacing w:val="0"/>
          <w:w w:val="100"/>
          <w:position w:val="0"/>
          <w:sz w:val="24"/>
          <w:szCs w:val="24"/>
          <w:u w:val="none" w:color="auto"/>
          <w:lang w:eastAsia="zh-CN"/>
        </w:rPr>
        <w:t>东山水库</w:t>
      </w:r>
      <w:r>
        <w:rPr>
          <w:rFonts w:hint="default" w:ascii="Times New Roman" w:hAnsi="Times New Roman" w:eastAsia="宋体" w:cs="Times New Roman"/>
          <w:color w:val="auto"/>
          <w:spacing w:val="0"/>
          <w:w w:val="100"/>
          <w:position w:val="0"/>
          <w:sz w:val="24"/>
          <w:szCs w:val="24"/>
          <w:u w:val="none" w:color="auto"/>
        </w:rPr>
        <w:t>各个功能保护区的划定情况，明确地理界线并在根据</w:t>
      </w:r>
      <w:r>
        <w:rPr>
          <w:rFonts w:hint="default" w:ascii="Times New Roman" w:hAnsi="Times New Roman" w:eastAsia="宋体" w:cs="Times New Roman"/>
          <w:color w:val="auto"/>
          <w:spacing w:val="0"/>
          <w:w w:val="100"/>
          <w:position w:val="0"/>
          <w:sz w:val="24"/>
          <w:szCs w:val="24"/>
          <w:u w:val="none" w:color="auto"/>
          <w:lang w:eastAsia="zh-CN"/>
        </w:rPr>
        <w:t>东山水库</w:t>
      </w:r>
      <w:r>
        <w:rPr>
          <w:rFonts w:hint="default" w:ascii="Times New Roman" w:hAnsi="Times New Roman" w:eastAsia="宋体" w:cs="Times New Roman"/>
          <w:color w:val="auto"/>
          <w:spacing w:val="0"/>
          <w:w w:val="100"/>
          <w:position w:val="0"/>
          <w:sz w:val="24"/>
          <w:szCs w:val="24"/>
          <w:u w:val="none" w:color="auto"/>
        </w:rPr>
        <w:t>各个功能区边界设立桩、碑公示牌警戒线等标志。加强水库源地保护的宣传力度，在</w:t>
      </w:r>
      <w:r>
        <w:rPr>
          <w:rFonts w:hint="default" w:ascii="Times New Roman" w:hAnsi="Times New Roman" w:eastAsia="宋体" w:cs="Times New Roman"/>
          <w:color w:val="auto"/>
          <w:spacing w:val="0"/>
          <w:w w:val="100"/>
          <w:position w:val="0"/>
          <w:sz w:val="24"/>
          <w:szCs w:val="24"/>
          <w:u w:val="none" w:color="auto"/>
          <w:lang w:eastAsia="zh-CN"/>
        </w:rPr>
        <w:t>库区</w:t>
      </w:r>
      <w:r>
        <w:rPr>
          <w:rFonts w:hint="default" w:ascii="Times New Roman" w:hAnsi="Times New Roman" w:eastAsia="宋体" w:cs="Times New Roman"/>
          <w:color w:val="auto"/>
          <w:spacing w:val="0"/>
          <w:w w:val="100"/>
          <w:position w:val="0"/>
          <w:sz w:val="24"/>
          <w:szCs w:val="24"/>
          <w:u w:val="none" w:color="auto"/>
        </w:rPr>
        <w:t>周围设置明显的宣传标牌</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水源保护区</w:t>
      </w:r>
      <w:r>
        <w:rPr>
          <w:rFonts w:hint="default" w:ascii="Times New Roman" w:hAnsi="Times New Roman" w:eastAsia="宋体" w:cs="Times New Roman"/>
          <w:color w:val="auto"/>
          <w:spacing w:val="0"/>
          <w:w w:val="100"/>
          <w:position w:val="0"/>
          <w:sz w:val="24"/>
          <w:szCs w:val="24"/>
          <w:u w:val="none" w:color="auto"/>
          <w:lang w:eastAsia="zh-CN"/>
        </w:rPr>
        <w:t>内</w:t>
      </w:r>
      <w:r>
        <w:rPr>
          <w:rFonts w:hint="default" w:ascii="Times New Roman" w:hAnsi="Times New Roman" w:eastAsia="宋体" w:cs="Times New Roman"/>
          <w:color w:val="auto"/>
          <w:spacing w:val="0"/>
          <w:w w:val="100"/>
          <w:position w:val="0"/>
          <w:sz w:val="24"/>
          <w:szCs w:val="24"/>
          <w:u w:val="none" w:color="auto"/>
        </w:rPr>
        <w:t>应建设必要的物理隔离防护带，防止人类活动等因素对水源地保护和管理的干扰，物理隔离防护带主要采用铁丝防护网。在水源保护区范围内易受外界干扰的区域设置饮用水源地警示牌，宣传保护水源水质。结合</w:t>
      </w:r>
      <w:r>
        <w:rPr>
          <w:rFonts w:hint="default" w:ascii="Times New Roman" w:hAnsi="Times New Roman" w:eastAsia="宋体" w:cs="Times New Roman"/>
          <w:color w:val="auto"/>
          <w:spacing w:val="0"/>
          <w:w w:val="100"/>
          <w:position w:val="0"/>
          <w:sz w:val="24"/>
          <w:szCs w:val="24"/>
          <w:u w:val="none" w:color="auto"/>
          <w:lang w:eastAsia="zh-CN"/>
        </w:rPr>
        <w:t>东山水库</w:t>
      </w:r>
      <w:r>
        <w:rPr>
          <w:rFonts w:hint="default" w:ascii="Times New Roman" w:hAnsi="Times New Roman" w:eastAsia="宋体" w:cs="Times New Roman"/>
          <w:color w:val="auto"/>
          <w:spacing w:val="0"/>
          <w:w w:val="100"/>
          <w:position w:val="0"/>
          <w:sz w:val="24"/>
          <w:szCs w:val="24"/>
          <w:u w:val="none" w:color="auto"/>
        </w:rPr>
        <w:t>及周围环境特点，切实落实水源地保护的法律法规并遵守下列规定：</w:t>
      </w:r>
    </w:p>
    <w:p w14:paraId="3C810B57">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①在饮用水水源保护区内，禁止设置排污口。</w:t>
      </w:r>
    </w:p>
    <w:p w14:paraId="38D58DF2">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②禁止在饮用水水源一级保护区内新建、改建、扩建与供水设施和保护水源无关的建设项目；已建成的与供水设施和保护水源无关的建设项目，由县级以上人民政府责令拆除或者关闭。</w:t>
      </w:r>
    </w:p>
    <w:p w14:paraId="5F2B9A3D">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③禁止在饮用水水源一级保护区内从事网箱养殖、旅游、游泳、垂钓或者其他可能污染饮用水水体的活动。</w:t>
      </w:r>
    </w:p>
    <w:p w14:paraId="2DA4D1BC">
      <w:pPr>
        <w:pStyle w:val="19"/>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rPr>
        <w:fldChar w:fldCharType="begin"/>
      </w:r>
      <w:r>
        <w:rPr>
          <w:rFonts w:hint="default" w:ascii="Times New Roman" w:hAnsi="Times New Roman" w:eastAsia="宋体" w:cs="Times New Roman"/>
          <w:color w:val="auto"/>
          <w:spacing w:val="0"/>
          <w:w w:val="100"/>
          <w:position w:val="0"/>
          <w:sz w:val="24"/>
          <w:szCs w:val="24"/>
          <w:u w:val="none" w:color="auto"/>
        </w:rPr>
        <w:instrText xml:space="preserve"> = 4 \* GB3 \* MERGEFORMAT </w:instrText>
      </w:r>
      <w:r>
        <w:rPr>
          <w:rFonts w:hint="default" w:ascii="Times New Roman" w:hAnsi="Times New Roman" w:eastAsia="宋体" w:cs="Times New Roman"/>
          <w:color w:val="auto"/>
          <w:spacing w:val="0"/>
          <w:w w:val="100"/>
          <w:position w:val="0"/>
          <w:sz w:val="24"/>
          <w:szCs w:val="24"/>
          <w:u w:val="none" w:color="auto"/>
        </w:rPr>
        <w:fldChar w:fldCharType="separate"/>
      </w:r>
      <w:r>
        <w:rPr>
          <w:rFonts w:hint="default" w:ascii="Times New Roman" w:hAnsi="Times New Roman" w:eastAsia="宋体" w:cs="Times New Roman"/>
          <w:color w:val="auto"/>
          <w:spacing w:val="0"/>
          <w:w w:val="100"/>
          <w:position w:val="0"/>
          <w:sz w:val="24"/>
          <w:szCs w:val="24"/>
          <w:u w:val="none" w:color="auto"/>
        </w:rPr>
        <w:t>④</w:t>
      </w:r>
      <w:r>
        <w:rPr>
          <w:rFonts w:hint="default" w:ascii="Times New Roman" w:hAnsi="Times New Roman" w:eastAsia="宋体" w:cs="Times New Roman"/>
          <w:color w:val="auto"/>
          <w:spacing w:val="0"/>
          <w:w w:val="100"/>
          <w:position w:val="0"/>
          <w:sz w:val="24"/>
          <w:szCs w:val="24"/>
          <w:u w:val="none" w:color="auto"/>
        </w:rPr>
        <w:fldChar w:fldCharType="end"/>
      </w:r>
      <w:r>
        <w:rPr>
          <w:rFonts w:hint="default" w:ascii="Times New Roman" w:hAnsi="Times New Roman" w:eastAsia="宋体" w:cs="Times New Roman"/>
          <w:color w:val="auto"/>
          <w:spacing w:val="0"/>
          <w:w w:val="100"/>
          <w:position w:val="0"/>
          <w:sz w:val="24"/>
          <w:szCs w:val="24"/>
          <w:u w:val="none" w:color="auto"/>
          <w:lang w:eastAsia="zh-CN"/>
        </w:rPr>
        <w:t>禁止在饮用水水源二级保护区内新建、改建、扩建排放污染物的建设项目，已建成的由县级以上人民政府责令拆除或者关闭。</w:t>
      </w:r>
    </w:p>
    <w:p w14:paraId="3B2C252F">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color w:val="auto"/>
          <w:spacing w:val="0"/>
          <w:w w:val="100"/>
          <w:position w:val="0"/>
          <w:sz w:val="24"/>
          <w:szCs w:val="24"/>
          <w:u w:val="none" w:color="auto"/>
          <w:lang w:eastAsia="zh-CN"/>
        </w:rPr>
        <w:fldChar w:fldCharType="begin"/>
      </w:r>
      <w:r>
        <w:rPr>
          <w:rFonts w:hint="default" w:ascii="Times New Roman" w:hAnsi="Times New Roman" w:eastAsia="宋体" w:cs="Times New Roman"/>
          <w:color w:val="auto"/>
          <w:spacing w:val="0"/>
          <w:w w:val="100"/>
          <w:position w:val="0"/>
          <w:sz w:val="24"/>
          <w:szCs w:val="24"/>
          <w:u w:val="none" w:color="auto"/>
          <w:lang w:eastAsia="zh-CN"/>
        </w:rPr>
        <w:instrText xml:space="preserve"> = 5 \* GB3 \* MERGEFORMAT </w:instrText>
      </w:r>
      <w:r>
        <w:rPr>
          <w:rFonts w:hint="default" w:ascii="Times New Roman" w:hAnsi="Times New Roman" w:eastAsia="宋体" w:cs="Times New Roman"/>
          <w:color w:val="auto"/>
          <w:spacing w:val="0"/>
          <w:w w:val="100"/>
          <w:position w:val="0"/>
          <w:sz w:val="24"/>
          <w:szCs w:val="24"/>
          <w:u w:val="none" w:color="auto"/>
          <w:lang w:eastAsia="zh-CN"/>
        </w:rPr>
        <w:fldChar w:fldCharType="separate"/>
      </w:r>
      <w:r>
        <w:rPr>
          <w:rFonts w:hint="default" w:ascii="Times New Roman" w:hAnsi="Times New Roman" w:eastAsia="宋体" w:cs="Times New Roman"/>
          <w:color w:val="auto"/>
          <w:spacing w:val="0"/>
          <w:w w:val="100"/>
          <w:position w:val="0"/>
          <w:sz w:val="24"/>
          <w:szCs w:val="24"/>
          <w:u w:val="none" w:color="auto"/>
        </w:rPr>
        <w:t>⑤</w:t>
      </w:r>
      <w:r>
        <w:rPr>
          <w:rFonts w:hint="default" w:ascii="Times New Roman" w:hAnsi="Times New Roman" w:eastAsia="宋体" w:cs="Times New Roman"/>
          <w:color w:val="auto"/>
          <w:spacing w:val="0"/>
          <w:w w:val="100"/>
          <w:position w:val="0"/>
          <w:sz w:val="24"/>
          <w:szCs w:val="24"/>
          <w:u w:val="none" w:color="auto"/>
          <w:lang w:eastAsia="zh-CN"/>
        </w:rPr>
        <w:fldChar w:fldCharType="end"/>
      </w:r>
      <w:r>
        <w:rPr>
          <w:rFonts w:hint="default" w:ascii="Times New Roman" w:hAnsi="Times New Roman" w:eastAsia="宋体" w:cs="Times New Roman"/>
          <w:color w:val="auto"/>
          <w:spacing w:val="0"/>
          <w:w w:val="100"/>
          <w:position w:val="0"/>
          <w:sz w:val="24"/>
          <w:szCs w:val="24"/>
          <w:u w:val="none" w:color="auto"/>
          <w:lang w:eastAsia="zh-CN"/>
        </w:rPr>
        <w:t>禁止在水源保护区内从事网箱养殖、旅游等活动；禁止新建、扩建对水体污染严重的建设项目。</w:t>
      </w:r>
    </w:p>
    <w:p w14:paraId="3C011418">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eastAsia="zh-CN"/>
        </w:rPr>
        <w:fldChar w:fldCharType="begin"/>
      </w:r>
      <w:r>
        <w:rPr>
          <w:rFonts w:hint="default" w:ascii="Times New Roman" w:hAnsi="Times New Roman" w:eastAsia="宋体" w:cs="Times New Roman"/>
          <w:color w:val="auto"/>
          <w:spacing w:val="0"/>
          <w:w w:val="100"/>
          <w:position w:val="0"/>
          <w:sz w:val="24"/>
          <w:szCs w:val="24"/>
          <w:u w:val="none" w:color="auto"/>
          <w:lang w:eastAsia="zh-CN"/>
        </w:rPr>
        <w:instrText xml:space="preserve"> = 6 \* GB3 \* MERGEFORMAT </w:instrText>
      </w:r>
      <w:r>
        <w:rPr>
          <w:rFonts w:hint="default" w:ascii="Times New Roman" w:hAnsi="Times New Roman" w:eastAsia="宋体" w:cs="Times New Roman"/>
          <w:color w:val="auto"/>
          <w:spacing w:val="0"/>
          <w:w w:val="100"/>
          <w:position w:val="0"/>
          <w:sz w:val="24"/>
          <w:szCs w:val="24"/>
          <w:u w:val="none" w:color="auto"/>
          <w:lang w:eastAsia="zh-CN"/>
        </w:rPr>
        <w:fldChar w:fldCharType="separate"/>
      </w:r>
      <w:r>
        <w:rPr>
          <w:rFonts w:hint="default" w:ascii="Times New Roman" w:hAnsi="Times New Roman" w:eastAsia="宋体" w:cs="Times New Roman"/>
          <w:color w:val="auto"/>
          <w:spacing w:val="0"/>
          <w:w w:val="100"/>
          <w:position w:val="0"/>
          <w:sz w:val="24"/>
          <w:szCs w:val="24"/>
          <w:u w:val="none" w:color="auto"/>
        </w:rPr>
        <w:t>⑥</w:t>
      </w:r>
      <w:r>
        <w:rPr>
          <w:rFonts w:hint="default" w:ascii="Times New Roman" w:hAnsi="Times New Roman" w:eastAsia="宋体" w:cs="Times New Roman"/>
          <w:color w:val="auto"/>
          <w:spacing w:val="0"/>
          <w:w w:val="100"/>
          <w:position w:val="0"/>
          <w:sz w:val="24"/>
          <w:szCs w:val="24"/>
          <w:u w:val="none" w:color="auto"/>
          <w:lang w:eastAsia="zh-CN"/>
        </w:rPr>
        <w:fldChar w:fldCharType="end"/>
      </w:r>
      <w:r>
        <w:rPr>
          <w:rFonts w:hint="default" w:ascii="Times New Roman" w:hAnsi="Times New Roman" w:eastAsia="宋体" w:cs="Times New Roman"/>
          <w:color w:val="auto"/>
          <w:spacing w:val="0"/>
          <w:w w:val="100"/>
          <w:position w:val="0"/>
          <w:sz w:val="24"/>
          <w:szCs w:val="24"/>
          <w:u w:val="none" w:color="auto"/>
        </w:rPr>
        <w:t>对位于水源保护区范围内的村庄，应做好水源保护宣传教育工作，禁止在河道内洗衣服、</w:t>
      </w:r>
      <w:r>
        <w:rPr>
          <w:rFonts w:hint="default" w:ascii="Times New Roman" w:hAnsi="Times New Roman" w:eastAsia="宋体" w:cs="Times New Roman"/>
          <w:color w:val="auto"/>
          <w:spacing w:val="0"/>
          <w:w w:val="100"/>
          <w:position w:val="0"/>
          <w:sz w:val="24"/>
          <w:szCs w:val="24"/>
          <w:u w:val="none" w:color="auto"/>
          <w:lang w:eastAsia="zh-CN"/>
        </w:rPr>
        <w:t>冲洗</w:t>
      </w:r>
      <w:r>
        <w:rPr>
          <w:rFonts w:hint="default" w:ascii="Times New Roman" w:hAnsi="Times New Roman" w:eastAsia="宋体" w:cs="Times New Roman"/>
          <w:color w:val="auto"/>
          <w:spacing w:val="0"/>
          <w:w w:val="100"/>
          <w:position w:val="0"/>
          <w:sz w:val="24"/>
          <w:szCs w:val="24"/>
          <w:u w:val="none" w:color="auto"/>
        </w:rPr>
        <w:t>车辆、倾倒垃圾等。加强水库汇水区域管理工作，严禁可能对水库水质等造成破坏和污染的行为</w:t>
      </w:r>
      <w:r>
        <w:rPr>
          <w:rFonts w:hint="eastAsia" w:ascii="Times New Roman" w:hAnsi="Times New Roman" w:eastAsia="宋体" w:cs="Times New Roman"/>
          <w:color w:val="auto"/>
          <w:spacing w:val="0"/>
          <w:w w:val="100"/>
          <w:position w:val="0"/>
          <w:sz w:val="24"/>
          <w:szCs w:val="24"/>
          <w:u w:val="none" w:color="auto"/>
          <w:lang w:eastAsia="zh-CN"/>
        </w:rPr>
        <w:t>，严禁管理所的生活污水和生活垃圾倾倒入库</w:t>
      </w:r>
      <w:r>
        <w:rPr>
          <w:rFonts w:hint="default" w:ascii="Times New Roman" w:hAnsi="Times New Roman" w:eastAsia="宋体" w:cs="Times New Roman"/>
          <w:color w:val="auto"/>
          <w:spacing w:val="0"/>
          <w:w w:val="100"/>
          <w:position w:val="0"/>
          <w:sz w:val="24"/>
          <w:szCs w:val="24"/>
          <w:u w:val="none" w:color="auto"/>
        </w:rPr>
        <w:t>。</w:t>
      </w:r>
    </w:p>
    <w:p w14:paraId="3CB7AB37">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⑦限制流域内化肥、农药的使用，加强管理</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科学施肥</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提高肥料利用率</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禁止高残留、有毒有害农药的使用，大力提倡</w:t>
      </w:r>
      <w:r>
        <w:rPr>
          <w:rFonts w:hint="default" w:ascii="Times New Roman" w:hAnsi="Times New Roman" w:eastAsia="宋体" w:cs="Times New Roman"/>
          <w:color w:val="auto"/>
          <w:spacing w:val="0"/>
          <w:w w:val="100"/>
          <w:position w:val="0"/>
          <w:sz w:val="24"/>
          <w:szCs w:val="24"/>
          <w:u w:val="none" w:color="auto"/>
          <w:lang w:eastAsia="zh-CN"/>
        </w:rPr>
        <w:t>绿色</w:t>
      </w:r>
      <w:r>
        <w:rPr>
          <w:rFonts w:hint="default" w:ascii="Times New Roman" w:hAnsi="Times New Roman" w:eastAsia="宋体" w:cs="Times New Roman"/>
          <w:color w:val="auto"/>
          <w:spacing w:val="0"/>
          <w:w w:val="100"/>
          <w:position w:val="0"/>
          <w:sz w:val="24"/>
          <w:szCs w:val="24"/>
          <w:u w:val="none" w:color="auto"/>
        </w:rPr>
        <w:t>生态农业。</w:t>
      </w:r>
    </w:p>
    <w:p w14:paraId="25393514">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⑧当地县级以上人民政府应当根据保护饮用水水源的实际需要，在保护区内采取程措施或者建造湿地、水源涵养林等生态保护措施，防止水污染物直接排入饮用水水体。</w:t>
      </w:r>
    </w:p>
    <w:p w14:paraId="3B6ED7CD">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⑨饮用水水源受到污染可能威胁供水安全的，当地环境保护主管部门应当责令有关企业事业单位采取停止或者减少排放水污染物等措施。</w:t>
      </w:r>
    </w:p>
    <w:p w14:paraId="5B6A124F">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eastAsia="zh-CN"/>
        </w:rPr>
        <w:fldChar w:fldCharType="begin"/>
      </w:r>
      <w:r>
        <w:rPr>
          <w:rFonts w:hint="default" w:ascii="Times New Roman" w:hAnsi="Times New Roman" w:eastAsia="宋体" w:cs="Times New Roman"/>
          <w:color w:val="auto"/>
          <w:spacing w:val="0"/>
          <w:w w:val="100"/>
          <w:position w:val="0"/>
          <w:sz w:val="24"/>
          <w:szCs w:val="24"/>
          <w:u w:val="none" w:color="auto"/>
          <w:lang w:eastAsia="zh-CN"/>
        </w:rPr>
        <w:instrText xml:space="preserve"> = 10 \* GB3 \* MERGEFORMAT </w:instrText>
      </w:r>
      <w:r>
        <w:rPr>
          <w:rFonts w:hint="default" w:ascii="Times New Roman" w:hAnsi="Times New Roman" w:eastAsia="宋体" w:cs="Times New Roman"/>
          <w:color w:val="auto"/>
          <w:spacing w:val="0"/>
          <w:w w:val="100"/>
          <w:position w:val="0"/>
          <w:sz w:val="24"/>
          <w:szCs w:val="24"/>
          <w:u w:val="none" w:color="auto"/>
          <w:lang w:eastAsia="zh-CN"/>
        </w:rPr>
        <w:fldChar w:fldCharType="separate"/>
      </w:r>
      <w:r>
        <w:rPr>
          <w:rFonts w:hint="default" w:ascii="Times New Roman" w:hAnsi="Times New Roman" w:eastAsia="宋体" w:cs="Times New Roman"/>
          <w:color w:val="auto"/>
          <w:spacing w:val="0"/>
          <w:w w:val="100"/>
          <w:position w:val="0"/>
          <w:sz w:val="24"/>
          <w:szCs w:val="24"/>
          <w:u w:val="none" w:color="auto"/>
          <w:lang w:eastAsia="zh-CN"/>
        </w:rPr>
        <w:t>⑩</w:t>
      </w:r>
      <w:r>
        <w:rPr>
          <w:rFonts w:hint="default" w:ascii="Times New Roman" w:hAnsi="Times New Roman" w:eastAsia="宋体" w:cs="Times New Roman"/>
          <w:color w:val="auto"/>
          <w:spacing w:val="0"/>
          <w:w w:val="100"/>
          <w:position w:val="0"/>
          <w:sz w:val="24"/>
          <w:szCs w:val="24"/>
          <w:u w:val="none" w:color="auto"/>
          <w:lang w:eastAsia="zh-CN"/>
        </w:rPr>
        <w:fldChar w:fldCharType="end"/>
      </w:r>
      <w:r>
        <w:rPr>
          <w:rFonts w:hint="default" w:ascii="Times New Roman" w:hAnsi="Times New Roman" w:eastAsia="宋体" w:cs="Times New Roman"/>
          <w:color w:val="auto"/>
          <w:spacing w:val="0"/>
          <w:w w:val="100"/>
          <w:position w:val="0"/>
          <w:sz w:val="24"/>
          <w:szCs w:val="24"/>
          <w:u w:val="none" w:color="auto"/>
        </w:rPr>
        <w:t>定期开展库区水质监测工作，及时了解水库水质状况</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以便于采取应对措施</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监测工作应纳入工程环境监测计划。</w:t>
      </w:r>
    </w:p>
    <w:p w14:paraId="02E753DB">
      <w:pPr>
        <w:pStyle w:val="4"/>
        <w:bidi w:val="0"/>
        <w:rPr>
          <w:rFonts w:hint="default" w:ascii="Times New Roman" w:hAnsi="Times New Roman" w:cs="Times New Roman"/>
        </w:rPr>
      </w:pPr>
      <w:bookmarkStart w:id="342" w:name="_Toc15228"/>
      <w:r>
        <w:rPr>
          <w:rFonts w:hint="default" w:ascii="Times New Roman" w:hAnsi="Times New Roman" w:cs="Times New Roman"/>
        </w:rPr>
        <w:t>声环境保护措施</w:t>
      </w:r>
      <w:bookmarkEnd w:id="342"/>
    </w:p>
    <w:p w14:paraId="6E52ADCF">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水库营运期产生的噪声主要是</w:t>
      </w:r>
      <w:r>
        <w:rPr>
          <w:rFonts w:hint="default" w:ascii="Times New Roman" w:hAnsi="Times New Roman" w:eastAsia="宋体" w:cs="Times New Roman"/>
          <w:caps w:val="0"/>
          <w:smallCaps w:val="0"/>
          <w:color w:val="auto"/>
          <w:spacing w:val="0"/>
          <w:w w:val="100"/>
          <w:position w:val="0"/>
          <w:sz w:val="24"/>
          <w:szCs w:val="24"/>
          <w:u w:val="none" w:color="auto"/>
          <w:lang w:eastAsia="zh-CN"/>
        </w:rPr>
        <w:t>启闭机和备用</w:t>
      </w:r>
      <w:r>
        <w:rPr>
          <w:rFonts w:hint="default" w:ascii="Times New Roman" w:hAnsi="Times New Roman" w:eastAsia="宋体" w:cs="Times New Roman"/>
          <w:caps w:val="0"/>
          <w:smallCaps w:val="0"/>
          <w:color w:val="auto"/>
          <w:spacing w:val="0"/>
          <w:w w:val="100"/>
          <w:position w:val="0"/>
          <w:sz w:val="24"/>
          <w:szCs w:val="24"/>
          <w:u w:val="none" w:color="auto"/>
        </w:rPr>
        <w:t>发电</w:t>
      </w:r>
      <w:r>
        <w:rPr>
          <w:rFonts w:hint="default" w:ascii="Times New Roman" w:hAnsi="Times New Roman" w:eastAsia="宋体" w:cs="Times New Roman"/>
          <w:caps w:val="0"/>
          <w:smallCaps w:val="0"/>
          <w:color w:val="auto"/>
          <w:spacing w:val="0"/>
          <w:w w:val="100"/>
          <w:position w:val="0"/>
          <w:sz w:val="24"/>
          <w:szCs w:val="24"/>
          <w:u w:val="none" w:color="auto"/>
          <w:lang w:eastAsia="zh-CN"/>
        </w:rPr>
        <w:t>机</w:t>
      </w:r>
      <w:r>
        <w:rPr>
          <w:rFonts w:hint="default" w:ascii="Times New Roman" w:hAnsi="Times New Roman" w:eastAsia="宋体" w:cs="Times New Roman"/>
          <w:caps w:val="0"/>
          <w:smallCaps w:val="0"/>
          <w:color w:val="auto"/>
          <w:spacing w:val="0"/>
          <w:w w:val="100"/>
          <w:position w:val="0"/>
          <w:sz w:val="24"/>
          <w:szCs w:val="24"/>
          <w:u w:val="none" w:color="auto"/>
        </w:rPr>
        <w:t>，设备均设置在建筑内，通过墙体隔声，可有效降低噪声影响。</w:t>
      </w:r>
    </w:p>
    <w:p w14:paraId="043ECC2F">
      <w:pPr>
        <w:pStyle w:val="4"/>
        <w:bidi w:val="0"/>
        <w:rPr>
          <w:rFonts w:hint="default" w:ascii="Times New Roman" w:hAnsi="Times New Roman" w:cs="Times New Roman"/>
        </w:rPr>
      </w:pPr>
      <w:bookmarkStart w:id="343" w:name="_Toc31082"/>
      <w:r>
        <w:rPr>
          <w:rFonts w:hint="default" w:ascii="Times New Roman" w:hAnsi="Times New Roman" w:cs="Times New Roman"/>
        </w:rPr>
        <w:t>固体废物环境保护措施</w:t>
      </w:r>
      <w:bookmarkEnd w:id="343"/>
    </w:p>
    <w:p w14:paraId="5B77D99A">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项目营运期产生的固体废物主要为管理人员的生活垃圾</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垃圾桶集中收集</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后交由环卫部门定期清运</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处理</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049307CA">
      <w:pPr>
        <w:pStyle w:val="4"/>
        <w:bidi w:val="0"/>
        <w:rPr>
          <w:rFonts w:hint="default" w:ascii="Times New Roman" w:hAnsi="Times New Roman" w:cs="Times New Roman"/>
        </w:rPr>
      </w:pPr>
      <w:bookmarkStart w:id="344" w:name="bookmark662"/>
      <w:bookmarkStart w:id="345" w:name="bookmark663"/>
      <w:bookmarkStart w:id="346" w:name="_Toc7919"/>
      <w:r>
        <w:rPr>
          <w:rFonts w:hint="default" w:ascii="Times New Roman" w:hAnsi="Times New Roman" w:cs="Times New Roman"/>
        </w:rPr>
        <w:t>地下水、土壤环境保护措施</w:t>
      </w:r>
      <w:bookmarkEnd w:id="344"/>
      <w:bookmarkEnd w:id="345"/>
      <w:bookmarkEnd w:id="346"/>
    </w:p>
    <w:p w14:paraId="3196F51D">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本工程为生态影响型项目，在严格执行相关环境保护措施的前提下，不会对地下水水位造成影响、污染地下水水质，不会对加剧土壤的酸化或引起碱化或盐化影响。因此，地下水、土壤环境保护措施主要为源头控制措施，具体包括： </w:t>
      </w:r>
    </w:p>
    <w:p w14:paraId="3A99B959">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）运行期各类污废水、固体废物应按本报告书要求进行处理和处置，避免污染工程周边地下水、土壤环境。 </w:t>
      </w:r>
    </w:p>
    <w:p w14:paraId="5A455B7A">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）对工程区内耕地、园地地块进行表土剥离，并集中堆置防护用于后期植被恢复。 </w:t>
      </w:r>
    </w:p>
    <w:p w14:paraId="1CFC75CE">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3</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）加强机械设备的维护保养，杜绝机械设备油类的跑、冒、滴、漏对土壤环境和地下水的污染。</w:t>
      </w:r>
    </w:p>
    <w:p w14:paraId="3B2CF18E">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4</w:t>
      </w:r>
      <w:r>
        <w:rPr>
          <w:rFonts w:hint="default" w:ascii="Times New Roman" w:hAnsi="Times New Roman" w:eastAsia="宋体" w:cs="Times New Roman"/>
          <w:caps w:val="0"/>
          <w:smallCaps w:val="0"/>
          <w:color w:val="auto"/>
          <w:spacing w:val="0"/>
          <w:w w:val="100"/>
          <w:kern w:val="0"/>
          <w:position w:val="0"/>
          <w:sz w:val="24"/>
          <w:szCs w:val="24"/>
          <w:u w:val="none" w:color="auto"/>
        </w:rPr>
        <w:t>）加强水库</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管理所及</w:t>
      </w:r>
      <w:r>
        <w:rPr>
          <w:rFonts w:hint="default" w:ascii="Times New Roman" w:hAnsi="Times New Roman" w:eastAsia="宋体" w:cs="Times New Roman"/>
          <w:caps w:val="0"/>
          <w:smallCaps w:val="0"/>
          <w:color w:val="auto"/>
          <w:spacing w:val="0"/>
          <w:w w:val="100"/>
          <w:kern w:val="0"/>
          <w:position w:val="0"/>
          <w:sz w:val="24"/>
          <w:szCs w:val="24"/>
          <w:u w:val="none" w:color="auto"/>
        </w:rPr>
        <w:t>周边的农村生活污水和生活垃圾管理，</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避免对地下水和土壤造成污染</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5F768751">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default" w:ascii="Times New Roman" w:hAnsi="Times New Roman" w:eastAsia="宋体" w:cs="Times New Roman"/>
          <w:caps w:val="0"/>
          <w:smallCaps w:val="0"/>
          <w:color w:val="auto"/>
          <w:spacing w:val="0"/>
          <w:w w:val="100"/>
          <w:kern w:val="0"/>
          <w:position w:val="0"/>
          <w:sz w:val="24"/>
          <w:szCs w:val="24"/>
          <w:u w:val="none" w:color="auto"/>
        </w:rPr>
        <w:t>）库区周边做好农田水利建设，加强植被覆盖率，减少水土流失。</w:t>
      </w:r>
    </w:p>
    <w:p w14:paraId="0AAF4F96">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6</w:t>
      </w:r>
      <w:r>
        <w:rPr>
          <w:rFonts w:hint="default" w:ascii="Times New Roman" w:hAnsi="Times New Roman" w:eastAsia="宋体" w:cs="Times New Roman"/>
          <w:caps w:val="0"/>
          <w:smallCaps w:val="0"/>
          <w:color w:val="auto"/>
          <w:spacing w:val="0"/>
          <w:w w:val="100"/>
          <w:kern w:val="0"/>
          <w:position w:val="0"/>
          <w:sz w:val="24"/>
          <w:szCs w:val="24"/>
          <w:u w:val="none" w:color="auto"/>
        </w:rPr>
        <w:t>）合理灌溉。主要是控制库区周边农田灌溉水对地下的过量补给，将地下水位限制在临界深度以下。严格控制灌溉定额，改善灌溉方法。</w:t>
      </w:r>
    </w:p>
    <w:p w14:paraId="71A8E51C">
      <w:pPr>
        <w:pStyle w:val="4"/>
        <w:bidi w:val="0"/>
        <w:rPr>
          <w:rFonts w:hint="default" w:ascii="Times New Roman" w:hAnsi="Times New Roman" w:cs="Times New Roman"/>
        </w:rPr>
      </w:pPr>
      <w:bookmarkStart w:id="347" w:name="bookmark668"/>
      <w:bookmarkStart w:id="348" w:name="bookmark669"/>
      <w:bookmarkStart w:id="349" w:name="_Toc15261"/>
      <w:r>
        <w:rPr>
          <w:rFonts w:hint="default" w:ascii="Times New Roman" w:hAnsi="Times New Roman" w:cs="Times New Roman"/>
        </w:rPr>
        <w:t>生态环境保护措施</w:t>
      </w:r>
      <w:bookmarkEnd w:id="347"/>
      <w:bookmarkEnd w:id="348"/>
      <w:bookmarkEnd w:id="349"/>
    </w:p>
    <w:p w14:paraId="564772FE">
      <w:pPr>
        <w:pStyle w:val="5"/>
        <w:bidi w:val="0"/>
        <w:rPr>
          <w:rFonts w:hint="default" w:ascii="Times New Roman" w:hAnsi="Times New Roman" w:cs="Times New Roman"/>
        </w:rPr>
      </w:pPr>
      <w:r>
        <w:rPr>
          <w:rFonts w:hint="default" w:ascii="Times New Roman" w:hAnsi="Times New Roman" w:cs="Times New Roman"/>
        </w:rPr>
        <w:t>陆生</w:t>
      </w:r>
      <w:r>
        <w:rPr>
          <w:rFonts w:hint="eastAsia" w:ascii="Times New Roman" w:hAnsi="Times New Roman" w:cs="Times New Roman"/>
          <w:lang w:eastAsia="zh-CN"/>
        </w:rPr>
        <w:t>生态</w:t>
      </w:r>
      <w:r>
        <w:rPr>
          <w:rFonts w:hint="default" w:ascii="Times New Roman" w:hAnsi="Times New Roman" w:cs="Times New Roman"/>
        </w:rPr>
        <w:t xml:space="preserve">保护措施 </w:t>
      </w:r>
    </w:p>
    <w:p w14:paraId="49DA5867">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在地表水饮用水水源准保护区内禁止非更新、非抚育采伐和其他破坏饮用水水源涵养林、护岸林以及其他植被的行为；在饮用水水源二级保护区内禁止新种植轮伐期不足十年的用材林，禁止毁林开垦、全垦整地、炼山等。</w:t>
      </w:r>
    </w:p>
    <w:p w14:paraId="58ED1570">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2</w:t>
      </w:r>
      <w:r>
        <w:rPr>
          <w:rFonts w:hint="default" w:ascii="Times New Roman" w:hAnsi="Times New Roman" w:eastAsia="宋体" w:cs="Times New Roman"/>
          <w:caps w:val="0"/>
          <w:smallCaps w:val="0"/>
          <w:color w:val="auto"/>
          <w:spacing w:val="0"/>
          <w:w w:val="100"/>
          <w:kern w:val="0"/>
          <w:position w:val="0"/>
          <w:sz w:val="24"/>
          <w:szCs w:val="24"/>
          <w:u w:val="none" w:color="auto"/>
        </w:rPr>
        <w:t>）当地政府及建设单位要加强保护野生物种资源的宣传教育，提高民众保护野生动物的意识及法纪观念，严禁狩猎，对违禁狩猎者要依法追究责任。</w:t>
      </w:r>
    </w:p>
    <w:p w14:paraId="538B8BE0">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rPr>
        <w:t>）要加强封山育林，提高植物覆盖率和森林覆盖率，为野生功动物提供适宜的生境。禁止滥捕乱杀，对违反者依法严惩。</w:t>
      </w:r>
    </w:p>
    <w:p w14:paraId="55ADFC26">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default" w:ascii="Times New Roman" w:hAnsi="Times New Roman" w:eastAsia="宋体" w:cs="Times New Roman"/>
          <w:caps w:val="0"/>
          <w:smallCaps w:val="0"/>
          <w:color w:val="auto"/>
          <w:spacing w:val="0"/>
          <w:w w:val="100"/>
          <w:kern w:val="0"/>
          <w:position w:val="0"/>
          <w:sz w:val="24"/>
          <w:szCs w:val="24"/>
          <w:u w:val="none" w:color="auto"/>
        </w:rPr>
        <w:t>）施工结束后尽快植树造林，恢复森林生境。繁茂的森林是动物理想的栖息地，使森林植被类型多样化，为各种动物的生存与繁衍提供栖息生境。</w:t>
      </w:r>
    </w:p>
    <w:p w14:paraId="1D9F9730">
      <w:pPr>
        <w:pStyle w:val="5"/>
        <w:bidi w:val="0"/>
        <w:rPr>
          <w:rFonts w:hint="default" w:ascii="Times New Roman" w:hAnsi="Times New Roman" w:cs="Times New Roman"/>
          <w:color w:val="auto"/>
        </w:rPr>
      </w:pPr>
      <w:r>
        <w:rPr>
          <w:rFonts w:hint="default" w:ascii="Times New Roman" w:hAnsi="Times New Roman" w:cs="Times New Roman"/>
          <w:color w:val="auto"/>
        </w:rPr>
        <w:t>水生</w:t>
      </w:r>
      <w:r>
        <w:rPr>
          <w:rFonts w:hint="eastAsia" w:ascii="Times New Roman" w:hAnsi="Times New Roman" w:cs="Times New Roman"/>
          <w:color w:val="auto"/>
          <w:lang w:eastAsia="zh-CN"/>
        </w:rPr>
        <w:t>生态</w:t>
      </w:r>
      <w:r>
        <w:rPr>
          <w:rFonts w:hint="default" w:ascii="Times New Roman" w:hAnsi="Times New Roman" w:cs="Times New Roman"/>
          <w:color w:val="auto"/>
        </w:rPr>
        <w:t>保护措施</w:t>
      </w:r>
    </w:p>
    <w:p w14:paraId="428E5984">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应禁止在库区进行炸鱼、电鱼及毒鱼等破坏生态可持续发展的违法活动。渔业行政主管部门要加强管理，严禁炸鱼、毒鱼、电鱼以及其它捕鱼作业等严重损害水产资源</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破坏</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水生</w:t>
      </w:r>
      <w:r>
        <w:rPr>
          <w:rFonts w:hint="default" w:ascii="Times New Roman" w:hAnsi="Times New Roman" w:eastAsia="宋体" w:cs="Times New Roman"/>
          <w:caps w:val="0"/>
          <w:smallCaps w:val="0"/>
          <w:color w:val="auto"/>
          <w:spacing w:val="0"/>
          <w:w w:val="100"/>
          <w:kern w:val="0"/>
          <w:position w:val="0"/>
          <w:sz w:val="24"/>
          <w:szCs w:val="24"/>
          <w:u w:val="none" w:color="auto"/>
        </w:rPr>
        <w:t>生态的违法活动。</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定期向水库投放当地原有鱼类的鱼苗，作为鱼类资源损失的生物补偿。</w:t>
      </w:r>
      <w:r>
        <w:rPr>
          <w:rFonts w:hint="default" w:ascii="Times New Roman" w:hAnsi="Times New Roman" w:eastAsia="宋体" w:cs="Times New Roman"/>
          <w:caps w:val="0"/>
          <w:smallCaps w:val="0"/>
          <w:color w:val="auto"/>
          <w:spacing w:val="0"/>
          <w:w w:val="100"/>
          <w:kern w:val="0"/>
          <w:position w:val="0"/>
          <w:sz w:val="24"/>
          <w:szCs w:val="24"/>
          <w:u w:val="none" w:color="auto"/>
        </w:rPr>
        <w:t>为确保饮用水水源的安全，严禁在</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东山水库</w:t>
      </w:r>
      <w:r>
        <w:rPr>
          <w:rFonts w:hint="default" w:ascii="Times New Roman" w:hAnsi="Times New Roman" w:eastAsia="宋体" w:cs="Times New Roman"/>
          <w:caps w:val="0"/>
          <w:smallCaps w:val="0"/>
          <w:color w:val="auto"/>
          <w:spacing w:val="0"/>
          <w:w w:val="100"/>
          <w:kern w:val="0"/>
          <w:position w:val="0"/>
          <w:sz w:val="24"/>
          <w:szCs w:val="24"/>
          <w:u w:val="none" w:color="auto"/>
        </w:rPr>
        <w:t>库区内进行人工水产养殖，防止水体受到污染。</w:t>
      </w:r>
    </w:p>
    <w:p w14:paraId="61F0C1DC">
      <w:pPr>
        <w:keepNext w:val="0"/>
        <w:keepLines w:val="0"/>
        <w:pageBreakBefore w:val="0"/>
        <w:widowControl w:val="0"/>
        <w:kinsoku w:val="0"/>
        <w:wordWrap w:val="0"/>
        <w:overflowPunct/>
        <w:topLinePunct/>
        <w:autoSpaceDE/>
        <w:autoSpaceDN/>
        <w:bidi w:val="0"/>
        <w:adjustRightInd w:val="0"/>
        <w:snapToGrid/>
        <w:spacing w:line="360" w:lineRule="auto"/>
        <w:ind w:firstLine="643" w:firstLineChars="200"/>
        <w:textAlignment w:val="auto"/>
        <w:rPr>
          <w:rFonts w:hint="default" w:ascii="Times New Roman" w:hAnsi="Times New Roman" w:eastAsia="宋体" w:cs="Times New Roman"/>
          <w:b/>
          <w:caps w:val="0"/>
          <w:smallCaps w:val="0"/>
          <w:color w:val="FF0000"/>
          <w:spacing w:val="0"/>
          <w:w w:val="100"/>
          <w:position w:val="0"/>
          <w:sz w:val="32"/>
          <w:szCs w:val="32"/>
          <w:u w:val="none" w:color="auto"/>
        </w:rPr>
        <w:sectPr>
          <w:headerReference r:id="rId19" w:type="default"/>
          <w:footerReference r:id="rId20" w:type="default"/>
          <w:pgSz w:w="11906" w:h="16838"/>
          <w:pgMar w:top="1440" w:right="1803" w:bottom="1440" w:left="1803" w:header="720" w:footer="720" w:gutter="0"/>
          <w:pgBorders>
            <w:top w:val="none" w:sz="0" w:space="0"/>
            <w:left w:val="none" w:sz="0" w:space="0"/>
            <w:bottom w:val="none" w:sz="0" w:space="0"/>
            <w:right w:val="none" w:sz="0" w:space="0"/>
          </w:pgBorders>
          <w:pgNumType w:fmt="decimal"/>
          <w:cols w:space="720" w:num="1"/>
          <w:docGrid w:type="lines" w:linePitch="312" w:charSpace="0"/>
        </w:sectPr>
      </w:pPr>
    </w:p>
    <w:p w14:paraId="014EA688">
      <w:pPr>
        <w:pStyle w:val="2"/>
        <w:bidi w:val="0"/>
        <w:rPr>
          <w:rFonts w:hint="default" w:ascii="Times New Roman" w:hAnsi="Times New Roman" w:cs="Times New Roman"/>
        </w:rPr>
      </w:pPr>
      <w:bookmarkStart w:id="350" w:name="_Toc31822"/>
      <w:r>
        <w:rPr>
          <w:rFonts w:hint="default" w:ascii="Times New Roman" w:hAnsi="Times New Roman" w:cs="Times New Roman"/>
        </w:rPr>
        <w:t>环境</w:t>
      </w:r>
      <w:r>
        <w:rPr>
          <w:rFonts w:hint="default" w:ascii="Times New Roman" w:hAnsi="Times New Roman" w:cs="Times New Roman"/>
          <w:lang w:val="en-US" w:eastAsia="zh-CN"/>
        </w:rPr>
        <w:t>影响</w:t>
      </w:r>
      <w:r>
        <w:rPr>
          <w:rFonts w:hint="default" w:ascii="Times New Roman" w:hAnsi="Times New Roman" w:cs="Times New Roman"/>
        </w:rPr>
        <w:t>经济损益分析</w:t>
      </w:r>
      <w:bookmarkEnd w:id="350"/>
    </w:p>
    <w:p w14:paraId="070496E0">
      <w:pPr>
        <w:spacing w:before="216" w:line="340" w:lineRule="auto"/>
        <w:ind w:left="22" w:right="228" w:firstLine="480"/>
        <w:rPr>
          <w:rFonts w:hint="default" w:ascii="Times New Roman" w:hAnsi="Times New Roman" w:cs="Times New Roman"/>
          <w:caps w:val="0"/>
          <w:smallCaps w:val="0"/>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环境影响经济损益分析目的是通过对项目建成后产生的正负两方面影响的分析评价， 对项目建成运营后的整体效益进行综合分析， 评价项目的总体效益并论证项目建设的可行性。其中，正方面影响主要体现在社会效益、经济效益上，负方面影响主要体现在环境效益上。</w:t>
      </w:r>
      <w:r>
        <w:rPr>
          <w:rFonts w:hint="default" w:ascii="Times New Roman" w:hAnsi="Times New Roman" w:eastAsia="宋体" w:cs="Times New Roman"/>
          <w:caps w:val="0"/>
          <w:smallCaps w:val="0"/>
          <w:color w:val="auto"/>
          <w:spacing w:val="0"/>
          <w:w w:val="100"/>
          <w:kern w:val="0"/>
          <w:position w:val="0"/>
          <w:sz w:val="24"/>
          <w:szCs w:val="24"/>
          <w:u w:val="none" w:color="auto"/>
        </w:rPr>
        <w:t>项目以供水为主，属于公益性的非污染类项目，具有较好的经济效益。由于水利水电工程对环境的影响是多方面的，且多为公益性项目，环境影响经济损益分析难度很大，很多因素难以进行货币量化计算，只能作定性的描述。根据本工程的实际情况，本次对项目的环境影响经济分析运用定量结合定性的方法进行。</w:t>
      </w:r>
    </w:p>
    <w:p w14:paraId="2C8C8AE9">
      <w:pPr>
        <w:pStyle w:val="3"/>
        <w:bidi w:val="0"/>
        <w:rPr>
          <w:rFonts w:hint="default" w:ascii="Times New Roman" w:hAnsi="Times New Roman" w:cs="Times New Roman"/>
          <w:color w:val="auto"/>
        </w:rPr>
      </w:pPr>
      <w:bookmarkStart w:id="351" w:name="_Toc31424"/>
      <w:r>
        <w:rPr>
          <w:rFonts w:hint="default" w:ascii="Times New Roman" w:hAnsi="Times New Roman" w:cs="Times New Roman"/>
          <w:color w:val="auto"/>
        </w:rPr>
        <w:t>环境保护投资估算</w:t>
      </w:r>
      <w:bookmarkEnd w:id="351"/>
    </w:p>
    <w:p w14:paraId="787FCEF8">
      <w:pPr>
        <w:pStyle w:val="4"/>
        <w:bidi w:val="0"/>
        <w:rPr>
          <w:rFonts w:hint="default" w:ascii="Times New Roman" w:hAnsi="Times New Roman" w:cs="Times New Roman"/>
        </w:rPr>
      </w:pPr>
      <w:bookmarkStart w:id="352" w:name="_Toc28622"/>
      <w:r>
        <w:rPr>
          <w:rFonts w:hint="default" w:ascii="Times New Roman" w:hAnsi="Times New Roman" w:cs="Times New Roman"/>
          <w:lang w:eastAsia="zh-CN"/>
        </w:rPr>
        <w:t>估算</w:t>
      </w:r>
      <w:r>
        <w:rPr>
          <w:rFonts w:hint="default" w:ascii="Times New Roman" w:hAnsi="Times New Roman" w:cs="Times New Roman"/>
        </w:rPr>
        <w:t>原则</w:t>
      </w:r>
      <w:bookmarkEnd w:id="352"/>
    </w:p>
    <w:p w14:paraId="077471F4">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谁污染，谁负责，谁开发，谁保护”原则。既保护环境又为主体工程服务，以及为减轻或消除因工程新建对环境造成的不利影响等，需采取的环境保护、环境监测和环境工程管理等措施，其所需投资，应根据其项目的依附性质，列入工程环境保护投资。</w:t>
      </w:r>
    </w:p>
    <w:p w14:paraId="4998F816">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“突出重点”原则。对项目影响较大、公众关注、保护等级较高的环境因子进行重点保护，在经费上予以优先考虑。</w:t>
      </w:r>
    </w:p>
    <w:p w14:paraId="0CB3C290">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“功能恢复”原则。对于因工程新建对环境造成不利影响需采取的补偿措施； 凡结合迁、改建提高标准或扩大规模增加的投资，应由地方政府或有关部门、产权所有者自行承担。</w:t>
      </w:r>
    </w:p>
    <w:p w14:paraId="22533BE8">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“一次性补偿”原则。对工程所造成的难以恢复、改建的环境影响对象和生态与环境损失，可采取替代补偿和生态恢复措施，或按有关补偿标准给予一次性合理补偿。</w:t>
      </w:r>
    </w:p>
    <w:p w14:paraId="6225CCA5">
      <w:pPr>
        <w:pStyle w:val="4"/>
        <w:bidi w:val="0"/>
        <w:rPr>
          <w:rFonts w:hint="default" w:ascii="Times New Roman" w:hAnsi="Times New Roman" w:cs="Times New Roman"/>
          <w:lang w:val="en-US" w:eastAsia="zh-CN"/>
        </w:rPr>
      </w:pPr>
      <w:bookmarkStart w:id="353" w:name="_Toc27046"/>
      <w:r>
        <w:rPr>
          <w:rFonts w:hint="default" w:ascii="Times New Roman" w:hAnsi="Times New Roman" w:cs="Times New Roman"/>
          <w:lang w:val="en-US" w:eastAsia="zh-CN"/>
        </w:rPr>
        <w:t>估算依据</w:t>
      </w:r>
      <w:bookmarkEnd w:id="353"/>
    </w:p>
    <w:p w14:paraId="0822B89F">
      <w:pPr>
        <w:pStyle w:val="82"/>
        <w:keepNext w:val="0"/>
        <w:keepLines w:val="0"/>
        <w:pageBreakBefore w:val="0"/>
        <w:widowControl w:val="0"/>
        <w:numPr>
          <w:ilvl w:val="0"/>
          <w:numId w:val="0"/>
        </w:numPr>
        <w:tabs>
          <w:tab w:val="left" w:pos="1823"/>
        </w:tabs>
        <w:kinsoku/>
        <w:wordWrap w:val="0"/>
        <w:overflowPunct/>
        <w:topLinePunct/>
        <w:autoSpaceDE/>
        <w:autoSpaceDN/>
        <w:bidi w:val="0"/>
        <w:adjustRightInd/>
        <w:snapToGrid/>
        <w:spacing w:after="0" w:line="360" w:lineRule="auto"/>
        <w:ind w:right="0" w:righ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default" w:ascii="Times New Roman" w:hAnsi="Times New Roman" w:eastAsia="宋体" w:cs="Times New Roman"/>
          <w:caps w:val="0"/>
          <w:smallCaps w:val="0"/>
          <w:color w:val="auto"/>
          <w:spacing w:val="0"/>
          <w:w w:val="100"/>
          <w:kern w:val="0"/>
          <w:position w:val="0"/>
          <w:sz w:val="24"/>
          <w:szCs w:val="24"/>
          <w:u w:val="none" w:color="auto"/>
        </w:rPr>
        <w:t>《水利水电工程环境保护设计概(估)算编制规程》(SL359-2006)；</w:t>
      </w:r>
    </w:p>
    <w:p w14:paraId="0D213FB3">
      <w:pPr>
        <w:pStyle w:val="82"/>
        <w:keepNext w:val="0"/>
        <w:keepLines w:val="0"/>
        <w:pageBreakBefore w:val="0"/>
        <w:widowControl w:val="0"/>
        <w:numPr>
          <w:ilvl w:val="0"/>
          <w:numId w:val="0"/>
        </w:numPr>
        <w:tabs>
          <w:tab w:val="left" w:pos="1823"/>
        </w:tabs>
        <w:kinsoku/>
        <w:wordWrap w:val="0"/>
        <w:overflowPunct/>
        <w:topLinePunct/>
        <w:autoSpaceDE/>
        <w:autoSpaceDN/>
        <w:bidi w:val="0"/>
        <w:adjustRightInd/>
        <w:snapToGrid/>
        <w:spacing w:after="0" w:line="360" w:lineRule="auto"/>
        <w:ind w:right="0" w:righ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w:t>
      </w:r>
      <w:r>
        <w:rPr>
          <w:rFonts w:hint="default" w:ascii="Times New Roman" w:hAnsi="Times New Roman" w:eastAsia="宋体" w:cs="Times New Roman"/>
          <w:caps w:val="0"/>
          <w:smallCaps w:val="0"/>
          <w:color w:val="auto"/>
          <w:spacing w:val="0"/>
          <w:w w:val="100"/>
          <w:kern w:val="0"/>
          <w:position w:val="0"/>
          <w:sz w:val="24"/>
          <w:szCs w:val="24"/>
          <w:u w:val="none" w:color="auto"/>
        </w:rPr>
        <w:t>《关于规范环境影响咨询收费有关问题的通知》(国家计委、国家环保局 计价格[2002]125 号文)；</w:t>
      </w:r>
    </w:p>
    <w:p w14:paraId="796C7F89">
      <w:pPr>
        <w:pStyle w:val="82"/>
        <w:keepNext w:val="0"/>
        <w:keepLines w:val="0"/>
        <w:pageBreakBefore w:val="0"/>
        <w:widowControl w:val="0"/>
        <w:numPr>
          <w:ilvl w:val="0"/>
          <w:numId w:val="0"/>
        </w:numPr>
        <w:tabs>
          <w:tab w:val="left" w:pos="1807"/>
        </w:tabs>
        <w:kinsoku/>
        <w:wordWrap w:val="0"/>
        <w:overflowPunct/>
        <w:topLinePunct/>
        <w:autoSpaceDE/>
        <w:autoSpaceDN/>
        <w:bidi w:val="0"/>
        <w:adjustRightInd/>
        <w:snapToGrid/>
        <w:spacing w:after="0" w:line="360" w:lineRule="auto"/>
        <w:ind w:right="0" w:righ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3、</w:t>
      </w:r>
      <w:r>
        <w:rPr>
          <w:rFonts w:hint="default" w:ascii="Times New Roman" w:hAnsi="Times New Roman" w:eastAsia="宋体" w:cs="Times New Roman"/>
          <w:caps w:val="0"/>
          <w:smallCaps w:val="0"/>
          <w:color w:val="auto"/>
          <w:spacing w:val="0"/>
          <w:w w:val="100"/>
          <w:kern w:val="0"/>
          <w:position w:val="0"/>
          <w:sz w:val="24"/>
          <w:szCs w:val="24"/>
          <w:u w:val="none" w:color="auto"/>
        </w:rPr>
        <w:t>《工程勘察设计收费管理规定》(国家计委、建设部计价格〔2002〕10 号)；</w:t>
      </w:r>
    </w:p>
    <w:p w14:paraId="7822A6D0">
      <w:pPr>
        <w:pStyle w:val="82"/>
        <w:keepNext w:val="0"/>
        <w:keepLines w:val="0"/>
        <w:pageBreakBefore w:val="0"/>
        <w:widowControl w:val="0"/>
        <w:numPr>
          <w:ilvl w:val="0"/>
          <w:numId w:val="0"/>
        </w:numPr>
        <w:tabs>
          <w:tab w:val="left" w:pos="1823"/>
        </w:tabs>
        <w:kinsoku/>
        <w:wordWrap w:val="0"/>
        <w:overflowPunct/>
        <w:topLinePunct/>
        <w:autoSpaceDE/>
        <w:autoSpaceDN/>
        <w:bidi w:val="0"/>
        <w:adjustRightInd/>
        <w:snapToGrid/>
        <w:spacing w:after="0" w:line="360" w:lineRule="auto"/>
        <w:ind w:right="0" w:righ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4、</w:t>
      </w:r>
      <w:r>
        <w:rPr>
          <w:rFonts w:hint="default" w:ascii="Times New Roman" w:hAnsi="Times New Roman" w:eastAsia="宋体" w:cs="Times New Roman"/>
          <w:caps w:val="0"/>
          <w:smallCaps w:val="0"/>
          <w:color w:val="auto"/>
          <w:spacing w:val="0"/>
          <w:w w:val="100"/>
          <w:kern w:val="0"/>
          <w:position w:val="0"/>
          <w:sz w:val="24"/>
          <w:szCs w:val="24"/>
          <w:u w:val="none" w:color="auto"/>
        </w:rPr>
        <w:t>《水利、水电、电力建设项目前期工作工程勘察收费暂行规定》(发改价格[2006]1352 号)；</w:t>
      </w:r>
    </w:p>
    <w:p w14:paraId="5AD595A4">
      <w:pPr>
        <w:pStyle w:val="82"/>
        <w:keepNext w:val="0"/>
        <w:keepLines w:val="0"/>
        <w:pageBreakBefore w:val="0"/>
        <w:widowControl w:val="0"/>
        <w:numPr>
          <w:ilvl w:val="0"/>
          <w:numId w:val="0"/>
        </w:numPr>
        <w:tabs>
          <w:tab w:val="left" w:pos="1823"/>
        </w:tabs>
        <w:kinsoku/>
        <w:wordWrap w:val="0"/>
        <w:overflowPunct/>
        <w:topLinePunct/>
        <w:autoSpaceDE/>
        <w:autoSpaceDN/>
        <w:bidi w:val="0"/>
        <w:adjustRightInd/>
        <w:snapToGrid/>
        <w:spacing w:after="0" w:line="360" w:lineRule="auto"/>
        <w:ind w:right="0" w:righ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default" w:ascii="Times New Roman" w:hAnsi="Times New Roman" w:eastAsia="宋体" w:cs="Times New Roman"/>
          <w:caps w:val="0"/>
          <w:smallCaps w:val="0"/>
          <w:color w:val="auto"/>
          <w:spacing w:val="0"/>
          <w:w w:val="100"/>
          <w:kern w:val="0"/>
          <w:position w:val="0"/>
          <w:sz w:val="24"/>
          <w:szCs w:val="24"/>
          <w:u w:val="none" w:color="auto"/>
        </w:rPr>
        <w:t>《关于印发〈招标代理服务收费管理暂行办法〉的通知》(计价格[2002]1980 号)；</w:t>
      </w:r>
    </w:p>
    <w:p w14:paraId="386E20F6">
      <w:pPr>
        <w:pStyle w:val="82"/>
        <w:keepNext w:val="0"/>
        <w:keepLines w:val="0"/>
        <w:pageBreakBefore w:val="0"/>
        <w:widowControl w:val="0"/>
        <w:numPr>
          <w:ilvl w:val="0"/>
          <w:numId w:val="0"/>
        </w:numPr>
        <w:tabs>
          <w:tab w:val="left" w:pos="1823"/>
        </w:tabs>
        <w:kinsoku/>
        <w:wordWrap w:val="0"/>
        <w:overflowPunct/>
        <w:topLinePunct/>
        <w:autoSpaceDE/>
        <w:autoSpaceDN/>
        <w:bidi w:val="0"/>
        <w:adjustRightInd/>
        <w:snapToGrid/>
        <w:spacing w:after="0" w:line="360" w:lineRule="auto"/>
        <w:ind w:right="0" w:righ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6、</w:t>
      </w:r>
      <w:r>
        <w:rPr>
          <w:rFonts w:hint="default" w:ascii="Times New Roman" w:hAnsi="Times New Roman" w:eastAsia="宋体" w:cs="Times New Roman"/>
          <w:caps w:val="0"/>
          <w:smallCaps w:val="0"/>
          <w:color w:val="auto"/>
          <w:spacing w:val="0"/>
          <w:w w:val="100"/>
          <w:kern w:val="0"/>
          <w:position w:val="0"/>
          <w:sz w:val="24"/>
          <w:szCs w:val="24"/>
          <w:u w:val="none" w:color="auto"/>
        </w:rPr>
        <w:t>《关于印发〈建设工程监理与相关服务收费管理规定〉的通知》(发改价格[2007]670 号)；</w:t>
      </w:r>
    </w:p>
    <w:p w14:paraId="13F3D0DD">
      <w:pPr>
        <w:pStyle w:val="82"/>
        <w:keepNext w:val="0"/>
        <w:keepLines w:val="0"/>
        <w:pageBreakBefore w:val="0"/>
        <w:widowControl w:val="0"/>
        <w:numPr>
          <w:ilvl w:val="0"/>
          <w:numId w:val="0"/>
        </w:numPr>
        <w:tabs>
          <w:tab w:val="left" w:pos="1823"/>
        </w:tabs>
        <w:kinsoku/>
        <w:wordWrap w:val="0"/>
        <w:overflowPunct/>
        <w:topLinePunct/>
        <w:autoSpaceDE/>
        <w:autoSpaceDN/>
        <w:bidi w:val="0"/>
        <w:adjustRightInd/>
        <w:snapToGrid/>
        <w:spacing w:after="0" w:line="360" w:lineRule="auto"/>
        <w:ind w:right="0" w:rightChars="0"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7、</w:t>
      </w:r>
      <w:r>
        <w:rPr>
          <w:rFonts w:hint="default" w:ascii="Times New Roman" w:hAnsi="Times New Roman" w:eastAsia="宋体" w:cs="Times New Roman"/>
          <w:caps w:val="0"/>
          <w:smallCaps w:val="0"/>
          <w:color w:val="auto"/>
          <w:spacing w:val="0"/>
          <w:w w:val="100"/>
          <w:kern w:val="0"/>
          <w:position w:val="0"/>
          <w:sz w:val="24"/>
          <w:szCs w:val="24"/>
          <w:u w:val="none" w:color="auto"/>
        </w:rPr>
        <w:t>《关于降低部分建设项目收费标准规范收费行为等有关问题的通知》(发改价格[2011]534)号；</w:t>
      </w:r>
    </w:p>
    <w:p w14:paraId="1B985096">
      <w:pPr>
        <w:pStyle w:val="82"/>
        <w:keepNext w:val="0"/>
        <w:keepLines w:val="0"/>
        <w:pageBreakBefore w:val="0"/>
        <w:widowControl w:val="0"/>
        <w:numPr>
          <w:ilvl w:val="0"/>
          <w:numId w:val="0"/>
        </w:numPr>
        <w:tabs>
          <w:tab w:val="left" w:pos="1943"/>
        </w:tabs>
        <w:kinsoku/>
        <w:wordWrap w:val="0"/>
        <w:overflowPunct/>
        <w:topLinePunct/>
        <w:autoSpaceDE/>
        <w:autoSpaceDN/>
        <w:bidi w:val="0"/>
        <w:adjustRightInd/>
        <w:snapToGrid/>
        <w:spacing w:after="0" w:line="360" w:lineRule="auto"/>
        <w:ind w:right="0" w:rightChars="0" w:firstLine="480" w:firstLineChars="200"/>
        <w:jc w:val="left"/>
        <w:textAlignment w:val="auto"/>
        <w:rPr>
          <w:rFonts w:hint="eastAsia" w:ascii="Times New Roman" w:hAnsi="Times New Roman" w:eastAsia="宋体" w:cs="Times New Roman"/>
          <w:caps w:val="0"/>
          <w:smallCaps w:val="0"/>
          <w:color w:val="FF0000"/>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8、</w:t>
      </w:r>
      <w:r>
        <w:rPr>
          <w:rFonts w:hint="default" w:ascii="Times New Roman" w:hAnsi="Times New Roman" w:eastAsia="宋体" w:cs="Times New Roman"/>
          <w:caps w:val="0"/>
          <w:smallCaps w:val="0"/>
          <w:color w:val="auto"/>
          <w:spacing w:val="0"/>
          <w:w w:val="100"/>
          <w:kern w:val="0"/>
          <w:position w:val="0"/>
          <w:sz w:val="24"/>
          <w:szCs w:val="24"/>
          <w:u w:val="none" w:color="auto"/>
        </w:rPr>
        <w:t>《关于规范环境影响咨询收费有关问题的通知》（计价格[2002]125号）</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p>
    <w:p w14:paraId="73106F00">
      <w:pPr>
        <w:pStyle w:val="4"/>
        <w:bidi w:val="0"/>
        <w:rPr>
          <w:rFonts w:hint="default" w:ascii="Times New Roman" w:hAnsi="Times New Roman" w:cs="Times New Roman"/>
          <w:lang w:val="en-US" w:eastAsia="zh-CN"/>
        </w:rPr>
      </w:pPr>
      <w:bookmarkStart w:id="354" w:name="_Toc12936"/>
      <w:r>
        <w:rPr>
          <w:rFonts w:hint="default" w:ascii="Times New Roman" w:hAnsi="Times New Roman" w:cs="Times New Roman"/>
          <w:lang w:val="en-US" w:eastAsia="zh-CN"/>
        </w:rPr>
        <w:t>费用构成</w:t>
      </w:r>
      <w:bookmarkEnd w:id="354"/>
    </w:p>
    <w:p w14:paraId="6FACBA7A">
      <w:pPr>
        <w:keepNext w:val="0"/>
        <w:keepLines w:val="0"/>
        <w:pageBreakBefore w:val="0"/>
        <w:widowControl w:val="0"/>
        <w:overflowPunct/>
        <w:autoSpaceDE/>
        <w:autoSpaceDN/>
        <w:bidi w:val="0"/>
        <w:adjustRightInd/>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本工程环境保护投资由</w:t>
      </w:r>
      <w:r>
        <w:rPr>
          <w:rFonts w:hint="default" w:ascii="Times New Roman" w:hAnsi="Times New Roman" w:eastAsia="宋体" w:cs="Times New Roman"/>
          <w:color w:val="auto"/>
          <w:spacing w:val="0"/>
          <w:w w:val="100"/>
          <w:position w:val="0"/>
          <w:sz w:val="24"/>
          <w:szCs w:val="24"/>
          <w:u w:val="none" w:color="auto"/>
        </w:rPr>
        <w:t>环境监测措施、环境保护措施、独立费用及基本预备费</w:t>
      </w:r>
      <w:r>
        <w:rPr>
          <w:rFonts w:hint="default" w:ascii="Times New Roman" w:hAnsi="Times New Roman" w:eastAsia="宋体" w:cs="Times New Roman"/>
          <w:caps w:val="0"/>
          <w:smallCaps w:val="0"/>
          <w:color w:val="auto"/>
          <w:spacing w:val="0"/>
          <w:w w:val="100"/>
          <w:kern w:val="0"/>
          <w:position w:val="0"/>
          <w:sz w:val="24"/>
          <w:szCs w:val="24"/>
          <w:u w:val="none" w:color="auto"/>
        </w:rPr>
        <w:t>组成</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1B34C877">
      <w:pPr>
        <w:pStyle w:val="4"/>
        <w:bidi w:val="0"/>
        <w:rPr>
          <w:rFonts w:hint="default" w:ascii="Times New Roman" w:hAnsi="Times New Roman" w:cs="Times New Roman"/>
          <w:lang w:val="en-US" w:eastAsia="zh-CN"/>
        </w:rPr>
      </w:pPr>
      <w:bookmarkStart w:id="355" w:name="_Toc12369"/>
      <w:r>
        <w:rPr>
          <w:rFonts w:hint="default" w:ascii="Times New Roman" w:hAnsi="Times New Roman" w:cs="Times New Roman"/>
          <w:lang w:val="en-US" w:eastAsia="zh-CN"/>
        </w:rPr>
        <w:t>环境保护投资主要指标</w:t>
      </w:r>
      <w:bookmarkEnd w:id="355"/>
    </w:p>
    <w:p w14:paraId="7537DB3B">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bCs/>
          <w:caps w:val="0"/>
          <w:smallCaps w:val="0"/>
          <w:color w:val="auto"/>
          <w:spacing w:val="0"/>
          <w:w w:val="100"/>
          <w:position w:val="0"/>
          <w:sz w:val="24"/>
          <w:szCs w:val="28"/>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bidi="ar-SA"/>
        </w:rPr>
        <w:t>本工程环境保护投资</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bidi="ar-SA"/>
        </w:rPr>
        <w:t>110.72万</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bidi="ar-SA"/>
        </w:rPr>
        <w:t>元，</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详见表</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6.1-1</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w:t>
      </w:r>
    </w:p>
    <w:p w14:paraId="24607641">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default" w:ascii="Times New Roman" w:hAnsi="Times New Roman" w:eastAsia="宋体" w:cs="Times New Roman"/>
          <w:b/>
          <w:bCs/>
          <w:caps w:val="0"/>
          <w:smallCaps w:val="0"/>
          <w:color w:val="auto"/>
          <w:spacing w:val="0"/>
          <w:w w:val="100"/>
          <w:position w:val="0"/>
          <w:sz w:val="21"/>
          <w:szCs w:val="21"/>
          <w:u w:val="none" w:color="auto"/>
        </w:rPr>
      </w:pPr>
      <w:r>
        <w:rPr>
          <w:rFonts w:hint="default" w:ascii="Times New Roman" w:hAnsi="Times New Roman" w:eastAsia="宋体" w:cs="Times New Roman"/>
          <w:b/>
          <w:bCs/>
          <w:caps w:val="0"/>
          <w:smallCaps w:val="0"/>
          <w:color w:val="auto"/>
          <w:spacing w:val="0"/>
          <w:w w:val="100"/>
          <w:position w:val="0"/>
          <w:sz w:val="21"/>
          <w:szCs w:val="21"/>
          <w:u w:val="none" w:color="auto"/>
        </w:rPr>
        <w:t>表</w:t>
      </w:r>
      <w:r>
        <w:rPr>
          <w:rFonts w:hint="default" w:ascii="Times New Roman" w:hAnsi="Times New Roman" w:eastAsia="宋体" w:cs="Times New Roman"/>
          <w:b/>
          <w:bCs/>
          <w:caps w:val="0"/>
          <w:smallCaps w:val="0"/>
          <w:color w:val="auto"/>
          <w:spacing w:val="0"/>
          <w:w w:val="100"/>
          <w:position w:val="0"/>
          <w:sz w:val="21"/>
          <w:szCs w:val="21"/>
          <w:u w:val="none" w:color="auto"/>
          <w:lang w:val="en-US" w:eastAsia="zh-CN"/>
        </w:rPr>
        <w:t>6.1-1</w:t>
      </w:r>
      <w:r>
        <w:rPr>
          <w:rFonts w:hint="default" w:ascii="Times New Roman" w:hAnsi="Times New Roman" w:eastAsia="宋体" w:cs="Times New Roman"/>
          <w:b/>
          <w:bCs/>
          <w:caps w:val="0"/>
          <w:smallCaps w:val="0"/>
          <w:color w:val="auto"/>
          <w:spacing w:val="0"/>
          <w:w w:val="100"/>
          <w:position w:val="0"/>
          <w:sz w:val="21"/>
          <w:szCs w:val="21"/>
          <w:u w:val="none" w:color="auto"/>
        </w:rPr>
        <w:t xml:space="preserve">  环境保护投资估算表</w:t>
      </w:r>
    </w:p>
    <w:tbl>
      <w:tblPr>
        <w:tblStyle w:val="95"/>
        <w:tblW w:w="522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068"/>
        <w:gridCol w:w="2861"/>
        <w:gridCol w:w="937"/>
        <w:gridCol w:w="812"/>
        <w:gridCol w:w="1516"/>
        <w:gridCol w:w="1523"/>
      </w:tblGrid>
      <w:tr w14:paraId="6640CBB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1D44A67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序号</w:t>
            </w:r>
          </w:p>
        </w:tc>
        <w:tc>
          <w:tcPr>
            <w:tcW w:w="2851" w:type="dxa"/>
            <w:tcBorders>
              <w:tl2br w:val="nil"/>
              <w:tr2bl w:val="nil"/>
            </w:tcBorders>
            <w:vAlign w:val="center"/>
          </w:tcPr>
          <w:p w14:paraId="09397C8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项目名称</w:t>
            </w:r>
          </w:p>
        </w:tc>
        <w:tc>
          <w:tcPr>
            <w:tcW w:w="934" w:type="dxa"/>
            <w:tcBorders>
              <w:tl2br w:val="nil"/>
              <w:tr2bl w:val="nil"/>
            </w:tcBorders>
            <w:vAlign w:val="center"/>
          </w:tcPr>
          <w:p w14:paraId="4165803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单位</w:t>
            </w:r>
          </w:p>
        </w:tc>
        <w:tc>
          <w:tcPr>
            <w:tcW w:w="809" w:type="dxa"/>
            <w:tcBorders>
              <w:tl2br w:val="nil"/>
              <w:tr2bl w:val="nil"/>
            </w:tcBorders>
            <w:vAlign w:val="center"/>
          </w:tcPr>
          <w:p w14:paraId="731ADC7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数量</w:t>
            </w:r>
          </w:p>
        </w:tc>
        <w:tc>
          <w:tcPr>
            <w:tcW w:w="1511" w:type="dxa"/>
            <w:tcBorders>
              <w:tl2br w:val="nil"/>
              <w:tr2bl w:val="nil"/>
            </w:tcBorders>
            <w:vAlign w:val="center"/>
          </w:tcPr>
          <w:p w14:paraId="279E0A1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0"/>
                <w:w w:val="100"/>
                <w:position w:val="0"/>
                <w:sz w:val="21"/>
                <w:szCs w:val="21"/>
                <w:u w:val="none" w:color="auto"/>
              </w:rPr>
            </w:pPr>
            <w:r>
              <w:rPr>
                <w:rFonts w:hint="default" w:ascii="Times New Roman" w:hAnsi="Times New Roman" w:eastAsia="宋体" w:cs="Times New Roman"/>
                <w:b/>
                <w:bCs/>
                <w:color w:val="auto"/>
                <w:spacing w:val="0"/>
                <w:w w:val="100"/>
                <w:position w:val="0"/>
                <w:sz w:val="21"/>
                <w:szCs w:val="21"/>
                <w:u w:val="none" w:color="auto"/>
              </w:rPr>
              <w:t>单价 (元)</w:t>
            </w:r>
          </w:p>
        </w:tc>
        <w:tc>
          <w:tcPr>
            <w:tcW w:w="1518" w:type="dxa"/>
            <w:tcBorders>
              <w:tl2br w:val="nil"/>
              <w:tr2bl w:val="nil"/>
            </w:tcBorders>
            <w:vAlign w:val="center"/>
          </w:tcPr>
          <w:p w14:paraId="5B5FCC1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b/>
                <w:bCs/>
                <w:color w:val="auto"/>
                <w:spacing w:val="0"/>
                <w:w w:val="100"/>
                <w:position w:val="0"/>
                <w:sz w:val="21"/>
                <w:szCs w:val="21"/>
                <w:u w:val="none" w:color="auto"/>
                <w:lang w:eastAsia="zh-CN"/>
              </w:rPr>
            </w:pPr>
            <w:r>
              <w:rPr>
                <w:rFonts w:hint="default" w:ascii="Times New Roman" w:hAnsi="Times New Roman" w:eastAsia="宋体" w:cs="Times New Roman"/>
                <w:b/>
                <w:bCs/>
                <w:color w:val="auto"/>
                <w:spacing w:val="0"/>
                <w:w w:val="100"/>
                <w:position w:val="0"/>
                <w:sz w:val="21"/>
                <w:szCs w:val="21"/>
                <w:u w:val="none" w:color="auto"/>
              </w:rPr>
              <w:t>小计</w:t>
            </w:r>
            <w:r>
              <w:rPr>
                <w:rFonts w:hint="eastAsia" w:ascii="Times New Roman" w:hAnsi="Times New Roman" w:eastAsia="宋体" w:cs="Times New Roman"/>
                <w:b/>
                <w:bCs/>
                <w:color w:val="auto"/>
                <w:spacing w:val="0"/>
                <w:w w:val="100"/>
                <w:position w:val="0"/>
                <w:sz w:val="21"/>
                <w:szCs w:val="21"/>
                <w:u w:val="none" w:color="auto"/>
                <w:lang w:eastAsia="zh-CN"/>
              </w:rPr>
              <w:t>（万元）</w:t>
            </w:r>
          </w:p>
        </w:tc>
      </w:tr>
      <w:tr w14:paraId="305E463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4BACE69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第</w:t>
            </w:r>
            <w:r>
              <w:rPr>
                <w:rFonts w:hint="eastAsia" w:ascii="Times New Roman" w:hAnsi="Times New Roman" w:eastAsia="宋体" w:cs="Times New Roman"/>
                <w:color w:val="auto"/>
                <w:spacing w:val="0"/>
                <w:w w:val="100"/>
                <w:position w:val="0"/>
                <w:sz w:val="21"/>
                <w:szCs w:val="21"/>
                <w:u w:val="none" w:color="auto"/>
                <w:lang w:eastAsia="zh-CN"/>
              </w:rPr>
              <w:t>一</w:t>
            </w:r>
            <w:r>
              <w:rPr>
                <w:rFonts w:hint="default" w:ascii="Times New Roman" w:hAnsi="Times New Roman" w:eastAsia="宋体" w:cs="Times New Roman"/>
                <w:color w:val="auto"/>
                <w:spacing w:val="0"/>
                <w:w w:val="100"/>
                <w:position w:val="0"/>
                <w:sz w:val="21"/>
                <w:szCs w:val="21"/>
                <w:u w:val="none" w:color="auto"/>
              </w:rPr>
              <w:t>部分</w:t>
            </w:r>
          </w:p>
        </w:tc>
        <w:tc>
          <w:tcPr>
            <w:tcW w:w="2851" w:type="dxa"/>
            <w:tcBorders>
              <w:tl2br w:val="nil"/>
              <w:tr2bl w:val="nil"/>
            </w:tcBorders>
            <w:vAlign w:val="center"/>
          </w:tcPr>
          <w:p w14:paraId="4F0CA6E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环境监测措施</w:t>
            </w:r>
          </w:p>
        </w:tc>
        <w:tc>
          <w:tcPr>
            <w:tcW w:w="934" w:type="dxa"/>
            <w:tcBorders>
              <w:tl2br w:val="nil"/>
              <w:tr2bl w:val="nil"/>
            </w:tcBorders>
            <w:vAlign w:val="center"/>
          </w:tcPr>
          <w:p w14:paraId="69A7577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809" w:type="dxa"/>
            <w:tcBorders>
              <w:tl2br w:val="nil"/>
              <w:tr2bl w:val="nil"/>
            </w:tcBorders>
            <w:vAlign w:val="center"/>
          </w:tcPr>
          <w:p w14:paraId="7473B3E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1511" w:type="dxa"/>
            <w:tcBorders>
              <w:tl2br w:val="nil"/>
              <w:tr2bl w:val="nil"/>
            </w:tcBorders>
            <w:vAlign w:val="center"/>
          </w:tcPr>
          <w:p w14:paraId="4434742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1518" w:type="dxa"/>
            <w:tcBorders>
              <w:tl2br w:val="nil"/>
              <w:tr2bl w:val="nil"/>
            </w:tcBorders>
            <w:vAlign w:val="center"/>
          </w:tcPr>
          <w:p w14:paraId="3C37CBBE">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16.6</w:t>
            </w:r>
          </w:p>
        </w:tc>
      </w:tr>
      <w:tr w14:paraId="6A866D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1C5AEA9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一</w:t>
            </w:r>
          </w:p>
        </w:tc>
        <w:tc>
          <w:tcPr>
            <w:tcW w:w="2851" w:type="dxa"/>
            <w:tcBorders>
              <w:tl2br w:val="nil"/>
              <w:tr2bl w:val="nil"/>
            </w:tcBorders>
            <w:vAlign w:val="center"/>
          </w:tcPr>
          <w:p w14:paraId="2841329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地表水水质监测</w:t>
            </w:r>
          </w:p>
        </w:tc>
        <w:tc>
          <w:tcPr>
            <w:tcW w:w="934" w:type="dxa"/>
            <w:tcBorders>
              <w:tl2br w:val="nil"/>
              <w:tr2bl w:val="nil"/>
            </w:tcBorders>
            <w:vAlign w:val="center"/>
          </w:tcPr>
          <w:p w14:paraId="22322EE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eastAsia="zh-CN"/>
              </w:rPr>
              <w:t>年</w:t>
            </w:r>
          </w:p>
        </w:tc>
        <w:tc>
          <w:tcPr>
            <w:tcW w:w="809" w:type="dxa"/>
            <w:tcBorders>
              <w:tl2br w:val="nil"/>
              <w:tr2bl w:val="nil"/>
            </w:tcBorders>
            <w:vAlign w:val="center"/>
          </w:tcPr>
          <w:p w14:paraId="0F8C2AF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val="en-US" w:eastAsia="zh-CN"/>
              </w:rPr>
              <w:t>1</w:t>
            </w:r>
          </w:p>
        </w:tc>
        <w:tc>
          <w:tcPr>
            <w:tcW w:w="1511" w:type="dxa"/>
            <w:tcBorders>
              <w:tl2br w:val="nil"/>
              <w:tr2bl w:val="nil"/>
            </w:tcBorders>
            <w:vAlign w:val="center"/>
          </w:tcPr>
          <w:p w14:paraId="0B4545A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30000</w:t>
            </w:r>
          </w:p>
        </w:tc>
        <w:tc>
          <w:tcPr>
            <w:tcW w:w="1518" w:type="dxa"/>
            <w:tcBorders>
              <w:tl2br w:val="nil"/>
              <w:tr2bl w:val="nil"/>
            </w:tcBorders>
            <w:vAlign w:val="center"/>
          </w:tcPr>
          <w:p w14:paraId="7EE4F292">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3</w:t>
            </w:r>
          </w:p>
        </w:tc>
      </w:tr>
      <w:tr w14:paraId="401A0B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001AE25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二</w:t>
            </w:r>
          </w:p>
        </w:tc>
        <w:tc>
          <w:tcPr>
            <w:tcW w:w="2851" w:type="dxa"/>
            <w:tcBorders>
              <w:tl2br w:val="nil"/>
              <w:tr2bl w:val="nil"/>
            </w:tcBorders>
            <w:vAlign w:val="center"/>
          </w:tcPr>
          <w:p w14:paraId="16EF35C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大气监测</w:t>
            </w:r>
          </w:p>
        </w:tc>
        <w:tc>
          <w:tcPr>
            <w:tcW w:w="934" w:type="dxa"/>
            <w:tcBorders>
              <w:tl2br w:val="nil"/>
              <w:tr2bl w:val="nil"/>
            </w:tcBorders>
            <w:vAlign w:val="center"/>
          </w:tcPr>
          <w:p w14:paraId="76029DD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eastAsia" w:ascii="Times New Roman" w:hAnsi="Times New Roman" w:eastAsia="宋体" w:cs="Times New Roman"/>
                <w:color w:val="auto"/>
                <w:spacing w:val="0"/>
                <w:w w:val="100"/>
                <w:position w:val="0"/>
                <w:sz w:val="21"/>
                <w:szCs w:val="21"/>
                <w:u w:val="none" w:color="auto"/>
                <w:lang w:eastAsia="zh-CN"/>
              </w:rPr>
              <w:t>年</w:t>
            </w:r>
          </w:p>
        </w:tc>
        <w:tc>
          <w:tcPr>
            <w:tcW w:w="809" w:type="dxa"/>
            <w:tcBorders>
              <w:tl2br w:val="nil"/>
              <w:tr2bl w:val="nil"/>
            </w:tcBorders>
            <w:vAlign w:val="center"/>
          </w:tcPr>
          <w:p w14:paraId="3559747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val="en-US" w:eastAsia="zh-CN"/>
              </w:rPr>
              <w:t>1</w:t>
            </w:r>
          </w:p>
        </w:tc>
        <w:tc>
          <w:tcPr>
            <w:tcW w:w="1511" w:type="dxa"/>
            <w:tcBorders>
              <w:tl2br w:val="nil"/>
              <w:tr2bl w:val="nil"/>
            </w:tcBorders>
            <w:vAlign w:val="center"/>
          </w:tcPr>
          <w:p w14:paraId="3E1A9E68">
            <w:pPr>
              <w:keepNext w:val="0"/>
              <w:keepLines w:val="0"/>
              <w:widowControl/>
              <w:suppressLineNumbers w:val="0"/>
              <w:jc w:val="center"/>
              <w:textAlignment w:val="center"/>
              <w:rPr>
                <w:rFonts w:hint="eastAsia"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8000</w:t>
            </w:r>
          </w:p>
        </w:tc>
        <w:tc>
          <w:tcPr>
            <w:tcW w:w="1518" w:type="dxa"/>
            <w:tcBorders>
              <w:tl2br w:val="nil"/>
              <w:tr2bl w:val="nil"/>
            </w:tcBorders>
            <w:vAlign w:val="center"/>
          </w:tcPr>
          <w:p w14:paraId="54625AC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0.8</w:t>
            </w:r>
          </w:p>
        </w:tc>
      </w:tr>
      <w:tr w14:paraId="7BA70A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018AE8D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三</w:t>
            </w:r>
          </w:p>
        </w:tc>
        <w:tc>
          <w:tcPr>
            <w:tcW w:w="2851" w:type="dxa"/>
            <w:tcBorders>
              <w:tl2br w:val="nil"/>
              <w:tr2bl w:val="nil"/>
            </w:tcBorders>
            <w:vAlign w:val="center"/>
          </w:tcPr>
          <w:p w14:paraId="0D6E812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噪声监测</w:t>
            </w:r>
          </w:p>
        </w:tc>
        <w:tc>
          <w:tcPr>
            <w:tcW w:w="934" w:type="dxa"/>
            <w:tcBorders>
              <w:tl2br w:val="nil"/>
              <w:tr2bl w:val="nil"/>
            </w:tcBorders>
            <w:vAlign w:val="center"/>
          </w:tcPr>
          <w:p w14:paraId="54B3C50A">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eastAsia" w:ascii="Times New Roman" w:hAnsi="Times New Roman" w:eastAsia="宋体" w:cs="Times New Roman"/>
                <w:color w:val="auto"/>
                <w:spacing w:val="0"/>
                <w:w w:val="100"/>
                <w:position w:val="0"/>
                <w:sz w:val="21"/>
                <w:szCs w:val="21"/>
                <w:u w:val="none" w:color="auto"/>
                <w:lang w:eastAsia="zh-CN"/>
              </w:rPr>
              <w:t>年</w:t>
            </w:r>
          </w:p>
        </w:tc>
        <w:tc>
          <w:tcPr>
            <w:tcW w:w="809" w:type="dxa"/>
            <w:tcBorders>
              <w:tl2br w:val="nil"/>
              <w:tr2bl w:val="nil"/>
            </w:tcBorders>
            <w:vAlign w:val="center"/>
          </w:tcPr>
          <w:p w14:paraId="64D4B57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1</w:t>
            </w:r>
          </w:p>
        </w:tc>
        <w:tc>
          <w:tcPr>
            <w:tcW w:w="1511" w:type="dxa"/>
            <w:tcBorders>
              <w:tl2br w:val="nil"/>
              <w:tr2bl w:val="nil"/>
            </w:tcBorders>
            <w:vAlign w:val="center"/>
          </w:tcPr>
          <w:p w14:paraId="7E5FED5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8000</w:t>
            </w:r>
          </w:p>
        </w:tc>
        <w:tc>
          <w:tcPr>
            <w:tcW w:w="1518" w:type="dxa"/>
            <w:tcBorders>
              <w:tl2br w:val="nil"/>
              <w:tr2bl w:val="nil"/>
            </w:tcBorders>
            <w:vAlign w:val="center"/>
          </w:tcPr>
          <w:p w14:paraId="1B45DBD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0.8</w:t>
            </w:r>
          </w:p>
        </w:tc>
      </w:tr>
      <w:tr w14:paraId="2B941FD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0B1820F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四</w:t>
            </w:r>
          </w:p>
        </w:tc>
        <w:tc>
          <w:tcPr>
            <w:tcW w:w="2851" w:type="dxa"/>
            <w:tcBorders>
              <w:tl2br w:val="nil"/>
              <w:tr2bl w:val="nil"/>
            </w:tcBorders>
            <w:vAlign w:val="center"/>
          </w:tcPr>
          <w:p w14:paraId="2727C2D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生态环境监测</w:t>
            </w:r>
          </w:p>
        </w:tc>
        <w:tc>
          <w:tcPr>
            <w:tcW w:w="934" w:type="dxa"/>
            <w:tcBorders>
              <w:tl2br w:val="nil"/>
              <w:tr2bl w:val="nil"/>
            </w:tcBorders>
            <w:vAlign w:val="center"/>
          </w:tcPr>
          <w:p w14:paraId="06FF660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eastAsia" w:ascii="Times New Roman" w:hAnsi="Times New Roman" w:eastAsia="宋体" w:cs="Times New Roman"/>
                <w:color w:val="auto"/>
                <w:spacing w:val="0"/>
                <w:w w:val="100"/>
                <w:position w:val="0"/>
                <w:sz w:val="21"/>
                <w:szCs w:val="21"/>
                <w:u w:val="none" w:color="auto"/>
                <w:lang w:eastAsia="zh-CN"/>
              </w:rPr>
              <w:t>年</w:t>
            </w:r>
          </w:p>
        </w:tc>
        <w:tc>
          <w:tcPr>
            <w:tcW w:w="809" w:type="dxa"/>
            <w:tcBorders>
              <w:tl2br w:val="nil"/>
              <w:tr2bl w:val="nil"/>
            </w:tcBorders>
            <w:vAlign w:val="center"/>
          </w:tcPr>
          <w:p w14:paraId="4E30B628">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eastAsia" w:ascii="Times New Roman" w:hAnsi="Times New Roman" w:eastAsia="宋体" w:cs="Times New Roman"/>
                <w:color w:val="auto"/>
                <w:spacing w:val="0"/>
                <w:w w:val="100"/>
                <w:position w:val="0"/>
                <w:sz w:val="21"/>
                <w:szCs w:val="21"/>
                <w:u w:val="none" w:color="auto"/>
                <w:lang w:val="en-US" w:eastAsia="zh-CN"/>
              </w:rPr>
              <w:t>1</w:t>
            </w:r>
          </w:p>
        </w:tc>
        <w:tc>
          <w:tcPr>
            <w:tcW w:w="1511" w:type="dxa"/>
            <w:tcBorders>
              <w:tl2br w:val="nil"/>
              <w:tr2bl w:val="nil"/>
            </w:tcBorders>
            <w:vAlign w:val="center"/>
          </w:tcPr>
          <w:p w14:paraId="70DBE53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120000</w:t>
            </w:r>
          </w:p>
        </w:tc>
        <w:tc>
          <w:tcPr>
            <w:tcW w:w="1518" w:type="dxa"/>
            <w:tcBorders>
              <w:tl2br w:val="nil"/>
              <w:tr2bl w:val="nil"/>
            </w:tcBorders>
            <w:vAlign w:val="center"/>
          </w:tcPr>
          <w:p w14:paraId="19396DEE">
            <w:pPr>
              <w:keepNext w:val="0"/>
              <w:keepLines w:val="0"/>
              <w:widowControl/>
              <w:suppressLineNumbers w:val="0"/>
              <w:jc w:val="center"/>
              <w:textAlignment w:val="center"/>
              <w:rPr>
                <w:rFonts w:hint="eastAsia"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i w:val="0"/>
                <w:iCs w:val="0"/>
                <w:color w:val="auto"/>
                <w:kern w:val="0"/>
                <w:sz w:val="21"/>
                <w:szCs w:val="21"/>
                <w:u w:val="none"/>
                <w:lang w:val="en-US" w:eastAsia="zh-CN" w:bidi="ar"/>
              </w:rPr>
              <w:t>12</w:t>
            </w:r>
          </w:p>
        </w:tc>
      </w:tr>
      <w:tr w14:paraId="3C78FDA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60E0DD2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第</w:t>
            </w:r>
            <w:r>
              <w:rPr>
                <w:rFonts w:hint="eastAsia" w:ascii="Times New Roman" w:hAnsi="Times New Roman" w:eastAsia="宋体" w:cs="Times New Roman"/>
                <w:color w:val="auto"/>
                <w:spacing w:val="0"/>
                <w:w w:val="100"/>
                <w:position w:val="0"/>
                <w:sz w:val="21"/>
                <w:szCs w:val="21"/>
                <w:u w:val="none" w:color="auto"/>
                <w:lang w:eastAsia="zh-CN"/>
              </w:rPr>
              <w:t>二</w:t>
            </w:r>
            <w:r>
              <w:rPr>
                <w:rFonts w:hint="default" w:ascii="Times New Roman" w:hAnsi="Times New Roman" w:eastAsia="宋体" w:cs="Times New Roman"/>
                <w:color w:val="auto"/>
                <w:spacing w:val="0"/>
                <w:w w:val="100"/>
                <w:position w:val="0"/>
                <w:sz w:val="21"/>
                <w:szCs w:val="21"/>
                <w:u w:val="none" w:color="auto"/>
              </w:rPr>
              <w:t>部分</w:t>
            </w:r>
          </w:p>
        </w:tc>
        <w:tc>
          <w:tcPr>
            <w:tcW w:w="2851" w:type="dxa"/>
            <w:tcBorders>
              <w:tl2br w:val="nil"/>
              <w:tr2bl w:val="nil"/>
            </w:tcBorders>
            <w:vAlign w:val="center"/>
          </w:tcPr>
          <w:p w14:paraId="40B9308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环境保护措施</w:t>
            </w:r>
          </w:p>
        </w:tc>
        <w:tc>
          <w:tcPr>
            <w:tcW w:w="934" w:type="dxa"/>
            <w:tcBorders>
              <w:tl2br w:val="nil"/>
              <w:tr2bl w:val="nil"/>
            </w:tcBorders>
            <w:vAlign w:val="center"/>
          </w:tcPr>
          <w:p w14:paraId="6B555C2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809" w:type="dxa"/>
            <w:tcBorders>
              <w:tl2br w:val="nil"/>
              <w:tr2bl w:val="nil"/>
            </w:tcBorders>
            <w:vAlign w:val="center"/>
          </w:tcPr>
          <w:p w14:paraId="562BC74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1511" w:type="dxa"/>
            <w:tcBorders>
              <w:tl2br w:val="nil"/>
              <w:tr2bl w:val="nil"/>
            </w:tcBorders>
            <w:vAlign w:val="center"/>
          </w:tcPr>
          <w:p w14:paraId="4074290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1518" w:type="dxa"/>
            <w:tcBorders>
              <w:tl2br w:val="nil"/>
              <w:tr2bl w:val="nil"/>
            </w:tcBorders>
            <w:vAlign w:val="center"/>
          </w:tcPr>
          <w:p w14:paraId="0AE27FB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29.5</w:t>
            </w:r>
          </w:p>
        </w:tc>
      </w:tr>
      <w:tr w14:paraId="44AC5B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5F0BCC1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一</w:t>
            </w:r>
          </w:p>
        </w:tc>
        <w:tc>
          <w:tcPr>
            <w:tcW w:w="2851" w:type="dxa"/>
            <w:tcBorders>
              <w:tl2br w:val="nil"/>
              <w:tr2bl w:val="nil"/>
            </w:tcBorders>
            <w:vAlign w:val="center"/>
          </w:tcPr>
          <w:p w14:paraId="07B81C7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废污水处理</w:t>
            </w:r>
          </w:p>
        </w:tc>
        <w:tc>
          <w:tcPr>
            <w:tcW w:w="934" w:type="dxa"/>
            <w:tcBorders>
              <w:tl2br w:val="nil"/>
              <w:tr2bl w:val="nil"/>
            </w:tcBorders>
            <w:vAlign w:val="center"/>
          </w:tcPr>
          <w:p w14:paraId="2292B90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809" w:type="dxa"/>
            <w:tcBorders>
              <w:tl2br w:val="nil"/>
              <w:tr2bl w:val="nil"/>
            </w:tcBorders>
            <w:vAlign w:val="center"/>
          </w:tcPr>
          <w:p w14:paraId="7119132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1511" w:type="dxa"/>
            <w:tcBorders>
              <w:tl2br w:val="nil"/>
              <w:tr2bl w:val="nil"/>
            </w:tcBorders>
            <w:vAlign w:val="center"/>
          </w:tcPr>
          <w:p w14:paraId="2E484FD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1518" w:type="dxa"/>
            <w:tcBorders>
              <w:tl2br w:val="nil"/>
              <w:tr2bl w:val="nil"/>
            </w:tcBorders>
            <w:vAlign w:val="center"/>
          </w:tcPr>
          <w:p w14:paraId="36F9619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13</w:t>
            </w:r>
          </w:p>
        </w:tc>
      </w:tr>
      <w:tr w14:paraId="26F351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1569D86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1</w:t>
            </w:r>
          </w:p>
        </w:tc>
        <w:tc>
          <w:tcPr>
            <w:tcW w:w="2851" w:type="dxa"/>
            <w:tcBorders>
              <w:tl2br w:val="nil"/>
              <w:tr2bl w:val="nil"/>
            </w:tcBorders>
            <w:vAlign w:val="center"/>
          </w:tcPr>
          <w:p w14:paraId="39AF946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lang w:val="en-US" w:eastAsia="zh-CN"/>
              </w:rPr>
              <w:t>混凝土拌和系统冲洗废水</w:t>
            </w:r>
            <w:r>
              <w:rPr>
                <w:rFonts w:hint="default" w:ascii="Times New Roman" w:hAnsi="Times New Roman" w:eastAsia="宋体" w:cs="Times New Roman"/>
                <w:color w:val="auto"/>
                <w:spacing w:val="0"/>
                <w:w w:val="100"/>
                <w:position w:val="0"/>
                <w:sz w:val="21"/>
                <w:szCs w:val="21"/>
                <w:u w:val="none" w:color="auto"/>
              </w:rPr>
              <w:t>沉淀池</w:t>
            </w:r>
          </w:p>
        </w:tc>
        <w:tc>
          <w:tcPr>
            <w:tcW w:w="934" w:type="dxa"/>
            <w:tcBorders>
              <w:tl2br w:val="nil"/>
              <w:tr2bl w:val="nil"/>
            </w:tcBorders>
            <w:vAlign w:val="center"/>
          </w:tcPr>
          <w:p w14:paraId="5D65335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个</w:t>
            </w:r>
          </w:p>
        </w:tc>
        <w:tc>
          <w:tcPr>
            <w:tcW w:w="809" w:type="dxa"/>
            <w:tcBorders>
              <w:tl2br w:val="nil"/>
              <w:tr2bl w:val="nil"/>
            </w:tcBorders>
            <w:vAlign w:val="center"/>
          </w:tcPr>
          <w:p w14:paraId="62BE263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val="en-US" w:eastAsia="zh-CN"/>
              </w:rPr>
              <w:t>1</w:t>
            </w:r>
          </w:p>
        </w:tc>
        <w:tc>
          <w:tcPr>
            <w:tcW w:w="1511" w:type="dxa"/>
            <w:tcBorders>
              <w:tl2br w:val="nil"/>
              <w:tr2bl w:val="nil"/>
            </w:tcBorders>
            <w:vAlign w:val="center"/>
          </w:tcPr>
          <w:p w14:paraId="5B4CAB5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eastAsia" w:ascii="Times New Roman" w:hAnsi="Times New Roman" w:eastAsia="宋体" w:cs="Times New Roman"/>
                <w:color w:val="auto"/>
                <w:spacing w:val="0"/>
                <w:w w:val="100"/>
                <w:position w:val="0"/>
                <w:sz w:val="21"/>
                <w:szCs w:val="21"/>
                <w:u w:val="none" w:color="auto"/>
                <w:lang w:val="en-US" w:eastAsia="zh-CN"/>
              </w:rPr>
              <w:t>20</w:t>
            </w:r>
            <w:r>
              <w:rPr>
                <w:rFonts w:hint="default" w:ascii="Times New Roman" w:hAnsi="Times New Roman" w:eastAsia="宋体" w:cs="Times New Roman"/>
                <w:color w:val="auto"/>
                <w:spacing w:val="0"/>
                <w:w w:val="100"/>
                <w:position w:val="0"/>
                <w:sz w:val="21"/>
                <w:szCs w:val="21"/>
                <w:u w:val="none" w:color="auto"/>
              </w:rPr>
              <w:t>000</w:t>
            </w:r>
          </w:p>
        </w:tc>
        <w:tc>
          <w:tcPr>
            <w:tcW w:w="1518" w:type="dxa"/>
            <w:tcBorders>
              <w:tl2br w:val="nil"/>
              <w:tr2bl w:val="nil"/>
            </w:tcBorders>
            <w:vAlign w:val="center"/>
          </w:tcPr>
          <w:p w14:paraId="591B38A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val="en-US" w:eastAsia="zh-CN"/>
              </w:rPr>
              <w:t>2</w:t>
            </w:r>
          </w:p>
        </w:tc>
      </w:tr>
      <w:tr w14:paraId="7F9BDA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20B77F8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2</w:t>
            </w:r>
          </w:p>
        </w:tc>
        <w:tc>
          <w:tcPr>
            <w:tcW w:w="2851" w:type="dxa"/>
            <w:tcBorders>
              <w:tl2br w:val="nil"/>
              <w:tr2bl w:val="nil"/>
            </w:tcBorders>
            <w:vAlign w:val="center"/>
          </w:tcPr>
          <w:p w14:paraId="1883E47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color w:val="auto"/>
                <w:spacing w:val="0"/>
                <w:w w:val="100"/>
                <w:position w:val="0"/>
                <w:sz w:val="21"/>
                <w:szCs w:val="21"/>
                <w:u w:val="none" w:color="auto"/>
              </w:rPr>
              <w:t>基坑废水</w:t>
            </w:r>
            <w:r>
              <w:rPr>
                <w:rFonts w:hint="eastAsia" w:ascii="Times New Roman" w:hAnsi="Times New Roman" w:eastAsia="宋体" w:cs="Times New Roman"/>
                <w:color w:val="auto"/>
                <w:spacing w:val="0"/>
                <w:w w:val="100"/>
                <w:position w:val="0"/>
                <w:sz w:val="21"/>
                <w:szCs w:val="21"/>
                <w:u w:val="none" w:color="auto"/>
                <w:lang w:eastAsia="zh-CN"/>
              </w:rPr>
              <w:t>沉淀池</w:t>
            </w:r>
          </w:p>
        </w:tc>
        <w:tc>
          <w:tcPr>
            <w:tcW w:w="934" w:type="dxa"/>
            <w:tcBorders>
              <w:tl2br w:val="nil"/>
              <w:tr2bl w:val="nil"/>
            </w:tcBorders>
            <w:vAlign w:val="center"/>
          </w:tcPr>
          <w:p w14:paraId="512D487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eastAsia="zh-CN"/>
              </w:rPr>
              <w:t>个</w:t>
            </w:r>
          </w:p>
        </w:tc>
        <w:tc>
          <w:tcPr>
            <w:tcW w:w="809" w:type="dxa"/>
            <w:tcBorders>
              <w:tl2br w:val="nil"/>
              <w:tr2bl w:val="nil"/>
            </w:tcBorders>
            <w:vAlign w:val="center"/>
          </w:tcPr>
          <w:p w14:paraId="3A7C839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1</w:t>
            </w:r>
          </w:p>
        </w:tc>
        <w:tc>
          <w:tcPr>
            <w:tcW w:w="1511" w:type="dxa"/>
            <w:tcBorders>
              <w:tl2br w:val="nil"/>
              <w:tr2bl w:val="nil"/>
            </w:tcBorders>
            <w:vAlign w:val="center"/>
          </w:tcPr>
          <w:p w14:paraId="36AFF94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Times New Roman" w:hAnsi="Times New Roman" w:eastAsia="宋体" w:cs="Times New Roman"/>
                <w:color w:val="auto"/>
                <w:spacing w:val="0"/>
                <w:w w:val="100"/>
                <w:position w:val="0"/>
                <w:sz w:val="21"/>
                <w:szCs w:val="21"/>
                <w:u w:val="none" w:color="auto"/>
                <w:lang w:val="en-US" w:eastAsia="zh-CN"/>
              </w:rPr>
              <w:t>20</w:t>
            </w:r>
            <w:r>
              <w:rPr>
                <w:rFonts w:hint="default" w:ascii="Times New Roman" w:hAnsi="Times New Roman" w:eastAsia="宋体" w:cs="Times New Roman"/>
                <w:color w:val="auto"/>
                <w:spacing w:val="0"/>
                <w:w w:val="100"/>
                <w:position w:val="0"/>
                <w:sz w:val="21"/>
                <w:szCs w:val="21"/>
                <w:u w:val="none" w:color="auto"/>
              </w:rPr>
              <w:t>000</w:t>
            </w:r>
          </w:p>
        </w:tc>
        <w:tc>
          <w:tcPr>
            <w:tcW w:w="1518" w:type="dxa"/>
            <w:tcBorders>
              <w:tl2br w:val="nil"/>
              <w:tr2bl w:val="nil"/>
            </w:tcBorders>
            <w:vAlign w:val="center"/>
          </w:tcPr>
          <w:p w14:paraId="253035B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Times New Roman" w:hAnsi="Times New Roman" w:eastAsia="宋体" w:cs="Times New Roman"/>
                <w:color w:val="auto"/>
                <w:spacing w:val="0"/>
                <w:w w:val="100"/>
                <w:position w:val="0"/>
                <w:sz w:val="21"/>
                <w:szCs w:val="21"/>
                <w:u w:val="none" w:color="auto"/>
                <w:lang w:val="en-US" w:eastAsia="zh-CN"/>
              </w:rPr>
              <w:t>2</w:t>
            </w:r>
          </w:p>
        </w:tc>
      </w:tr>
      <w:tr w14:paraId="58B163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0020D77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3</w:t>
            </w:r>
          </w:p>
        </w:tc>
        <w:tc>
          <w:tcPr>
            <w:tcW w:w="2851" w:type="dxa"/>
            <w:tcBorders>
              <w:tl2br w:val="nil"/>
              <w:tr2bl w:val="nil"/>
            </w:tcBorders>
            <w:vAlign w:val="center"/>
          </w:tcPr>
          <w:p w14:paraId="020E0D6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lang w:eastAsia="zh-CN"/>
              </w:rPr>
              <w:t>帷幕灌浆施工废水</w:t>
            </w:r>
            <w:r>
              <w:rPr>
                <w:rFonts w:hint="eastAsia" w:ascii="Times New Roman" w:hAnsi="Times New Roman" w:eastAsia="宋体" w:cs="Times New Roman"/>
                <w:color w:val="auto"/>
                <w:spacing w:val="0"/>
                <w:w w:val="100"/>
                <w:position w:val="0"/>
                <w:sz w:val="21"/>
                <w:szCs w:val="21"/>
                <w:u w:val="none" w:color="auto"/>
                <w:lang w:eastAsia="zh-CN"/>
              </w:rPr>
              <w:t>沉淀池</w:t>
            </w:r>
          </w:p>
        </w:tc>
        <w:tc>
          <w:tcPr>
            <w:tcW w:w="934" w:type="dxa"/>
            <w:tcBorders>
              <w:tl2br w:val="nil"/>
              <w:tr2bl w:val="nil"/>
            </w:tcBorders>
            <w:vAlign w:val="center"/>
          </w:tcPr>
          <w:p w14:paraId="3084D6F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Times New Roman" w:hAnsi="Times New Roman" w:eastAsia="宋体" w:cs="Times New Roman"/>
                <w:color w:val="auto"/>
                <w:spacing w:val="0"/>
                <w:w w:val="100"/>
                <w:position w:val="0"/>
                <w:sz w:val="21"/>
                <w:szCs w:val="21"/>
                <w:u w:val="none" w:color="auto"/>
                <w:lang w:eastAsia="zh-CN"/>
              </w:rPr>
              <w:t>个</w:t>
            </w:r>
          </w:p>
        </w:tc>
        <w:tc>
          <w:tcPr>
            <w:tcW w:w="809" w:type="dxa"/>
            <w:tcBorders>
              <w:tl2br w:val="nil"/>
              <w:tr2bl w:val="nil"/>
            </w:tcBorders>
            <w:vAlign w:val="center"/>
          </w:tcPr>
          <w:p w14:paraId="6FCF5D6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Times New Roman" w:hAnsi="Times New Roman" w:eastAsia="宋体" w:cs="Times New Roman"/>
                <w:color w:val="auto"/>
                <w:spacing w:val="0"/>
                <w:w w:val="100"/>
                <w:position w:val="0"/>
                <w:sz w:val="21"/>
                <w:szCs w:val="21"/>
                <w:u w:val="none" w:color="auto"/>
                <w:lang w:val="en-US" w:eastAsia="zh-CN"/>
              </w:rPr>
              <w:t>1</w:t>
            </w:r>
          </w:p>
        </w:tc>
        <w:tc>
          <w:tcPr>
            <w:tcW w:w="1511" w:type="dxa"/>
            <w:tcBorders>
              <w:tl2br w:val="nil"/>
              <w:tr2bl w:val="nil"/>
            </w:tcBorders>
            <w:vAlign w:val="center"/>
          </w:tcPr>
          <w:p w14:paraId="2460193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Times New Roman" w:hAnsi="Times New Roman" w:eastAsia="宋体" w:cs="Times New Roman"/>
                <w:color w:val="auto"/>
                <w:spacing w:val="0"/>
                <w:w w:val="100"/>
                <w:position w:val="0"/>
                <w:sz w:val="21"/>
                <w:szCs w:val="21"/>
                <w:u w:val="none" w:color="auto"/>
                <w:lang w:val="en-US" w:eastAsia="zh-CN"/>
              </w:rPr>
              <w:t>20</w:t>
            </w:r>
            <w:r>
              <w:rPr>
                <w:rFonts w:hint="default" w:ascii="Times New Roman" w:hAnsi="Times New Roman" w:eastAsia="宋体" w:cs="Times New Roman"/>
                <w:color w:val="auto"/>
                <w:spacing w:val="0"/>
                <w:w w:val="100"/>
                <w:position w:val="0"/>
                <w:sz w:val="21"/>
                <w:szCs w:val="21"/>
                <w:u w:val="none" w:color="auto"/>
              </w:rPr>
              <w:t>000</w:t>
            </w:r>
          </w:p>
        </w:tc>
        <w:tc>
          <w:tcPr>
            <w:tcW w:w="1518" w:type="dxa"/>
            <w:tcBorders>
              <w:tl2br w:val="nil"/>
              <w:tr2bl w:val="nil"/>
            </w:tcBorders>
            <w:vAlign w:val="center"/>
          </w:tcPr>
          <w:p w14:paraId="6AEB31A8">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Times New Roman" w:hAnsi="Times New Roman" w:eastAsia="宋体" w:cs="Times New Roman"/>
                <w:color w:val="auto"/>
                <w:spacing w:val="0"/>
                <w:w w:val="100"/>
                <w:position w:val="0"/>
                <w:sz w:val="21"/>
                <w:szCs w:val="21"/>
                <w:u w:val="none" w:color="auto"/>
                <w:lang w:val="en-US" w:eastAsia="zh-CN"/>
              </w:rPr>
              <w:t>2</w:t>
            </w:r>
          </w:p>
        </w:tc>
      </w:tr>
      <w:tr w14:paraId="6671863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5D32E56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4</w:t>
            </w:r>
          </w:p>
        </w:tc>
        <w:tc>
          <w:tcPr>
            <w:tcW w:w="2851" w:type="dxa"/>
            <w:tcBorders>
              <w:tl2br w:val="nil"/>
              <w:tr2bl w:val="nil"/>
            </w:tcBorders>
            <w:vAlign w:val="center"/>
          </w:tcPr>
          <w:p w14:paraId="4B21F1F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rPr>
              <w:t>施工机械冲洗废水</w:t>
            </w:r>
            <w:r>
              <w:rPr>
                <w:rFonts w:hint="eastAsia" w:ascii="Times New Roman" w:hAnsi="Times New Roman" w:eastAsia="宋体" w:cs="Times New Roman"/>
                <w:color w:val="auto"/>
                <w:spacing w:val="0"/>
                <w:w w:val="100"/>
                <w:position w:val="0"/>
                <w:sz w:val="21"/>
                <w:szCs w:val="21"/>
                <w:u w:val="none" w:color="auto"/>
                <w:lang w:eastAsia="zh-CN"/>
              </w:rPr>
              <w:t>隔油沉淀池</w:t>
            </w:r>
          </w:p>
        </w:tc>
        <w:tc>
          <w:tcPr>
            <w:tcW w:w="934" w:type="dxa"/>
            <w:tcBorders>
              <w:tl2br w:val="nil"/>
              <w:tr2bl w:val="nil"/>
            </w:tcBorders>
            <w:vAlign w:val="center"/>
          </w:tcPr>
          <w:p w14:paraId="48B6D9B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Times New Roman" w:hAnsi="Times New Roman" w:eastAsia="宋体" w:cs="Times New Roman"/>
                <w:color w:val="auto"/>
                <w:spacing w:val="0"/>
                <w:w w:val="100"/>
                <w:position w:val="0"/>
                <w:sz w:val="21"/>
                <w:szCs w:val="21"/>
                <w:u w:val="none" w:color="auto"/>
                <w:lang w:eastAsia="zh-CN"/>
              </w:rPr>
              <w:t>个</w:t>
            </w:r>
          </w:p>
        </w:tc>
        <w:tc>
          <w:tcPr>
            <w:tcW w:w="809" w:type="dxa"/>
            <w:tcBorders>
              <w:tl2br w:val="nil"/>
              <w:tr2bl w:val="nil"/>
            </w:tcBorders>
            <w:vAlign w:val="center"/>
          </w:tcPr>
          <w:p w14:paraId="244D0C5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Times New Roman" w:hAnsi="Times New Roman" w:eastAsia="宋体" w:cs="Times New Roman"/>
                <w:color w:val="auto"/>
                <w:spacing w:val="0"/>
                <w:w w:val="100"/>
                <w:position w:val="0"/>
                <w:sz w:val="21"/>
                <w:szCs w:val="21"/>
                <w:u w:val="none" w:color="auto"/>
                <w:lang w:val="en-US" w:eastAsia="zh-CN"/>
              </w:rPr>
              <w:t>1</w:t>
            </w:r>
          </w:p>
        </w:tc>
        <w:tc>
          <w:tcPr>
            <w:tcW w:w="1511" w:type="dxa"/>
            <w:tcBorders>
              <w:tl2br w:val="nil"/>
              <w:tr2bl w:val="nil"/>
            </w:tcBorders>
            <w:vAlign w:val="center"/>
          </w:tcPr>
          <w:p w14:paraId="3491E0C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Times New Roman" w:hAnsi="Times New Roman" w:eastAsia="宋体" w:cs="Times New Roman"/>
                <w:color w:val="auto"/>
                <w:spacing w:val="0"/>
                <w:w w:val="100"/>
                <w:position w:val="0"/>
                <w:sz w:val="21"/>
                <w:szCs w:val="21"/>
                <w:u w:val="none" w:color="auto"/>
                <w:lang w:val="en-US" w:eastAsia="zh-CN"/>
              </w:rPr>
              <w:t>20</w:t>
            </w:r>
            <w:r>
              <w:rPr>
                <w:rFonts w:hint="default" w:ascii="Times New Roman" w:hAnsi="Times New Roman" w:eastAsia="宋体" w:cs="Times New Roman"/>
                <w:color w:val="auto"/>
                <w:spacing w:val="0"/>
                <w:w w:val="100"/>
                <w:position w:val="0"/>
                <w:sz w:val="21"/>
                <w:szCs w:val="21"/>
                <w:u w:val="none" w:color="auto"/>
              </w:rPr>
              <w:t>000</w:t>
            </w:r>
          </w:p>
        </w:tc>
        <w:tc>
          <w:tcPr>
            <w:tcW w:w="1518" w:type="dxa"/>
            <w:tcBorders>
              <w:tl2br w:val="nil"/>
              <w:tr2bl w:val="nil"/>
            </w:tcBorders>
            <w:vAlign w:val="center"/>
          </w:tcPr>
          <w:p w14:paraId="59A3729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Times New Roman" w:hAnsi="Times New Roman" w:eastAsia="宋体" w:cs="Times New Roman"/>
                <w:color w:val="auto"/>
                <w:spacing w:val="0"/>
                <w:w w:val="100"/>
                <w:position w:val="0"/>
                <w:sz w:val="21"/>
                <w:szCs w:val="21"/>
                <w:u w:val="none" w:color="auto"/>
                <w:lang w:val="en-US" w:eastAsia="zh-CN"/>
              </w:rPr>
              <w:t>2</w:t>
            </w:r>
          </w:p>
        </w:tc>
      </w:tr>
      <w:tr w14:paraId="7E3105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0DC1A90A">
            <w:pPr>
              <w:keepNext w:val="0"/>
              <w:keepLines w:val="0"/>
              <w:widowControl/>
              <w:suppressLineNumbers w:val="0"/>
              <w:jc w:val="center"/>
              <w:textAlignment w:val="center"/>
              <w:rPr>
                <w:rFonts w:hint="eastAsia" w:ascii="Times New Roman" w:hAnsi="Times New Roman" w:eastAsia="宋体" w:cs="Times New Roman"/>
                <w:color w:val="auto"/>
                <w:spacing w:val="0"/>
                <w:w w:val="100"/>
                <w:position w:val="0"/>
                <w:sz w:val="21"/>
                <w:szCs w:val="21"/>
                <w:u w:val="none" w:color="auto"/>
                <w:lang w:val="en-US" w:eastAsia="zh-CN"/>
              </w:rPr>
            </w:pPr>
            <w:r>
              <w:rPr>
                <w:rFonts w:hint="eastAsia" w:ascii="宋体" w:hAnsi="宋体" w:eastAsia="宋体" w:cs="宋体"/>
                <w:i w:val="0"/>
                <w:iCs w:val="0"/>
                <w:color w:val="auto"/>
                <w:kern w:val="0"/>
                <w:sz w:val="21"/>
                <w:szCs w:val="21"/>
                <w:u w:val="none"/>
                <w:lang w:val="en-US" w:eastAsia="zh-CN" w:bidi="ar"/>
              </w:rPr>
              <w:t>5</w:t>
            </w:r>
          </w:p>
        </w:tc>
        <w:tc>
          <w:tcPr>
            <w:tcW w:w="2851" w:type="dxa"/>
            <w:tcBorders>
              <w:tl2br w:val="nil"/>
              <w:tr2bl w:val="nil"/>
            </w:tcBorders>
            <w:vAlign w:val="center"/>
          </w:tcPr>
          <w:p w14:paraId="1E04EB1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eastAsia" w:ascii="宋体" w:hAnsi="宋体" w:eastAsia="宋体" w:cs="宋体"/>
                <w:i w:val="0"/>
                <w:iCs w:val="0"/>
                <w:color w:val="auto"/>
                <w:kern w:val="0"/>
                <w:sz w:val="21"/>
                <w:szCs w:val="21"/>
                <w:u w:val="none"/>
                <w:lang w:val="en-US" w:eastAsia="zh-CN" w:bidi="ar"/>
              </w:rPr>
              <w:t>饮用水源保护措施</w:t>
            </w:r>
          </w:p>
        </w:tc>
        <w:tc>
          <w:tcPr>
            <w:tcW w:w="934" w:type="dxa"/>
            <w:tcBorders>
              <w:tl2br w:val="nil"/>
              <w:tr2bl w:val="nil"/>
            </w:tcBorders>
            <w:vAlign w:val="center"/>
          </w:tcPr>
          <w:p w14:paraId="67793B04">
            <w:pPr>
              <w:jc w:val="center"/>
              <w:rPr>
                <w:rFonts w:hint="eastAsia" w:ascii="Times New Roman" w:hAnsi="Times New Roman" w:eastAsia="宋体" w:cs="Times New Roman"/>
                <w:color w:val="auto"/>
                <w:spacing w:val="0"/>
                <w:w w:val="100"/>
                <w:position w:val="0"/>
                <w:sz w:val="21"/>
                <w:szCs w:val="21"/>
                <w:u w:val="none" w:color="auto"/>
                <w:lang w:eastAsia="zh-CN"/>
              </w:rPr>
            </w:pPr>
          </w:p>
        </w:tc>
        <w:tc>
          <w:tcPr>
            <w:tcW w:w="809" w:type="dxa"/>
            <w:tcBorders>
              <w:tl2br w:val="nil"/>
              <w:tr2bl w:val="nil"/>
            </w:tcBorders>
            <w:vAlign w:val="center"/>
          </w:tcPr>
          <w:p w14:paraId="1C388752">
            <w:pPr>
              <w:jc w:val="center"/>
              <w:rPr>
                <w:rFonts w:hint="eastAsia" w:ascii="Times New Roman" w:hAnsi="Times New Roman" w:eastAsia="宋体" w:cs="Times New Roman"/>
                <w:color w:val="auto"/>
                <w:spacing w:val="0"/>
                <w:w w:val="100"/>
                <w:position w:val="0"/>
                <w:sz w:val="21"/>
                <w:szCs w:val="21"/>
                <w:u w:val="none" w:color="auto"/>
                <w:lang w:val="en-US" w:eastAsia="zh-CN"/>
              </w:rPr>
            </w:pPr>
          </w:p>
        </w:tc>
        <w:tc>
          <w:tcPr>
            <w:tcW w:w="1511" w:type="dxa"/>
            <w:tcBorders>
              <w:tl2br w:val="nil"/>
              <w:tr2bl w:val="nil"/>
            </w:tcBorders>
            <w:vAlign w:val="center"/>
          </w:tcPr>
          <w:p w14:paraId="394ACDD2">
            <w:pPr>
              <w:keepNext w:val="0"/>
              <w:keepLines w:val="0"/>
              <w:widowControl/>
              <w:suppressLineNumbers w:val="0"/>
              <w:jc w:val="center"/>
              <w:textAlignment w:val="center"/>
              <w:rPr>
                <w:rFonts w:hint="eastAsia"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50000</w:t>
            </w:r>
          </w:p>
        </w:tc>
        <w:tc>
          <w:tcPr>
            <w:tcW w:w="1518" w:type="dxa"/>
            <w:tcBorders>
              <w:tl2br w:val="nil"/>
              <w:tr2bl w:val="nil"/>
            </w:tcBorders>
            <w:vAlign w:val="center"/>
          </w:tcPr>
          <w:p w14:paraId="4BAAC01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5</w:t>
            </w:r>
          </w:p>
        </w:tc>
      </w:tr>
      <w:tr w14:paraId="532D62D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0042FED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二</w:t>
            </w:r>
          </w:p>
        </w:tc>
        <w:tc>
          <w:tcPr>
            <w:tcW w:w="2851" w:type="dxa"/>
            <w:tcBorders>
              <w:tl2br w:val="nil"/>
              <w:tr2bl w:val="nil"/>
            </w:tcBorders>
            <w:vAlign w:val="center"/>
          </w:tcPr>
          <w:p w14:paraId="00EE118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噪声防治</w:t>
            </w:r>
          </w:p>
        </w:tc>
        <w:tc>
          <w:tcPr>
            <w:tcW w:w="934" w:type="dxa"/>
            <w:tcBorders>
              <w:tl2br w:val="nil"/>
              <w:tr2bl w:val="nil"/>
            </w:tcBorders>
            <w:vAlign w:val="center"/>
          </w:tcPr>
          <w:p w14:paraId="2061553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809" w:type="dxa"/>
            <w:tcBorders>
              <w:tl2br w:val="nil"/>
              <w:tr2bl w:val="nil"/>
            </w:tcBorders>
            <w:vAlign w:val="center"/>
          </w:tcPr>
          <w:p w14:paraId="1D2151F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1511" w:type="dxa"/>
            <w:tcBorders>
              <w:tl2br w:val="nil"/>
              <w:tr2bl w:val="nil"/>
            </w:tcBorders>
            <w:vAlign w:val="center"/>
          </w:tcPr>
          <w:p w14:paraId="72349B2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1518" w:type="dxa"/>
            <w:tcBorders>
              <w:tl2br w:val="nil"/>
              <w:tr2bl w:val="nil"/>
            </w:tcBorders>
            <w:vAlign w:val="center"/>
          </w:tcPr>
          <w:p w14:paraId="3775D8F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5.32</w:t>
            </w:r>
          </w:p>
        </w:tc>
      </w:tr>
      <w:tr w14:paraId="6AC79D3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04CBC03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1</w:t>
            </w:r>
          </w:p>
        </w:tc>
        <w:tc>
          <w:tcPr>
            <w:tcW w:w="2851" w:type="dxa"/>
            <w:tcBorders>
              <w:tl2br w:val="nil"/>
              <w:tr2bl w:val="nil"/>
            </w:tcBorders>
            <w:vAlign w:val="center"/>
          </w:tcPr>
          <w:p w14:paraId="04C5E63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交通限速牌</w:t>
            </w:r>
          </w:p>
        </w:tc>
        <w:tc>
          <w:tcPr>
            <w:tcW w:w="934" w:type="dxa"/>
            <w:tcBorders>
              <w:tl2br w:val="nil"/>
              <w:tr2bl w:val="nil"/>
            </w:tcBorders>
            <w:vAlign w:val="center"/>
          </w:tcPr>
          <w:p w14:paraId="44CBBA1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个</w:t>
            </w:r>
          </w:p>
        </w:tc>
        <w:tc>
          <w:tcPr>
            <w:tcW w:w="809" w:type="dxa"/>
            <w:tcBorders>
              <w:tl2br w:val="nil"/>
              <w:tr2bl w:val="nil"/>
            </w:tcBorders>
            <w:vAlign w:val="center"/>
          </w:tcPr>
          <w:p w14:paraId="3EBCC7F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val="en-US" w:eastAsia="zh-CN"/>
              </w:rPr>
              <w:t>4</w:t>
            </w:r>
          </w:p>
        </w:tc>
        <w:tc>
          <w:tcPr>
            <w:tcW w:w="1511" w:type="dxa"/>
            <w:tcBorders>
              <w:tl2br w:val="nil"/>
              <w:tr2bl w:val="nil"/>
            </w:tcBorders>
            <w:vAlign w:val="center"/>
          </w:tcPr>
          <w:p w14:paraId="683FDFC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eastAsia" w:ascii="Times New Roman" w:hAnsi="Times New Roman" w:eastAsia="宋体" w:cs="Times New Roman"/>
                <w:color w:val="auto"/>
                <w:spacing w:val="0"/>
                <w:w w:val="100"/>
                <w:position w:val="0"/>
                <w:sz w:val="21"/>
                <w:szCs w:val="21"/>
                <w:u w:val="none" w:color="auto"/>
                <w:lang w:val="en-US" w:eastAsia="zh-CN"/>
              </w:rPr>
              <w:t>8</w:t>
            </w:r>
            <w:r>
              <w:rPr>
                <w:rFonts w:hint="default" w:ascii="Times New Roman" w:hAnsi="Times New Roman" w:eastAsia="宋体" w:cs="Times New Roman"/>
                <w:color w:val="auto"/>
                <w:spacing w:val="0"/>
                <w:w w:val="100"/>
                <w:position w:val="0"/>
                <w:sz w:val="21"/>
                <w:szCs w:val="21"/>
                <w:u w:val="none" w:color="auto"/>
              </w:rPr>
              <w:t>00</w:t>
            </w:r>
          </w:p>
        </w:tc>
        <w:tc>
          <w:tcPr>
            <w:tcW w:w="1518" w:type="dxa"/>
            <w:tcBorders>
              <w:tl2br w:val="nil"/>
              <w:tr2bl w:val="nil"/>
            </w:tcBorders>
            <w:vAlign w:val="center"/>
          </w:tcPr>
          <w:p w14:paraId="75E323E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color w:val="auto"/>
                <w:spacing w:val="0"/>
                <w:w w:val="100"/>
                <w:position w:val="0"/>
                <w:sz w:val="21"/>
                <w:szCs w:val="21"/>
                <w:u w:val="none" w:color="auto"/>
              </w:rPr>
              <w:t>0.</w:t>
            </w:r>
            <w:r>
              <w:rPr>
                <w:rFonts w:hint="eastAsia" w:ascii="Times New Roman" w:hAnsi="Times New Roman" w:eastAsia="宋体" w:cs="Times New Roman"/>
                <w:color w:val="auto"/>
                <w:spacing w:val="0"/>
                <w:w w:val="100"/>
                <w:position w:val="0"/>
                <w:sz w:val="21"/>
                <w:szCs w:val="21"/>
                <w:u w:val="none" w:color="auto"/>
                <w:lang w:val="en-US" w:eastAsia="zh-CN"/>
              </w:rPr>
              <w:t>32</w:t>
            </w:r>
          </w:p>
        </w:tc>
      </w:tr>
      <w:tr w14:paraId="6090F2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549B3FC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2</w:t>
            </w:r>
          </w:p>
        </w:tc>
        <w:tc>
          <w:tcPr>
            <w:tcW w:w="2851" w:type="dxa"/>
            <w:tcBorders>
              <w:tl2br w:val="nil"/>
              <w:tr2bl w:val="nil"/>
            </w:tcBorders>
            <w:vAlign w:val="center"/>
          </w:tcPr>
          <w:p w14:paraId="6AB53FE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eastAsia="zh-CN"/>
              </w:rPr>
              <w:t>临时移动声屏障</w:t>
            </w:r>
          </w:p>
        </w:tc>
        <w:tc>
          <w:tcPr>
            <w:tcW w:w="934" w:type="dxa"/>
            <w:tcBorders>
              <w:tl2br w:val="nil"/>
              <w:tr2bl w:val="nil"/>
            </w:tcBorders>
            <w:vAlign w:val="center"/>
          </w:tcPr>
          <w:p w14:paraId="1C488D2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m</w:t>
            </w:r>
          </w:p>
        </w:tc>
        <w:tc>
          <w:tcPr>
            <w:tcW w:w="809" w:type="dxa"/>
            <w:tcBorders>
              <w:tl2br w:val="nil"/>
              <w:tr2bl w:val="nil"/>
            </w:tcBorders>
            <w:vAlign w:val="center"/>
          </w:tcPr>
          <w:p w14:paraId="336C1BF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500</w:t>
            </w:r>
          </w:p>
        </w:tc>
        <w:tc>
          <w:tcPr>
            <w:tcW w:w="1511" w:type="dxa"/>
            <w:tcBorders>
              <w:tl2br w:val="nil"/>
              <w:tr2bl w:val="nil"/>
            </w:tcBorders>
            <w:vAlign w:val="center"/>
          </w:tcPr>
          <w:p w14:paraId="16FEFE0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100</w:t>
            </w:r>
          </w:p>
        </w:tc>
        <w:tc>
          <w:tcPr>
            <w:tcW w:w="1518" w:type="dxa"/>
            <w:tcBorders>
              <w:tl2br w:val="nil"/>
              <w:tr2bl w:val="nil"/>
            </w:tcBorders>
            <w:vAlign w:val="center"/>
          </w:tcPr>
          <w:p w14:paraId="24C46F0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5</w:t>
            </w:r>
          </w:p>
        </w:tc>
      </w:tr>
      <w:tr w14:paraId="70FB9C1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0B43E10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三</w:t>
            </w:r>
          </w:p>
        </w:tc>
        <w:tc>
          <w:tcPr>
            <w:tcW w:w="2851" w:type="dxa"/>
            <w:tcBorders>
              <w:tl2br w:val="nil"/>
              <w:tr2bl w:val="nil"/>
            </w:tcBorders>
            <w:vAlign w:val="center"/>
          </w:tcPr>
          <w:p w14:paraId="6461298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固体废弃物处理</w:t>
            </w:r>
          </w:p>
        </w:tc>
        <w:tc>
          <w:tcPr>
            <w:tcW w:w="934" w:type="dxa"/>
            <w:tcBorders>
              <w:tl2br w:val="nil"/>
              <w:tr2bl w:val="nil"/>
            </w:tcBorders>
            <w:vAlign w:val="center"/>
          </w:tcPr>
          <w:p w14:paraId="0192938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809" w:type="dxa"/>
            <w:tcBorders>
              <w:tl2br w:val="nil"/>
              <w:tr2bl w:val="nil"/>
            </w:tcBorders>
            <w:vAlign w:val="center"/>
          </w:tcPr>
          <w:p w14:paraId="4409242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1511" w:type="dxa"/>
            <w:tcBorders>
              <w:tl2br w:val="nil"/>
              <w:tr2bl w:val="nil"/>
            </w:tcBorders>
            <w:vAlign w:val="center"/>
          </w:tcPr>
          <w:p w14:paraId="7A8BFD1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1518" w:type="dxa"/>
            <w:tcBorders>
              <w:tl2br w:val="nil"/>
              <w:tr2bl w:val="nil"/>
            </w:tcBorders>
            <w:vAlign w:val="center"/>
          </w:tcPr>
          <w:p w14:paraId="557BEA7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2.8</w:t>
            </w:r>
          </w:p>
        </w:tc>
      </w:tr>
      <w:tr w14:paraId="114161F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2074D8B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1</w:t>
            </w:r>
          </w:p>
        </w:tc>
        <w:tc>
          <w:tcPr>
            <w:tcW w:w="2851" w:type="dxa"/>
            <w:tcBorders>
              <w:tl2br w:val="nil"/>
              <w:tr2bl w:val="nil"/>
            </w:tcBorders>
            <w:vAlign w:val="center"/>
          </w:tcPr>
          <w:p w14:paraId="4F2A91C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清运费</w:t>
            </w:r>
          </w:p>
        </w:tc>
        <w:tc>
          <w:tcPr>
            <w:tcW w:w="934" w:type="dxa"/>
            <w:tcBorders>
              <w:tl2br w:val="nil"/>
              <w:tr2bl w:val="nil"/>
            </w:tcBorders>
            <w:vAlign w:val="center"/>
          </w:tcPr>
          <w:p w14:paraId="6765484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月</w:t>
            </w:r>
          </w:p>
        </w:tc>
        <w:tc>
          <w:tcPr>
            <w:tcW w:w="809" w:type="dxa"/>
            <w:tcBorders>
              <w:tl2br w:val="nil"/>
              <w:tr2bl w:val="nil"/>
            </w:tcBorders>
            <w:vAlign w:val="center"/>
          </w:tcPr>
          <w:p w14:paraId="0354C54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val="en-US" w:eastAsia="zh-CN"/>
              </w:rPr>
              <w:t>8</w:t>
            </w:r>
          </w:p>
        </w:tc>
        <w:tc>
          <w:tcPr>
            <w:tcW w:w="1511" w:type="dxa"/>
            <w:tcBorders>
              <w:tl2br w:val="nil"/>
              <w:tr2bl w:val="nil"/>
            </w:tcBorders>
            <w:vAlign w:val="center"/>
          </w:tcPr>
          <w:p w14:paraId="33B0789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2000</w:t>
            </w:r>
          </w:p>
        </w:tc>
        <w:tc>
          <w:tcPr>
            <w:tcW w:w="1518" w:type="dxa"/>
            <w:tcBorders>
              <w:tl2br w:val="nil"/>
              <w:tr2bl w:val="nil"/>
            </w:tcBorders>
            <w:vAlign w:val="center"/>
          </w:tcPr>
          <w:p w14:paraId="7A42D03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1.6</w:t>
            </w:r>
          </w:p>
        </w:tc>
      </w:tr>
      <w:tr w14:paraId="6A890E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3705EFA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2</w:t>
            </w:r>
          </w:p>
        </w:tc>
        <w:tc>
          <w:tcPr>
            <w:tcW w:w="2851" w:type="dxa"/>
            <w:tcBorders>
              <w:tl2br w:val="nil"/>
              <w:tr2bl w:val="nil"/>
            </w:tcBorders>
            <w:vAlign w:val="center"/>
          </w:tcPr>
          <w:p w14:paraId="6FD6DA6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垃圾桶</w:t>
            </w:r>
          </w:p>
        </w:tc>
        <w:tc>
          <w:tcPr>
            <w:tcW w:w="934" w:type="dxa"/>
            <w:tcBorders>
              <w:tl2br w:val="nil"/>
              <w:tr2bl w:val="nil"/>
            </w:tcBorders>
            <w:vAlign w:val="center"/>
          </w:tcPr>
          <w:p w14:paraId="3E7CDA6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个</w:t>
            </w:r>
          </w:p>
        </w:tc>
        <w:tc>
          <w:tcPr>
            <w:tcW w:w="809" w:type="dxa"/>
            <w:tcBorders>
              <w:tl2br w:val="nil"/>
              <w:tr2bl w:val="nil"/>
            </w:tcBorders>
            <w:vAlign w:val="center"/>
          </w:tcPr>
          <w:p w14:paraId="006EDCB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val="en-US" w:eastAsia="zh-CN"/>
              </w:rPr>
              <w:t>8</w:t>
            </w:r>
          </w:p>
        </w:tc>
        <w:tc>
          <w:tcPr>
            <w:tcW w:w="1511" w:type="dxa"/>
            <w:tcBorders>
              <w:tl2br w:val="nil"/>
              <w:tr2bl w:val="nil"/>
            </w:tcBorders>
            <w:vAlign w:val="center"/>
          </w:tcPr>
          <w:p w14:paraId="1412B26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500</w:t>
            </w:r>
          </w:p>
        </w:tc>
        <w:tc>
          <w:tcPr>
            <w:tcW w:w="1518" w:type="dxa"/>
            <w:tcBorders>
              <w:tl2br w:val="nil"/>
              <w:tr2bl w:val="nil"/>
            </w:tcBorders>
            <w:vAlign w:val="center"/>
          </w:tcPr>
          <w:p w14:paraId="40B586D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0.4</w:t>
            </w:r>
          </w:p>
        </w:tc>
      </w:tr>
      <w:tr w14:paraId="057648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1579331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3</w:t>
            </w:r>
          </w:p>
        </w:tc>
        <w:tc>
          <w:tcPr>
            <w:tcW w:w="2851" w:type="dxa"/>
            <w:tcBorders>
              <w:tl2br w:val="nil"/>
              <w:tr2bl w:val="nil"/>
            </w:tcBorders>
            <w:vAlign w:val="center"/>
          </w:tcPr>
          <w:p w14:paraId="4E42553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eastAsia="zh-CN"/>
              </w:rPr>
              <w:t>危废处置</w:t>
            </w:r>
          </w:p>
        </w:tc>
        <w:tc>
          <w:tcPr>
            <w:tcW w:w="934" w:type="dxa"/>
            <w:tcBorders>
              <w:tl2br w:val="nil"/>
              <w:tr2bl w:val="nil"/>
            </w:tcBorders>
            <w:vAlign w:val="center"/>
          </w:tcPr>
          <w:p w14:paraId="64F0B06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eastAsia="zh-CN"/>
              </w:rPr>
              <w:t>月</w:t>
            </w:r>
          </w:p>
        </w:tc>
        <w:tc>
          <w:tcPr>
            <w:tcW w:w="809" w:type="dxa"/>
            <w:tcBorders>
              <w:tl2br w:val="nil"/>
              <w:tr2bl w:val="nil"/>
            </w:tcBorders>
            <w:vAlign w:val="center"/>
          </w:tcPr>
          <w:p w14:paraId="609C9BF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8</w:t>
            </w:r>
          </w:p>
        </w:tc>
        <w:tc>
          <w:tcPr>
            <w:tcW w:w="1511" w:type="dxa"/>
            <w:tcBorders>
              <w:tl2br w:val="nil"/>
              <w:tr2bl w:val="nil"/>
            </w:tcBorders>
            <w:vAlign w:val="center"/>
          </w:tcPr>
          <w:p w14:paraId="7FC3E8B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1000</w:t>
            </w:r>
          </w:p>
        </w:tc>
        <w:tc>
          <w:tcPr>
            <w:tcW w:w="1518" w:type="dxa"/>
            <w:tcBorders>
              <w:tl2br w:val="nil"/>
              <w:tr2bl w:val="nil"/>
            </w:tcBorders>
            <w:vAlign w:val="center"/>
          </w:tcPr>
          <w:p w14:paraId="34EB06C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0.8</w:t>
            </w:r>
          </w:p>
        </w:tc>
      </w:tr>
      <w:tr w14:paraId="78EFC71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21DE96F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四</w:t>
            </w:r>
          </w:p>
        </w:tc>
        <w:tc>
          <w:tcPr>
            <w:tcW w:w="2851" w:type="dxa"/>
            <w:tcBorders>
              <w:tl2br w:val="nil"/>
              <w:tr2bl w:val="nil"/>
            </w:tcBorders>
            <w:vAlign w:val="center"/>
          </w:tcPr>
          <w:p w14:paraId="39C1C70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eastAsia="zh-CN"/>
              </w:rPr>
              <w:t>废气处理</w:t>
            </w:r>
          </w:p>
        </w:tc>
        <w:tc>
          <w:tcPr>
            <w:tcW w:w="934" w:type="dxa"/>
            <w:tcBorders>
              <w:tl2br w:val="nil"/>
              <w:tr2bl w:val="nil"/>
            </w:tcBorders>
            <w:vAlign w:val="center"/>
          </w:tcPr>
          <w:p w14:paraId="6B477653">
            <w:pPr>
              <w:jc w:val="center"/>
              <w:rPr>
                <w:rFonts w:hint="default" w:ascii="Times New Roman" w:hAnsi="Times New Roman" w:eastAsia="宋体" w:cs="Times New Roman"/>
                <w:color w:val="auto"/>
                <w:spacing w:val="0"/>
                <w:w w:val="100"/>
                <w:position w:val="0"/>
                <w:sz w:val="21"/>
                <w:szCs w:val="21"/>
                <w:u w:val="none" w:color="auto"/>
              </w:rPr>
            </w:pPr>
          </w:p>
        </w:tc>
        <w:tc>
          <w:tcPr>
            <w:tcW w:w="809" w:type="dxa"/>
            <w:tcBorders>
              <w:tl2br w:val="nil"/>
              <w:tr2bl w:val="nil"/>
            </w:tcBorders>
            <w:vAlign w:val="center"/>
          </w:tcPr>
          <w:p w14:paraId="732B4AD7">
            <w:pPr>
              <w:jc w:val="center"/>
              <w:rPr>
                <w:rFonts w:hint="default" w:ascii="Times New Roman" w:hAnsi="Times New Roman" w:eastAsia="宋体" w:cs="Times New Roman"/>
                <w:color w:val="auto"/>
                <w:spacing w:val="0"/>
                <w:w w:val="100"/>
                <w:position w:val="0"/>
                <w:sz w:val="21"/>
                <w:szCs w:val="21"/>
                <w:u w:val="none" w:color="auto"/>
              </w:rPr>
            </w:pPr>
          </w:p>
        </w:tc>
        <w:tc>
          <w:tcPr>
            <w:tcW w:w="1511" w:type="dxa"/>
            <w:tcBorders>
              <w:tl2br w:val="nil"/>
              <w:tr2bl w:val="nil"/>
            </w:tcBorders>
            <w:vAlign w:val="center"/>
          </w:tcPr>
          <w:p w14:paraId="7409453A">
            <w:pPr>
              <w:jc w:val="center"/>
              <w:rPr>
                <w:rFonts w:hint="default" w:ascii="Times New Roman" w:hAnsi="Times New Roman" w:eastAsia="宋体" w:cs="Times New Roman"/>
                <w:color w:val="auto"/>
                <w:spacing w:val="0"/>
                <w:w w:val="100"/>
                <w:position w:val="0"/>
                <w:sz w:val="21"/>
                <w:szCs w:val="21"/>
                <w:u w:val="none" w:color="auto"/>
              </w:rPr>
            </w:pPr>
          </w:p>
        </w:tc>
        <w:tc>
          <w:tcPr>
            <w:tcW w:w="1518" w:type="dxa"/>
            <w:tcBorders>
              <w:tl2br w:val="nil"/>
              <w:tr2bl w:val="nil"/>
            </w:tcBorders>
            <w:vAlign w:val="center"/>
          </w:tcPr>
          <w:p w14:paraId="4D2072E1">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13.6</w:t>
            </w:r>
          </w:p>
        </w:tc>
      </w:tr>
      <w:tr w14:paraId="2068F8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28433A1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1</w:t>
            </w:r>
          </w:p>
        </w:tc>
        <w:tc>
          <w:tcPr>
            <w:tcW w:w="2851" w:type="dxa"/>
            <w:tcBorders>
              <w:tl2br w:val="nil"/>
              <w:tr2bl w:val="nil"/>
            </w:tcBorders>
            <w:vAlign w:val="center"/>
          </w:tcPr>
          <w:p w14:paraId="721BE80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洒水</w:t>
            </w:r>
          </w:p>
        </w:tc>
        <w:tc>
          <w:tcPr>
            <w:tcW w:w="934" w:type="dxa"/>
            <w:tcBorders>
              <w:tl2br w:val="nil"/>
              <w:tr2bl w:val="nil"/>
            </w:tcBorders>
            <w:vAlign w:val="center"/>
          </w:tcPr>
          <w:p w14:paraId="641DEDE9">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eastAsia" w:ascii="宋体" w:hAnsi="宋体" w:eastAsia="宋体" w:cs="宋体"/>
                <w:i w:val="0"/>
                <w:iCs w:val="0"/>
                <w:color w:val="auto"/>
                <w:kern w:val="0"/>
                <w:sz w:val="21"/>
                <w:szCs w:val="21"/>
                <w:u w:val="none"/>
                <w:lang w:val="en-US" w:eastAsia="zh-CN" w:bidi="ar"/>
              </w:rPr>
              <w:t>月</w:t>
            </w:r>
          </w:p>
        </w:tc>
        <w:tc>
          <w:tcPr>
            <w:tcW w:w="809" w:type="dxa"/>
            <w:tcBorders>
              <w:tl2br w:val="nil"/>
              <w:tr2bl w:val="nil"/>
            </w:tcBorders>
            <w:vAlign w:val="center"/>
          </w:tcPr>
          <w:p w14:paraId="14D24285">
            <w:pPr>
              <w:keepNext w:val="0"/>
              <w:keepLines w:val="0"/>
              <w:widowControl/>
              <w:suppressLineNumbers w:val="0"/>
              <w:jc w:val="center"/>
              <w:textAlignment w:val="center"/>
              <w:rPr>
                <w:rFonts w:hint="eastAsia" w:ascii="Times New Roman" w:hAnsi="Times New Roman" w:eastAsia="宋体" w:cs="Times New Roman"/>
                <w:color w:val="auto"/>
                <w:spacing w:val="0"/>
                <w:w w:val="100"/>
                <w:position w:val="0"/>
                <w:sz w:val="21"/>
                <w:szCs w:val="21"/>
                <w:u w:val="none" w:color="auto"/>
                <w:lang w:eastAsia="zh-CN"/>
              </w:rPr>
            </w:pPr>
            <w:r>
              <w:rPr>
                <w:rFonts w:hint="default" w:ascii="Times New Roman" w:hAnsi="Times New Roman" w:eastAsia="宋体" w:cs="Times New Roman"/>
                <w:i w:val="0"/>
                <w:iCs w:val="0"/>
                <w:color w:val="auto"/>
                <w:kern w:val="0"/>
                <w:sz w:val="21"/>
                <w:szCs w:val="21"/>
                <w:u w:val="none"/>
                <w:lang w:val="en-US" w:eastAsia="zh-CN" w:bidi="ar"/>
              </w:rPr>
              <w:t>8</w:t>
            </w:r>
          </w:p>
        </w:tc>
        <w:tc>
          <w:tcPr>
            <w:tcW w:w="1511" w:type="dxa"/>
            <w:tcBorders>
              <w:tl2br w:val="nil"/>
              <w:tr2bl w:val="nil"/>
            </w:tcBorders>
            <w:vAlign w:val="center"/>
          </w:tcPr>
          <w:p w14:paraId="0B6FF48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2000</w:t>
            </w:r>
          </w:p>
        </w:tc>
        <w:tc>
          <w:tcPr>
            <w:tcW w:w="1518" w:type="dxa"/>
            <w:tcBorders>
              <w:tl2br w:val="nil"/>
              <w:tr2bl w:val="nil"/>
            </w:tcBorders>
            <w:vAlign w:val="center"/>
          </w:tcPr>
          <w:p w14:paraId="5EEB0C0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1.6</w:t>
            </w:r>
          </w:p>
        </w:tc>
      </w:tr>
      <w:tr w14:paraId="475D05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064" w:type="dxa"/>
            <w:tcBorders>
              <w:tl2br w:val="nil"/>
              <w:tr2bl w:val="nil"/>
            </w:tcBorders>
            <w:vAlign w:val="center"/>
          </w:tcPr>
          <w:p w14:paraId="0D923BC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2</w:t>
            </w:r>
          </w:p>
        </w:tc>
        <w:tc>
          <w:tcPr>
            <w:tcW w:w="2851" w:type="dxa"/>
            <w:tcBorders>
              <w:tl2br w:val="nil"/>
              <w:tr2bl w:val="nil"/>
            </w:tcBorders>
            <w:vAlign w:val="center"/>
          </w:tcPr>
          <w:p w14:paraId="49D6BD9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lang w:val="en-US" w:eastAsia="zh-CN"/>
              </w:rPr>
              <w:t xml:space="preserve">围挡 </w:t>
            </w:r>
          </w:p>
        </w:tc>
        <w:tc>
          <w:tcPr>
            <w:tcW w:w="934" w:type="dxa"/>
            <w:tcBorders>
              <w:tl2br w:val="nil"/>
              <w:tr2bl w:val="nil"/>
            </w:tcBorders>
            <w:vAlign w:val="center"/>
          </w:tcPr>
          <w:p w14:paraId="41FE5C80">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i w:val="0"/>
                <w:iCs w:val="0"/>
                <w:color w:val="auto"/>
                <w:kern w:val="0"/>
                <w:sz w:val="21"/>
                <w:szCs w:val="21"/>
                <w:u w:val="none"/>
                <w:lang w:val="en-US" w:eastAsia="zh-CN" w:bidi="ar"/>
              </w:rPr>
              <w:t>m</w:t>
            </w:r>
          </w:p>
        </w:tc>
        <w:tc>
          <w:tcPr>
            <w:tcW w:w="809" w:type="dxa"/>
            <w:tcBorders>
              <w:tl2br w:val="nil"/>
              <w:tr2bl w:val="nil"/>
            </w:tcBorders>
            <w:vAlign w:val="center"/>
          </w:tcPr>
          <w:p w14:paraId="3D71494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800</w:t>
            </w:r>
          </w:p>
        </w:tc>
        <w:tc>
          <w:tcPr>
            <w:tcW w:w="1511" w:type="dxa"/>
            <w:tcBorders>
              <w:tl2br w:val="nil"/>
              <w:tr2bl w:val="nil"/>
            </w:tcBorders>
            <w:vAlign w:val="center"/>
          </w:tcPr>
          <w:p w14:paraId="6760282C">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1518" w:type="dxa"/>
            <w:tcBorders>
              <w:tl2br w:val="nil"/>
              <w:tr2bl w:val="nil"/>
            </w:tcBorders>
            <w:vAlign w:val="center"/>
          </w:tcPr>
          <w:p w14:paraId="0930FD1B">
            <w:pPr>
              <w:keepNext w:val="0"/>
              <w:keepLines w:val="0"/>
              <w:widowControl/>
              <w:suppressLineNumbers w:val="0"/>
              <w:jc w:val="center"/>
              <w:textAlignment w:val="center"/>
              <w:rPr>
                <w:rFonts w:hint="eastAsia"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8</w:t>
            </w:r>
          </w:p>
        </w:tc>
      </w:tr>
      <w:tr w14:paraId="70D3C38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155D891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3</w:t>
            </w:r>
          </w:p>
        </w:tc>
        <w:tc>
          <w:tcPr>
            <w:tcW w:w="2851" w:type="dxa"/>
            <w:tcBorders>
              <w:tl2br w:val="nil"/>
              <w:tr2bl w:val="nil"/>
            </w:tcBorders>
            <w:vAlign w:val="center"/>
          </w:tcPr>
          <w:p w14:paraId="116C72D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eastAsia="zh-CN"/>
              </w:rPr>
              <w:t>防尘网</w:t>
            </w:r>
          </w:p>
        </w:tc>
        <w:tc>
          <w:tcPr>
            <w:tcW w:w="934" w:type="dxa"/>
            <w:tcBorders>
              <w:tl2br w:val="nil"/>
              <w:tr2bl w:val="nil"/>
            </w:tcBorders>
            <w:vAlign w:val="center"/>
          </w:tcPr>
          <w:p w14:paraId="25A1B9FF">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rPr>
            </w:pPr>
            <w:r>
              <w:rPr>
                <w:rFonts w:hint="default" w:ascii="Times New Roman" w:hAnsi="Times New Roman" w:eastAsia="宋体" w:cs="Times New Roman"/>
                <w:i w:val="0"/>
                <w:iCs w:val="0"/>
                <w:color w:val="auto"/>
                <w:kern w:val="0"/>
                <w:sz w:val="21"/>
                <w:szCs w:val="21"/>
                <w:u w:val="none"/>
                <w:lang w:val="en-US" w:eastAsia="zh-CN" w:bidi="ar"/>
              </w:rPr>
              <w:t>m</w:t>
            </w:r>
            <w:r>
              <w:rPr>
                <w:rStyle w:val="117"/>
                <w:rFonts w:eastAsia="宋体"/>
                <w:color w:val="auto"/>
                <w:lang w:val="en-US" w:eastAsia="zh-CN" w:bidi="ar"/>
              </w:rPr>
              <w:t>2</w:t>
            </w:r>
          </w:p>
        </w:tc>
        <w:tc>
          <w:tcPr>
            <w:tcW w:w="809" w:type="dxa"/>
            <w:tcBorders>
              <w:tl2br w:val="nil"/>
              <w:tr2bl w:val="nil"/>
            </w:tcBorders>
            <w:vAlign w:val="center"/>
          </w:tcPr>
          <w:p w14:paraId="3DE33CB0">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10000</w:t>
            </w:r>
          </w:p>
        </w:tc>
        <w:tc>
          <w:tcPr>
            <w:tcW w:w="1511" w:type="dxa"/>
            <w:tcBorders>
              <w:tl2br w:val="nil"/>
              <w:tr2bl w:val="nil"/>
            </w:tcBorders>
            <w:vAlign w:val="center"/>
          </w:tcPr>
          <w:p w14:paraId="7D49F0BF">
            <w:pPr>
              <w:keepNext w:val="0"/>
              <w:keepLines w:val="0"/>
              <w:widowControl/>
              <w:suppressLineNumbers w:val="0"/>
              <w:jc w:val="center"/>
              <w:textAlignment w:val="center"/>
              <w:rPr>
                <w:rFonts w:hint="eastAsia"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4</w:t>
            </w:r>
          </w:p>
        </w:tc>
        <w:tc>
          <w:tcPr>
            <w:tcW w:w="1518" w:type="dxa"/>
            <w:tcBorders>
              <w:tl2br w:val="nil"/>
              <w:tr2bl w:val="nil"/>
            </w:tcBorders>
            <w:vAlign w:val="center"/>
          </w:tcPr>
          <w:p w14:paraId="2ECC502F">
            <w:pPr>
              <w:keepNext w:val="0"/>
              <w:keepLines w:val="0"/>
              <w:widowControl/>
              <w:suppressLineNumbers w:val="0"/>
              <w:jc w:val="center"/>
              <w:textAlignment w:val="center"/>
              <w:rPr>
                <w:rFonts w:hint="eastAsia"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4</w:t>
            </w:r>
          </w:p>
        </w:tc>
      </w:tr>
      <w:tr w14:paraId="58BA00A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2E5C362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eastAsia="zh-CN"/>
              </w:rPr>
              <w:t>五</w:t>
            </w:r>
          </w:p>
        </w:tc>
        <w:tc>
          <w:tcPr>
            <w:tcW w:w="2851" w:type="dxa"/>
            <w:tcBorders>
              <w:tl2br w:val="nil"/>
              <w:tr2bl w:val="nil"/>
            </w:tcBorders>
            <w:vAlign w:val="center"/>
          </w:tcPr>
          <w:p w14:paraId="56D03DB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eastAsia="zh-CN"/>
              </w:rPr>
              <w:t>生态保护措施</w:t>
            </w:r>
          </w:p>
        </w:tc>
        <w:tc>
          <w:tcPr>
            <w:tcW w:w="934" w:type="dxa"/>
            <w:tcBorders>
              <w:tl2br w:val="nil"/>
              <w:tr2bl w:val="nil"/>
            </w:tcBorders>
            <w:vAlign w:val="center"/>
          </w:tcPr>
          <w:p w14:paraId="2FEB7FEF">
            <w:pPr>
              <w:jc w:val="center"/>
              <w:rPr>
                <w:rFonts w:hint="default" w:ascii="Times New Roman" w:hAnsi="Times New Roman" w:eastAsia="宋体" w:cs="Times New Roman"/>
                <w:color w:val="auto"/>
                <w:spacing w:val="0"/>
                <w:w w:val="100"/>
                <w:position w:val="0"/>
                <w:sz w:val="21"/>
                <w:szCs w:val="21"/>
                <w:u w:val="none" w:color="auto"/>
              </w:rPr>
            </w:pPr>
          </w:p>
        </w:tc>
        <w:tc>
          <w:tcPr>
            <w:tcW w:w="809" w:type="dxa"/>
            <w:tcBorders>
              <w:tl2br w:val="nil"/>
              <w:tr2bl w:val="nil"/>
            </w:tcBorders>
            <w:vAlign w:val="center"/>
          </w:tcPr>
          <w:p w14:paraId="4011EE07">
            <w:pPr>
              <w:jc w:val="center"/>
              <w:rPr>
                <w:rFonts w:hint="default" w:ascii="Times New Roman" w:hAnsi="Times New Roman" w:eastAsia="宋体" w:cs="Times New Roman"/>
                <w:color w:val="auto"/>
                <w:spacing w:val="0"/>
                <w:w w:val="100"/>
                <w:position w:val="0"/>
                <w:sz w:val="21"/>
                <w:szCs w:val="21"/>
                <w:u w:val="none" w:color="auto"/>
              </w:rPr>
            </w:pPr>
          </w:p>
        </w:tc>
        <w:tc>
          <w:tcPr>
            <w:tcW w:w="1511" w:type="dxa"/>
            <w:tcBorders>
              <w:tl2br w:val="nil"/>
              <w:tr2bl w:val="nil"/>
            </w:tcBorders>
            <w:vAlign w:val="center"/>
          </w:tcPr>
          <w:p w14:paraId="7CE63E96">
            <w:pPr>
              <w:jc w:val="center"/>
              <w:rPr>
                <w:rFonts w:hint="default" w:ascii="Times New Roman" w:hAnsi="Times New Roman" w:eastAsia="宋体" w:cs="Times New Roman"/>
                <w:color w:val="auto"/>
                <w:spacing w:val="0"/>
                <w:w w:val="100"/>
                <w:position w:val="0"/>
                <w:sz w:val="21"/>
                <w:szCs w:val="21"/>
                <w:u w:val="none" w:color="auto"/>
              </w:rPr>
            </w:pPr>
          </w:p>
        </w:tc>
        <w:tc>
          <w:tcPr>
            <w:tcW w:w="1518" w:type="dxa"/>
            <w:tcBorders>
              <w:tl2br w:val="nil"/>
              <w:tr2bl w:val="nil"/>
            </w:tcBorders>
            <w:vAlign w:val="center"/>
          </w:tcPr>
          <w:p w14:paraId="6A82E5B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6.9</w:t>
            </w:r>
          </w:p>
        </w:tc>
      </w:tr>
      <w:tr w14:paraId="2E6F38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62F2C16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rPr>
              <w:t>1</w:t>
            </w:r>
          </w:p>
        </w:tc>
        <w:tc>
          <w:tcPr>
            <w:tcW w:w="2851" w:type="dxa"/>
            <w:tcBorders>
              <w:tl2br w:val="nil"/>
              <w:tr2bl w:val="nil"/>
            </w:tcBorders>
            <w:vAlign w:val="center"/>
          </w:tcPr>
          <w:p w14:paraId="3A0EF83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color w:val="auto"/>
                <w:spacing w:val="0"/>
                <w:w w:val="100"/>
                <w:position w:val="0"/>
                <w:sz w:val="21"/>
                <w:szCs w:val="21"/>
                <w:u w:val="none" w:color="auto"/>
              </w:rPr>
              <w:t>生态警示牌</w:t>
            </w:r>
          </w:p>
        </w:tc>
        <w:tc>
          <w:tcPr>
            <w:tcW w:w="934" w:type="dxa"/>
            <w:tcBorders>
              <w:tl2br w:val="nil"/>
              <w:tr2bl w:val="nil"/>
            </w:tcBorders>
            <w:vAlign w:val="center"/>
          </w:tcPr>
          <w:p w14:paraId="3C03EF10">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宋体" w:hAnsi="宋体" w:eastAsia="宋体" w:cs="宋体"/>
                <w:i w:val="0"/>
                <w:iCs w:val="0"/>
                <w:color w:val="auto"/>
                <w:kern w:val="0"/>
                <w:sz w:val="21"/>
                <w:szCs w:val="21"/>
                <w:u w:val="none"/>
                <w:lang w:val="en-US" w:eastAsia="zh-CN" w:bidi="ar"/>
              </w:rPr>
              <w:t>个</w:t>
            </w:r>
          </w:p>
        </w:tc>
        <w:tc>
          <w:tcPr>
            <w:tcW w:w="809" w:type="dxa"/>
            <w:tcBorders>
              <w:tl2br w:val="nil"/>
              <w:tr2bl w:val="nil"/>
            </w:tcBorders>
            <w:vAlign w:val="center"/>
          </w:tcPr>
          <w:p w14:paraId="4C785204">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w:t>
            </w:r>
          </w:p>
        </w:tc>
        <w:tc>
          <w:tcPr>
            <w:tcW w:w="1511" w:type="dxa"/>
            <w:tcBorders>
              <w:tl2br w:val="nil"/>
              <w:tr2bl w:val="nil"/>
            </w:tcBorders>
            <w:vAlign w:val="center"/>
          </w:tcPr>
          <w:p w14:paraId="1E327825">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500</w:t>
            </w:r>
          </w:p>
        </w:tc>
        <w:tc>
          <w:tcPr>
            <w:tcW w:w="1518" w:type="dxa"/>
            <w:tcBorders>
              <w:tl2br w:val="nil"/>
              <w:tr2bl w:val="nil"/>
            </w:tcBorders>
            <w:vAlign w:val="center"/>
          </w:tcPr>
          <w:p w14:paraId="0B33FCA7">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0.3</w:t>
            </w:r>
          </w:p>
        </w:tc>
      </w:tr>
      <w:tr w14:paraId="263F9D3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7D4A9A4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Times New Roman" w:hAnsi="Times New Roman" w:eastAsia="宋体" w:cs="Times New Roman"/>
                <w:color w:val="auto"/>
                <w:spacing w:val="0"/>
                <w:w w:val="100"/>
                <w:position w:val="0"/>
                <w:sz w:val="21"/>
                <w:szCs w:val="21"/>
                <w:u w:val="none" w:color="auto"/>
                <w:lang w:val="en-US" w:eastAsia="zh-CN"/>
              </w:rPr>
              <w:t>2</w:t>
            </w:r>
          </w:p>
        </w:tc>
        <w:tc>
          <w:tcPr>
            <w:tcW w:w="2851" w:type="dxa"/>
            <w:tcBorders>
              <w:tl2br w:val="nil"/>
              <w:tr2bl w:val="nil"/>
            </w:tcBorders>
            <w:vAlign w:val="center"/>
          </w:tcPr>
          <w:p w14:paraId="2E827E53">
            <w:pPr>
              <w:keepNext w:val="0"/>
              <w:keepLines w:val="0"/>
              <w:widowControl/>
              <w:suppressLineNumbers w:val="0"/>
              <w:jc w:val="center"/>
              <w:rPr>
                <w:rFonts w:hint="eastAsia"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宋体" w:hAnsi="宋体" w:eastAsia="宋体" w:cs="宋体"/>
                <w:color w:val="auto"/>
                <w:kern w:val="0"/>
                <w:sz w:val="20"/>
                <w:szCs w:val="20"/>
                <w:lang w:val="en-US" w:eastAsia="zh-CN" w:bidi="ar"/>
              </w:rPr>
              <w:t>宣传与教育</w:t>
            </w:r>
          </w:p>
        </w:tc>
        <w:tc>
          <w:tcPr>
            <w:tcW w:w="934" w:type="dxa"/>
            <w:tcBorders>
              <w:tl2br w:val="nil"/>
              <w:tr2bl w:val="nil"/>
            </w:tcBorders>
            <w:vAlign w:val="center"/>
          </w:tcPr>
          <w:p w14:paraId="7E53B12A">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宋体" w:hAnsi="宋体" w:eastAsia="宋体" w:cs="宋体"/>
                <w:i w:val="0"/>
                <w:iCs w:val="0"/>
                <w:color w:val="auto"/>
                <w:kern w:val="0"/>
                <w:sz w:val="21"/>
                <w:szCs w:val="21"/>
                <w:u w:val="none"/>
                <w:lang w:val="en-US" w:eastAsia="zh-CN" w:bidi="ar"/>
              </w:rPr>
              <w:t>年</w:t>
            </w:r>
          </w:p>
        </w:tc>
        <w:tc>
          <w:tcPr>
            <w:tcW w:w="809" w:type="dxa"/>
            <w:tcBorders>
              <w:tl2br w:val="nil"/>
              <w:tr2bl w:val="nil"/>
            </w:tcBorders>
            <w:vAlign w:val="center"/>
          </w:tcPr>
          <w:p w14:paraId="3C7A846E">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w:t>
            </w:r>
          </w:p>
        </w:tc>
        <w:tc>
          <w:tcPr>
            <w:tcW w:w="1511" w:type="dxa"/>
            <w:tcBorders>
              <w:tl2br w:val="nil"/>
              <w:tr2bl w:val="nil"/>
            </w:tcBorders>
            <w:vAlign w:val="center"/>
          </w:tcPr>
          <w:p w14:paraId="6EABA6AF">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30000</w:t>
            </w:r>
          </w:p>
        </w:tc>
        <w:tc>
          <w:tcPr>
            <w:tcW w:w="1518" w:type="dxa"/>
            <w:tcBorders>
              <w:tl2br w:val="nil"/>
              <w:tr2bl w:val="nil"/>
            </w:tcBorders>
            <w:vAlign w:val="center"/>
          </w:tcPr>
          <w:p w14:paraId="5C7EE96E">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w:t>
            </w:r>
          </w:p>
        </w:tc>
      </w:tr>
      <w:tr w14:paraId="536F00E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49A83CE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Times New Roman" w:hAnsi="Times New Roman" w:eastAsia="宋体" w:cs="Times New Roman"/>
                <w:color w:val="auto"/>
                <w:spacing w:val="0"/>
                <w:w w:val="100"/>
                <w:position w:val="0"/>
                <w:sz w:val="21"/>
                <w:szCs w:val="21"/>
                <w:u w:val="none" w:color="auto"/>
                <w:lang w:val="en-US" w:eastAsia="zh-CN"/>
              </w:rPr>
              <w:t>3</w:t>
            </w:r>
          </w:p>
        </w:tc>
        <w:tc>
          <w:tcPr>
            <w:tcW w:w="2851" w:type="dxa"/>
            <w:tcBorders>
              <w:tl2br w:val="nil"/>
              <w:tr2bl w:val="nil"/>
            </w:tcBorders>
            <w:vAlign w:val="center"/>
          </w:tcPr>
          <w:p w14:paraId="26E2F981">
            <w:pPr>
              <w:keepNext w:val="0"/>
              <w:keepLines w:val="0"/>
              <w:widowControl/>
              <w:suppressLineNumbers w:val="0"/>
              <w:jc w:val="center"/>
              <w:rPr>
                <w:rFonts w:hint="eastAsia" w:ascii="Times New Roman" w:hAnsi="Times New Roman" w:eastAsia="宋体" w:cs="Times New Roman"/>
                <w:color w:val="auto"/>
                <w:spacing w:val="0"/>
                <w:w w:val="100"/>
                <w:kern w:val="2"/>
                <w:position w:val="0"/>
                <w:sz w:val="21"/>
                <w:szCs w:val="21"/>
                <w:u w:val="none" w:color="auto"/>
                <w:lang w:val="en-US" w:eastAsia="zh-CN" w:bidi="ar-SA"/>
              </w:rPr>
            </w:pPr>
            <w:r>
              <w:rPr>
                <w:rFonts w:ascii="妤蜂綋" w:hAnsi="妤蜂綋" w:eastAsia="妤蜂綋" w:cs="妤蜂綋"/>
                <w:color w:val="auto"/>
                <w:kern w:val="0"/>
                <w:sz w:val="21"/>
                <w:szCs w:val="21"/>
                <w:lang w:val="en-US" w:eastAsia="zh-CN" w:bidi="ar"/>
              </w:rPr>
              <w:t>施工期巡视及临时救护</w:t>
            </w:r>
          </w:p>
        </w:tc>
        <w:tc>
          <w:tcPr>
            <w:tcW w:w="934" w:type="dxa"/>
            <w:tcBorders>
              <w:tl2br w:val="nil"/>
              <w:tr2bl w:val="nil"/>
            </w:tcBorders>
            <w:vAlign w:val="center"/>
          </w:tcPr>
          <w:p w14:paraId="2A7DD6C8">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宋体" w:hAnsi="宋体" w:eastAsia="宋体" w:cs="宋体"/>
                <w:i w:val="0"/>
                <w:iCs w:val="0"/>
                <w:color w:val="auto"/>
                <w:kern w:val="0"/>
                <w:sz w:val="21"/>
                <w:szCs w:val="21"/>
                <w:u w:val="none"/>
                <w:lang w:val="en-US" w:eastAsia="zh-CN" w:bidi="ar"/>
              </w:rPr>
              <w:t>项</w:t>
            </w:r>
          </w:p>
        </w:tc>
        <w:tc>
          <w:tcPr>
            <w:tcW w:w="809" w:type="dxa"/>
            <w:tcBorders>
              <w:tl2br w:val="nil"/>
              <w:tr2bl w:val="nil"/>
            </w:tcBorders>
            <w:vAlign w:val="center"/>
          </w:tcPr>
          <w:p w14:paraId="3B60C1C2">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w:t>
            </w:r>
          </w:p>
        </w:tc>
        <w:tc>
          <w:tcPr>
            <w:tcW w:w="1511" w:type="dxa"/>
            <w:tcBorders>
              <w:tl2br w:val="nil"/>
              <w:tr2bl w:val="nil"/>
            </w:tcBorders>
            <w:vAlign w:val="center"/>
          </w:tcPr>
          <w:p w14:paraId="0AA97C4C">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30000</w:t>
            </w:r>
          </w:p>
        </w:tc>
        <w:tc>
          <w:tcPr>
            <w:tcW w:w="1518" w:type="dxa"/>
            <w:tcBorders>
              <w:tl2br w:val="nil"/>
              <w:tr2bl w:val="nil"/>
            </w:tcBorders>
            <w:vAlign w:val="center"/>
          </w:tcPr>
          <w:p w14:paraId="70FA7036">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w:t>
            </w:r>
          </w:p>
        </w:tc>
      </w:tr>
      <w:tr w14:paraId="7B3B54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0384088A">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Times New Roman" w:hAnsi="Times New Roman" w:eastAsia="宋体" w:cs="Times New Roman"/>
                <w:color w:val="auto"/>
                <w:spacing w:val="0"/>
                <w:w w:val="100"/>
                <w:position w:val="0"/>
                <w:sz w:val="21"/>
                <w:szCs w:val="21"/>
                <w:u w:val="none" w:color="auto"/>
                <w:lang w:val="en-US" w:eastAsia="zh-CN"/>
              </w:rPr>
              <w:t>4</w:t>
            </w:r>
          </w:p>
        </w:tc>
        <w:tc>
          <w:tcPr>
            <w:tcW w:w="2851" w:type="dxa"/>
            <w:tcBorders>
              <w:tl2br w:val="nil"/>
              <w:tr2bl w:val="nil"/>
            </w:tcBorders>
            <w:vAlign w:val="center"/>
          </w:tcPr>
          <w:p w14:paraId="2303BC2D">
            <w:pPr>
              <w:keepNext w:val="0"/>
              <w:keepLines w:val="0"/>
              <w:widowControl/>
              <w:suppressLineNumbers w:val="0"/>
              <w:jc w:val="center"/>
              <w:rPr>
                <w:rFonts w:hint="eastAsia" w:ascii="Times New Roman" w:hAnsi="Times New Roman" w:eastAsia="宋体" w:cs="Times New Roman"/>
                <w:color w:val="auto"/>
                <w:spacing w:val="0"/>
                <w:w w:val="100"/>
                <w:kern w:val="2"/>
                <w:position w:val="0"/>
                <w:sz w:val="21"/>
                <w:szCs w:val="21"/>
                <w:u w:val="none" w:color="auto"/>
                <w:lang w:val="en-US" w:eastAsia="zh-CN" w:bidi="ar-SA"/>
              </w:rPr>
            </w:pPr>
            <w:r>
              <w:rPr>
                <w:rFonts w:ascii="妤蜂綋" w:hAnsi="妤蜂綋" w:eastAsia="妤蜂綋" w:cs="妤蜂綋"/>
                <w:color w:val="auto"/>
                <w:kern w:val="0"/>
                <w:sz w:val="21"/>
                <w:szCs w:val="21"/>
                <w:lang w:val="en-US" w:eastAsia="zh-CN" w:bidi="ar"/>
              </w:rPr>
              <w:t>设置防护围栏</w:t>
            </w:r>
          </w:p>
        </w:tc>
        <w:tc>
          <w:tcPr>
            <w:tcW w:w="934" w:type="dxa"/>
            <w:tcBorders>
              <w:tl2br w:val="nil"/>
              <w:tr2bl w:val="nil"/>
            </w:tcBorders>
            <w:vAlign w:val="center"/>
          </w:tcPr>
          <w:p w14:paraId="2E0F4506">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eastAsia" w:ascii="宋体" w:hAnsi="宋体" w:eastAsia="宋体" w:cs="宋体"/>
                <w:i w:val="0"/>
                <w:iCs w:val="0"/>
                <w:color w:val="auto"/>
                <w:kern w:val="0"/>
                <w:sz w:val="21"/>
                <w:szCs w:val="21"/>
                <w:u w:val="none"/>
                <w:lang w:val="en-US" w:eastAsia="zh-CN" w:bidi="ar"/>
              </w:rPr>
              <w:t>处</w:t>
            </w:r>
          </w:p>
        </w:tc>
        <w:tc>
          <w:tcPr>
            <w:tcW w:w="809" w:type="dxa"/>
            <w:tcBorders>
              <w:tl2br w:val="nil"/>
              <w:tr2bl w:val="nil"/>
            </w:tcBorders>
            <w:vAlign w:val="center"/>
          </w:tcPr>
          <w:p w14:paraId="002F02ED">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w:t>
            </w:r>
          </w:p>
        </w:tc>
        <w:tc>
          <w:tcPr>
            <w:tcW w:w="1511" w:type="dxa"/>
            <w:tcBorders>
              <w:tl2br w:val="nil"/>
              <w:tr2bl w:val="nil"/>
            </w:tcBorders>
            <w:vAlign w:val="center"/>
          </w:tcPr>
          <w:p w14:paraId="2E45EA66">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3000</w:t>
            </w:r>
          </w:p>
        </w:tc>
        <w:tc>
          <w:tcPr>
            <w:tcW w:w="1518" w:type="dxa"/>
            <w:tcBorders>
              <w:tl2br w:val="nil"/>
              <w:tr2bl w:val="nil"/>
            </w:tcBorders>
            <w:vAlign w:val="center"/>
          </w:tcPr>
          <w:p w14:paraId="2B06D367">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u w:val="none" w:color="auto"/>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0.6</w:t>
            </w:r>
          </w:p>
        </w:tc>
      </w:tr>
      <w:tr w14:paraId="552692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6422CCC1">
            <w:pPr>
              <w:keepNext w:val="0"/>
              <w:keepLines w:val="0"/>
              <w:widowControl/>
              <w:suppressLineNumbers w:val="0"/>
              <w:jc w:val="center"/>
              <w:textAlignment w:val="center"/>
              <w:rPr>
                <w:rFonts w:hint="eastAsia" w:ascii="Times New Roman" w:hAnsi="Times New Roman" w:eastAsia="宋体" w:cs="Times New Roman"/>
                <w:color w:val="auto"/>
                <w:spacing w:val="0"/>
                <w:w w:val="100"/>
                <w:position w:val="0"/>
                <w:sz w:val="21"/>
                <w:szCs w:val="21"/>
                <w:u w:val="none" w:color="auto"/>
                <w:lang w:val="en-US" w:eastAsia="zh-CN"/>
              </w:rPr>
            </w:pPr>
            <w:r>
              <w:rPr>
                <w:rFonts w:hint="eastAsia" w:ascii="宋体" w:hAnsi="宋体" w:eastAsia="宋体" w:cs="宋体"/>
                <w:i w:val="0"/>
                <w:iCs w:val="0"/>
                <w:color w:val="auto"/>
                <w:kern w:val="0"/>
                <w:sz w:val="21"/>
                <w:szCs w:val="21"/>
                <w:u w:val="none"/>
                <w:lang w:val="en-US" w:eastAsia="zh-CN" w:bidi="ar"/>
              </w:rPr>
              <w:t>六</w:t>
            </w:r>
          </w:p>
        </w:tc>
        <w:tc>
          <w:tcPr>
            <w:tcW w:w="2851" w:type="dxa"/>
            <w:tcBorders>
              <w:tl2br w:val="nil"/>
              <w:tr2bl w:val="nil"/>
            </w:tcBorders>
            <w:vAlign w:val="center"/>
          </w:tcPr>
          <w:p w14:paraId="152928F8">
            <w:pPr>
              <w:keepNext w:val="0"/>
              <w:keepLines w:val="0"/>
              <w:widowControl/>
              <w:suppressLineNumbers w:val="0"/>
              <w:jc w:val="center"/>
              <w:textAlignment w:val="center"/>
              <w:rPr>
                <w:rFonts w:ascii="妤蜂綋" w:hAnsi="妤蜂綋" w:eastAsia="妤蜂綋" w:cs="妤蜂綋"/>
                <w:color w:val="auto"/>
                <w:kern w:val="0"/>
                <w:sz w:val="21"/>
                <w:szCs w:val="21"/>
                <w:lang w:val="en-US" w:eastAsia="zh-CN" w:bidi="ar"/>
              </w:rPr>
            </w:pPr>
            <w:r>
              <w:rPr>
                <w:rFonts w:hint="default" w:ascii="妤蜂綋" w:hAnsi="妤蜂綋" w:eastAsia="妤蜂綋" w:cs="妤蜂綋"/>
                <w:i w:val="0"/>
                <w:iCs w:val="0"/>
                <w:color w:val="auto"/>
                <w:kern w:val="0"/>
                <w:sz w:val="21"/>
                <w:szCs w:val="21"/>
                <w:u w:val="none"/>
                <w:lang w:val="en-US" w:eastAsia="zh-CN" w:bidi="ar"/>
              </w:rPr>
              <w:t>地下水、土壤保护措施</w:t>
            </w:r>
          </w:p>
        </w:tc>
        <w:tc>
          <w:tcPr>
            <w:tcW w:w="934" w:type="dxa"/>
            <w:tcBorders>
              <w:tl2br w:val="nil"/>
              <w:tr2bl w:val="nil"/>
            </w:tcBorders>
            <w:vAlign w:val="center"/>
          </w:tcPr>
          <w:p w14:paraId="0D4F2659">
            <w:pPr>
              <w:jc w:val="center"/>
              <w:rPr>
                <w:rFonts w:hint="eastAsia" w:ascii="Times New Roman" w:hAnsi="Times New Roman" w:eastAsia="宋体" w:cs="Times New Roman"/>
                <w:color w:val="auto"/>
                <w:spacing w:val="0"/>
                <w:w w:val="100"/>
                <w:position w:val="0"/>
                <w:sz w:val="21"/>
                <w:szCs w:val="21"/>
                <w:u w:val="none" w:color="auto"/>
                <w:lang w:eastAsia="zh-CN"/>
              </w:rPr>
            </w:pPr>
          </w:p>
        </w:tc>
        <w:tc>
          <w:tcPr>
            <w:tcW w:w="809" w:type="dxa"/>
            <w:tcBorders>
              <w:tl2br w:val="nil"/>
              <w:tr2bl w:val="nil"/>
            </w:tcBorders>
            <w:vAlign w:val="center"/>
          </w:tcPr>
          <w:p w14:paraId="21921D74">
            <w:pPr>
              <w:jc w:val="center"/>
              <w:rPr>
                <w:rFonts w:hint="eastAsia" w:ascii="Times New Roman" w:hAnsi="Times New Roman" w:eastAsia="宋体" w:cs="Times New Roman"/>
                <w:color w:val="auto"/>
                <w:spacing w:val="0"/>
                <w:w w:val="100"/>
                <w:position w:val="0"/>
                <w:sz w:val="21"/>
                <w:szCs w:val="21"/>
                <w:u w:val="none" w:color="auto"/>
                <w:lang w:val="en-US" w:eastAsia="zh-CN"/>
              </w:rPr>
            </w:pPr>
          </w:p>
        </w:tc>
        <w:tc>
          <w:tcPr>
            <w:tcW w:w="1511" w:type="dxa"/>
            <w:tcBorders>
              <w:tl2br w:val="nil"/>
              <w:tr2bl w:val="nil"/>
            </w:tcBorders>
            <w:vAlign w:val="center"/>
          </w:tcPr>
          <w:p w14:paraId="7870F0F3">
            <w:pPr>
              <w:keepNext w:val="0"/>
              <w:keepLines w:val="0"/>
              <w:widowControl/>
              <w:suppressLineNumbers w:val="0"/>
              <w:jc w:val="center"/>
              <w:textAlignment w:val="center"/>
              <w:rPr>
                <w:rFonts w:hint="eastAsia"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20000</w:t>
            </w:r>
          </w:p>
        </w:tc>
        <w:tc>
          <w:tcPr>
            <w:tcW w:w="1518" w:type="dxa"/>
            <w:tcBorders>
              <w:tl2br w:val="nil"/>
              <w:tr2bl w:val="nil"/>
            </w:tcBorders>
            <w:vAlign w:val="center"/>
          </w:tcPr>
          <w:p w14:paraId="3468B3C8">
            <w:pPr>
              <w:keepNext w:val="0"/>
              <w:keepLines w:val="0"/>
              <w:widowControl/>
              <w:suppressLineNumbers w:val="0"/>
              <w:jc w:val="center"/>
              <w:textAlignment w:val="center"/>
              <w:rPr>
                <w:rFonts w:hint="eastAsia"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w:t>
            </w:r>
          </w:p>
        </w:tc>
      </w:tr>
      <w:tr w14:paraId="52505E6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032DCDD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2851" w:type="dxa"/>
            <w:tcBorders>
              <w:tl2br w:val="nil"/>
              <w:tr2bl w:val="nil"/>
            </w:tcBorders>
            <w:vAlign w:val="center"/>
          </w:tcPr>
          <w:p w14:paraId="0DDF30E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第一</w:t>
            </w:r>
            <w:r>
              <w:rPr>
                <w:rFonts w:hint="eastAsia" w:ascii="Times New Roman" w:hAnsi="Times New Roman" w:eastAsia="宋体" w:cs="Times New Roman"/>
                <w:color w:val="auto"/>
                <w:spacing w:val="0"/>
                <w:w w:val="100"/>
                <w:position w:val="0"/>
                <w:sz w:val="21"/>
                <w:szCs w:val="21"/>
                <w:u w:val="none" w:color="auto"/>
                <w:lang w:eastAsia="zh-CN"/>
              </w:rPr>
              <w:t>、二</w:t>
            </w:r>
            <w:r>
              <w:rPr>
                <w:rFonts w:hint="default" w:ascii="Times New Roman" w:hAnsi="Times New Roman" w:eastAsia="宋体" w:cs="Times New Roman"/>
                <w:color w:val="auto"/>
                <w:spacing w:val="0"/>
                <w:w w:val="100"/>
                <w:position w:val="0"/>
                <w:sz w:val="21"/>
                <w:szCs w:val="21"/>
                <w:u w:val="none" w:color="auto"/>
              </w:rPr>
              <w:t>部分合计</w:t>
            </w:r>
          </w:p>
        </w:tc>
        <w:tc>
          <w:tcPr>
            <w:tcW w:w="934" w:type="dxa"/>
            <w:tcBorders>
              <w:tl2br w:val="nil"/>
              <w:tr2bl w:val="nil"/>
            </w:tcBorders>
            <w:vAlign w:val="center"/>
          </w:tcPr>
          <w:p w14:paraId="14A3F8C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809" w:type="dxa"/>
            <w:tcBorders>
              <w:tl2br w:val="nil"/>
              <w:tr2bl w:val="nil"/>
            </w:tcBorders>
            <w:vAlign w:val="center"/>
          </w:tcPr>
          <w:p w14:paraId="16DDC52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1511" w:type="dxa"/>
            <w:tcBorders>
              <w:tl2br w:val="nil"/>
              <w:tr2bl w:val="nil"/>
            </w:tcBorders>
            <w:vAlign w:val="center"/>
          </w:tcPr>
          <w:p w14:paraId="2582878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p>
        </w:tc>
        <w:tc>
          <w:tcPr>
            <w:tcW w:w="1518" w:type="dxa"/>
            <w:tcBorders>
              <w:tl2br w:val="nil"/>
              <w:tr2bl w:val="nil"/>
            </w:tcBorders>
            <w:vAlign w:val="center"/>
          </w:tcPr>
          <w:p w14:paraId="249D86E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60.22</w:t>
            </w:r>
          </w:p>
        </w:tc>
      </w:tr>
      <w:tr w14:paraId="1E55DC2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1BC8BF3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第</w:t>
            </w:r>
            <w:r>
              <w:rPr>
                <w:rFonts w:hint="eastAsia" w:ascii="Times New Roman" w:hAnsi="Times New Roman" w:eastAsia="宋体" w:cs="Times New Roman"/>
                <w:color w:val="auto"/>
                <w:spacing w:val="0"/>
                <w:w w:val="100"/>
                <w:position w:val="0"/>
                <w:sz w:val="21"/>
                <w:szCs w:val="21"/>
                <w:u w:val="none" w:color="auto"/>
                <w:lang w:eastAsia="zh-CN"/>
              </w:rPr>
              <w:t>三</w:t>
            </w:r>
            <w:r>
              <w:rPr>
                <w:rFonts w:hint="default" w:ascii="Times New Roman" w:hAnsi="Times New Roman" w:eastAsia="宋体" w:cs="Times New Roman"/>
                <w:color w:val="auto"/>
                <w:spacing w:val="0"/>
                <w:w w:val="100"/>
                <w:position w:val="0"/>
                <w:sz w:val="21"/>
                <w:szCs w:val="21"/>
                <w:u w:val="none" w:color="auto"/>
              </w:rPr>
              <w:t>部分</w:t>
            </w:r>
          </w:p>
        </w:tc>
        <w:tc>
          <w:tcPr>
            <w:tcW w:w="2851" w:type="dxa"/>
            <w:tcBorders>
              <w:tl2br w:val="nil"/>
              <w:tr2bl w:val="nil"/>
            </w:tcBorders>
            <w:vAlign w:val="center"/>
          </w:tcPr>
          <w:p w14:paraId="4056B6C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环境保护独立费用</w:t>
            </w:r>
          </w:p>
        </w:tc>
        <w:tc>
          <w:tcPr>
            <w:tcW w:w="934" w:type="dxa"/>
            <w:tcBorders>
              <w:tl2br w:val="nil"/>
              <w:tr2bl w:val="nil"/>
            </w:tcBorders>
            <w:vAlign w:val="center"/>
          </w:tcPr>
          <w:p w14:paraId="7339F043">
            <w:pPr>
              <w:jc w:val="center"/>
              <w:rPr>
                <w:rFonts w:hint="default" w:ascii="Times New Roman" w:hAnsi="Times New Roman" w:eastAsia="宋体" w:cs="Times New Roman"/>
                <w:color w:val="auto"/>
                <w:spacing w:val="0"/>
                <w:w w:val="100"/>
                <w:position w:val="0"/>
                <w:sz w:val="21"/>
                <w:szCs w:val="21"/>
                <w:u w:val="none" w:color="auto"/>
              </w:rPr>
            </w:pPr>
          </w:p>
        </w:tc>
        <w:tc>
          <w:tcPr>
            <w:tcW w:w="809" w:type="dxa"/>
            <w:tcBorders>
              <w:tl2br w:val="nil"/>
              <w:tr2bl w:val="nil"/>
            </w:tcBorders>
            <w:vAlign w:val="center"/>
          </w:tcPr>
          <w:p w14:paraId="28D0CD3D">
            <w:pPr>
              <w:jc w:val="center"/>
              <w:rPr>
                <w:rFonts w:hint="default" w:ascii="Times New Roman" w:hAnsi="Times New Roman" w:eastAsia="宋体" w:cs="Times New Roman"/>
                <w:color w:val="auto"/>
                <w:spacing w:val="0"/>
                <w:w w:val="100"/>
                <w:position w:val="0"/>
                <w:sz w:val="21"/>
                <w:szCs w:val="21"/>
                <w:u w:val="none" w:color="auto"/>
              </w:rPr>
            </w:pPr>
          </w:p>
        </w:tc>
        <w:tc>
          <w:tcPr>
            <w:tcW w:w="1511" w:type="dxa"/>
            <w:tcBorders>
              <w:tl2br w:val="nil"/>
              <w:tr2bl w:val="nil"/>
            </w:tcBorders>
            <w:vAlign w:val="center"/>
          </w:tcPr>
          <w:p w14:paraId="12A85317">
            <w:pPr>
              <w:jc w:val="center"/>
              <w:rPr>
                <w:rFonts w:hint="default" w:ascii="Times New Roman" w:hAnsi="Times New Roman" w:eastAsia="宋体" w:cs="Times New Roman"/>
                <w:color w:val="auto"/>
                <w:spacing w:val="0"/>
                <w:w w:val="100"/>
                <w:position w:val="0"/>
                <w:sz w:val="21"/>
                <w:szCs w:val="21"/>
                <w:u w:val="none" w:color="auto"/>
              </w:rPr>
            </w:pPr>
          </w:p>
        </w:tc>
        <w:tc>
          <w:tcPr>
            <w:tcW w:w="1518" w:type="dxa"/>
            <w:tcBorders>
              <w:tl2br w:val="nil"/>
              <w:tr2bl w:val="nil"/>
            </w:tcBorders>
            <w:vAlign w:val="center"/>
          </w:tcPr>
          <w:p w14:paraId="1396C5ED">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40.43 </w:t>
            </w:r>
          </w:p>
        </w:tc>
      </w:tr>
      <w:tr w14:paraId="6CFF52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38CEEFD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一</w:t>
            </w:r>
          </w:p>
        </w:tc>
        <w:tc>
          <w:tcPr>
            <w:tcW w:w="2851" w:type="dxa"/>
            <w:tcBorders>
              <w:tl2br w:val="nil"/>
              <w:tr2bl w:val="nil"/>
            </w:tcBorders>
            <w:vAlign w:val="center"/>
          </w:tcPr>
          <w:p w14:paraId="7E34258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0"/>
                <w:w w:val="100"/>
                <w:position w:val="0"/>
                <w:sz w:val="21"/>
                <w:szCs w:val="21"/>
                <w:u w:val="none" w:color="auto"/>
              </w:rPr>
            </w:pPr>
            <w:r>
              <w:rPr>
                <w:rFonts w:hint="default" w:ascii="Times New Roman" w:hAnsi="Times New Roman" w:eastAsia="宋体" w:cs="Times New Roman"/>
                <w:color w:val="auto"/>
                <w:spacing w:val="0"/>
                <w:w w:val="100"/>
                <w:position w:val="0"/>
                <w:sz w:val="21"/>
                <w:szCs w:val="21"/>
                <w:u w:val="none" w:color="auto"/>
              </w:rPr>
              <w:t>建设管理费</w:t>
            </w:r>
          </w:p>
        </w:tc>
        <w:tc>
          <w:tcPr>
            <w:tcW w:w="934" w:type="dxa"/>
            <w:tcBorders>
              <w:tl2br w:val="nil"/>
              <w:tr2bl w:val="nil"/>
            </w:tcBorders>
            <w:vAlign w:val="center"/>
          </w:tcPr>
          <w:p w14:paraId="3AB224BD">
            <w:pPr>
              <w:jc w:val="center"/>
              <w:rPr>
                <w:rFonts w:hint="default" w:ascii="Times New Roman" w:hAnsi="Times New Roman" w:eastAsia="宋体" w:cs="Times New Roman"/>
                <w:color w:val="auto"/>
                <w:spacing w:val="0"/>
                <w:w w:val="100"/>
                <w:position w:val="0"/>
                <w:sz w:val="21"/>
                <w:szCs w:val="21"/>
                <w:u w:val="none" w:color="auto"/>
              </w:rPr>
            </w:pPr>
          </w:p>
        </w:tc>
        <w:tc>
          <w:tcPr>
            <w:tcW w:w="809" w:type="dxa"/>
            <w:tcBorders>
              <w:tl2br w:val="nil"/>
              <w:tr2bl w:val="nil"/>
            </w:tcBorders>
            <w:vAlign w:val="center"/>
          </w:tcPr>
          <w:p w14:paraId="3E475927">
            <w:pPr>
              <w:jc w:val="center"/>
              <w:rPr>
                <w:rFonts w:hint="default" w:ascii="Times New Roman" w:hAnsi="Times New Roman" w:eastAsia="宋体" w:cs="Times New Roman"/>
                <w:color w:val="auto"/>
                <w:spacing w:val="0"/>
                <w:w w:val="100"/>
                <w:position w:val="0"/>
                <w:sz w:val="21"/>
                <w:szCs w:val="21"/>
                <w:u w:val="none" w:color="auto"/>
              </w:rPr>
            </w:pPr>
          </w:p>
        </w:tc>
        <w:tc>
          <w:tcPr>
            <w:tcW w:w="1511" w:type="dxa"/>
            <w:tcBorders>
              <w:tl2br w:val="nil"/>
              <w:tr2bl w:val="nil"/>
            </w:tcBorders>
            <w:vAlign w:val="center"/>
          </w:tcPr>
          <w:p w14:paraId="38A94F29">
            <w:pPr>
              <w:jc w:val="center"/>
              <w:rPr>
                <w:rFonts w:hint="default" w:ascii="Times New Roman" w:hAnsi="Times New Roman" w:eastAsia="宋体" w:cs="Times New Roman"/>
                <w:color w:val="auto"/>
                <w:spacing w:val="0"/>
                <w:w w:val="100"/>
                <w:position w:val="0"/>
                <w:sz w:val="21"/>
                <w:szCs w:val="21"/>
                <w:u w:val="none" w:color="auto"/>
              </w:rPr>
            </w:pPr>
          </w:p>
        </w:tc>
        <w:tc>
          <w:tcPr>
            <w:tcW w:w="1518" w:type="dxa"/>
            <w:tcBorders>
              <w:tl2br w:val="nil"/>
              <w:tr2bl w:val="nil"/>
            </w:tcBorders>
            <w:vAlign w:val="center"/>
          </w:tcPr>
          <w:p w14:paraId="3AF23DDB">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12.41 </w:t>
            </w:r>
          </w:p>
        </w:tc>
      </w:tr>
      <w:tr w14:paraId="067292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0AB5DCB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1</w:t>
            </w:r>
          </w:p>
        </w:tc>
        <w:tc>
          <w:tcPr>
            <w:tcW w:w="2851" w:type="dxa"/>
            <w:tcBorders>
              <w:tl2br w:val="nil"/>
              <w:tr2bl w:val="nil"/>
            </w:tcBorders>
            <w:vAlign w:val="center"/>
          </w:tcPr>
          <w:p w14:paraId="639BC0B8">
            <w:pPr>
              <w:keepNext w:val="0"/>
              <w:keepLines w:val="0"/>
              <w:widowControl/>
              <w:suppressLineNumbers w:val="0"/>
              <w:jc w:val="center"/>
              <w:rPr>
                <w:rFonts w:hint="default" w:ascii="妤蜂綋" w:hAnsi="妤蜂綋" w:eastAsia="妤蜂綋" w:cs="妤蜂綋"/>
                <w:color w:val="auto"/>
                <w:kern w:val="0"/>
                <w:sz w:val="21"/>
                <w:szCs w:val="21"/>
                <w:lang w:val="en-US" w:eastAsia="zh-CN" w:bidi="ar"/>
              </w:rPr>
            </w:pPr>
            <w:r>
              <w:rPr>
                <w:rFonts w:ascii="妤蜂綋" w:hAnsi="妤蜂綋" w:eastAsia="妤蜂綋" w:cs="妤蜂綋"/>
                <w:color w:val="auto"/>
                <w:kern w:val="0"/>
                <w:sz w:val="21"/>
                <w:szCs w:val="21"/>
                <w:lang w:val="en-US" w:eastAsia="zh-CN" w:bidi="ar"/>
              </w:rPr>
              <w:t>环境管理人员经常费</w:t>
            </w:r>
          </w:p>
        </w:tc>
        <w:tc>
          <w:tcPr>
            <w:tcW w:w="934" w:type="dxa"/>
            <w:tcBorders>
              <w:tl2br w:val="nil"/>
              <w:tr2bl w:val="nil"/>
            </w:tcBorders>
            <w:vAlign w:val="center"/>
          </w:tcPr>
          <w:p w14:paraId="4A470DC5">
            <w:pPr>
              <w:jc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809" w:type="dxa"/>
            <w:tcBorders>
              <w:tl2br w:val="nil"/>
              <w:tr2bl w:val="nil"/>
            </w:tcBorders>
            <w:vAlign w:val="center"/>
          </w:tcPr>
          <w:p w14:paraId="088093DA">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2.50%</w:t>
            </w:r>
          </w:p>
        </w:tc>
        <w:tc>
          <w:tcPr>
            <w:tcW w:w="1511" w:type="dxa"/>
            <w:tcBorders>
              <w:tl2br w:val="nil"/>
              <w:tr2bl w:val="nil"/>
            </w:tcBorders>
            <w:vAlign w:val="center"/>
          </w:tcPr>
          <w:p w14:paraId="0C1E70AE">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518" w:type="dxa"/>
            <w:tcBorders>
              <w:tl2br w:val="nil"/>
              <w:tr2bl w:val="nil"/>
            </w:tcBorders>
            <w:vAlign w:val="center"/>
          </w:tcPr>
          <w:p w14:paraId="21E7283B">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1.51 </w:t>
            </w:r>
          </w:p>
        </w:tc>
      </w:tr>
      <w:tr w14:paraId="47F1985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5F9E221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2</w:t>
            </w:r>
          </w:p>
        </w:tc>
        <w:tc>
          <w:tcPr>
            <w:tcW w:w="2851" w:type="dxa"/>
            <w:tcBorders>
              <w:tl2br w:val="nil"/>
              <w:tr2bl w:val="nil"/>
            </w:tcBorders>
            <w:vAlign w:val="center"/>
          </w:tcPr>
          <w:p w14:paraId="281671A6">
            <w:pPr>
              <w:keepNext w:val="0"/>
              <w:keepLines w:val="0"/>
              <w:widowControl/>
              <w:suppressLineNumbers w:val="0"/>
              <w:jc w:val="center"/>
              <w:rPr>
                <w:rFonts w:hint="default" w:ascii="妤蜂綋" w:hAnsi="妤蜂綋" w:eastAsia="妤蜂綋" w:cs="妤蜂綋"/>
                <w:color w:val="auto"/>
                <w:kern w:val="0"/>
                <w:sz w:val="21"/>
                <w:szCs w:val="21"/>
                <w:lang w:val="en-US" w:eastAsia="zh-CN" w:bidi="ar"/>
              </w:rPr>
            </w:pPr>
            <w:r>
              <w:rPr>
                <w:rFonts w:ascii="妤蜂綋" w:hAnsi="妤蜂綋" w:eastAsia="妤蜂綋" w:cs="妤蜂綋"/>
                <w:color w:val="auto"/>
                <w:kern w:val="0"/>
                <w:sz w:val="21"/>
                <w:szCs w:val="21"/>
                <w:lang w:val="en-US" w:eastAsia="zh-CN" w:bidi="ar"/>
              </w:rPr>
              <w:t>环境保护设施竣工验收</w:t>
            </w:r>
            <w:r>
              <w:rPr>
                <w:rFonts w:hint="default" w:ascii="妤蜂綋" w:hAnsi="妤蜂綋" w:eastAsia="妤蜂綋" w:cs="妤蜂綋"/>
                <w:color w:val="auto"/>
                <w:kern w:val="0"/>
                <w:sz w:val="21"/>
                <w:szCs w:val="21"/>
                <w:lang w:val="en-US" w:eastAsia="zh-CN" w:bidi="ar"/>
              </w:rPr>
              <w:t>费</w:t>
            </w:r>
          </w:p>
        </w:tc>
        <w:tc>
          <w:tcPr>
            <w:tcW w:w="934" w:type="dxa"/>
            <w:tcBorders>
              <w:tl2br w:val="nil"/>
              <w:tr2bl w:val="nil"/>
            </w:tcBorders>
            <w:vAlign w:val="center"/>
          </w:tcPr>
          <w:p w14:paraId="404C65EC">
            <w:pPr>
              <w:jc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809" w:type="dxa"/>
            <w:tcBorders>
              <w:tl2br w:val="nil"/>
              <w:tr2bl w:val="nil"/>
            </w:tcBorders>
            <w:vAlign w:val="center"/>
          </w:tcPr>
          <w:p w14:paraId="5BCBAB23">
            <w:pPr>
              <w:jc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511" w:type="dxa"/>
            <w:tcBorders>
              <w:tl2br w:val="nil"/>
              <w:tr2bl w:val="nil"/>
            </w:tcBorders>
            <w:vAlign w:val="center"/>
          </w:tcPr>
          <w:p w14:paraId="56C10C20">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lang w:val="en-US" w:eastAsia="zh-CN" w:bidi="ar"/>
              </w:rPr>
              <w:t>0000</w:t>
            </w:r>
          </w:p>
        </w:tc>
        <w:tc>
          <w:tcPr>
            <w:tcW w:w="1518" w:type="dxa"/>
            <w:tcBorders>
              <w:tl2br w:val="nil"/>
              <w:tr2bl w:val="nil"/>
            </w:tcBorders>
            <w:vAlign w:val="center"/>
          </w:tcPr>
          <w:p w14:paraId="691DC479">
            <w:pPr>
              <w:keepNext w:val="0"/>
              <w:keepLines w:val="0"/>
              <w:widowControl/>
              <w:suppressLineNumbers w:val="0"/>
              <w:jc w:val="center"/>
              <w:textAlignment w:val="center"/>
              <w:rPr>
                <w:rFonts w:hint="eastAsia"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w:t>
            </w:r>
          </w:p>
        </w:tc>
      </w:tr>
      <w:tr w14:paraId="6B0972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7696BB6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val="en-US" w:eastAsia="zh-CN"/>
              </w:rPr>
            </w:pPr>
            <w:r>
              <w:rPr>
                <w:rFonts w:hint="eastAsia" w:ascii="Times New Roman" w:hAnsi="Times New Roman" w:eastAsia="宋体" w:cs="Times New Roman"/>
                <w:color w:val="auto"/>
                <w:spacing w:val="0"/>
                <w:w w:val="100"/>
                <w:position w:val="0"/>
                <w:sz w:val="21"/>
                <w:szCs w:val="21"/>
                <w:u w:val="none" w:color="auto"/>
                <w:lang w:val="en-US" w:eastAsia="zh-CN"/>
              </w:rPr>
              <w:t>3</w:t>
            </w:r>
          </w:p>
        </w:tc>
        <w:tc>
          <w:tcPr>
            <w:tcW w:w="2851" w:type="dxa"/>
            <w:tcBorders>
              <w:tl2br w:val="nil"/>
              <w:tr2bl w:val="nil"/>
            </w:tcBorders>
            <w:vAlign w:val="center"/>
          </w:tcPr>
          <w:p w14:paraId="65CFF58E">
            <w:pPr>
              <w:keepNext w:val="0"/>
              <w:keepLines w:val="0"/>
              <w:widowControl/>
              <w:suppressLineNumbers w:val="0"/>
              <w:jc w:val="center"/>
              <w:rPr>
                <w:rFonts w:hint="default" w:ascii="妤蜂綋" w:hAnsi="妤蜂綋" w:eastAsia="妤蜂綋" w:cs="妤蜂綋"/>
                <w:color w:val="auto"/>
                <w:kern w:val="0"/>
                <w:sz w:val="21"/>
                <w:szCs w:val="21"/>
                <w:lang w:val="en-US" w:eastAsia="zh-CN" w:bidi="ar"/>
              </w:rPr>
            </w:pPr>
            <w:r>
              <w:rPr>
                <w:rFonts w:ascii="妤蜂綋" w:hAnsi="妤蜂綋" w:eastAsia="妤蜂綋" w:cs="妤蜂綋"/>
                <w:color w:val="auto"/>
                <w:kern w:val="0"/>
                <w:sz w:val="21"/>
                <w:szCs w:val="21"/>
                <w:lang w:val="en-US" w:eastAsia="zh-CN" w:bidi="ar"/>
              </w:rPr>
              <w:t>环境保护宣传及技术培</w:t>
            </w:r>
            <w:r>
              <w:rPr>
                <w:rFonts w:hint="default" w:ascii="妤蜂綋" w:hAnsi="妤蜂綋" w:eastAsia="妤蜂綋" w:cs="妤蜂綋"/>
                <w:color w:val="auto"/>
                <w:kern w:val="0"/>
                <w:sz w:val="21"/>
                <w:szCs w:val="21"/>
                <w:lang w:val="en-US" w:eastAsia="zh-CN" w:bidi="ar"/>
              </w:rPr>
              <w:t>训费</w:t>
            </w:r>
          </w:p>
        </w:tc>
        <w:tc>
          <w:tcPr>
            <w:tcW w:w="934" w:type="dxa"/>
            <w:tcBorders>
              <w:tl2br w:val="nil"/>
              <w:tr2bl w:val="nil"/>
            </w:tcBorders>
            <w:vAlign w:val="center"/>
          </w:tcPr>
          <w:p w14:paraId="113C32D7">
            <w:pPr>
              <w:jc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809" w:type="dxa"/>
            <w:tcBorders>
              <w:tl2br w:val="nil"/>
              <w:tr2bl w:val="nil"/>
            </w:tcBorders>
            <w:vAlign w:val="center"/>
          </w:tcPr>
          <w:p w14:paraId="5BE863F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1.50%</w:t>
            </w:r>
          </w:p>
        </w:tc>
        <w:tc>
          <w:tcPr>
            <w:tcW w:w="1511" w:type="dxa"/>
            <w:tcBorders>
              <w:tl2br w:val="nil"/>
              <w:tr2bl w:val="nil"/>
            </w:tcBorders>
            <w:vAlign w:val="center"/>
          </w:tcPr>
          <w:p w14:paraId="3ABF6485">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p>
        </w:tc>
        <w:tc>
          <w:tcPr>
            <w:tcW w:w="1518" w:type="dxa"/>
            <w:tcBorders>
              <w:tl2br w:val="nil"/>
              <w:tr2bl w:val="nil"/>
            </w:tcBorders>
            <w:vAlign w:val="center"/>
          </w:tcPr>
          <w:p w14:paraId="1C74A3BE">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0.90 </w:t>
            </w:r>
          </w:p>
        </w:tc>
      </w:tr>
      <w:tr w14:paraId="21D88E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7B47349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eastAsia="zh-CN"/>
              </w:rPr>
              <w:t>二</w:t>
            </w:r>
          </w:p>
        </w:tc>
        <w:tc>
          <w:tcPr>
            <w:tcW w:w="2851" w:type="dxa"/>
            <w:tcBorders>
              <w:tl2br w:val="nil"/>
              <w:tr2bl w:val="nil"/>
            </w:tcBorders>
            <w:vAlign w:val="center"/>
          </w:tcPr>
          <w:p w14:paraId="3C77E468">
            <w:pPr>
              <w:keepNext w:val="0"/>
              <w:keepLines w:val="0"/>
              <w:widowControl/>
              <w:suppressLineNumbers w:val="0"/>
              <w:jc w:val="center"/>
              <w:rPr>
                <w:rFonts w:hint="default" w:ascii="Times New Roman" w:hAnsi="Times New Roman" w:eastAsia="宋体" w:cs="Times New Roman"/>
                <w:color w:val="auto"/>
                <w:spacing w:val="0"/>
                <w:w w:val="100"/>
                <w:position w:val="0"/>
                <w:sz w:val="21"/>
                <w:szCs w:val="21"/>
                <w:u w:val="none" w:color="auto"/>
              </w:rPr>
            </w:pPr>
            <w:r>
              <w:rPr>
                <w:rFonts w:ascii="妤蜂綋" w:hAnsi="妤蜂綋" w:eastAsia="妤蜂綋" w:cs="妤蜂綋"/>
                <w:color w:val="auto"/>
                <w:kern w:val="0"/>
                <w:sz w:val="21"/>
                <w:szCs w:val="21"/>
                <w:lang w:val="en-US" w:eastAsia="zh-CN" w:bidi="ar"/>
              </w:rPr>
              <w:t xml:space="preserve">环境监理费 </w:t>
            </w:r>
          </w:p>
        </w:tc>
        <w:tc>
          <w:tcPr>
            <w:tcW w:w="934" w:type="dxa"/>
            <w:tcBorders>
              <w:tl2br w:val="nil"/>
              <w:tr2bl w:val="nil"/>
            </w:tcBorders>
            <w:vAlign w:val="center"/>
          </w:tcPr>
          <w:p w14:paraId="0C169A17">
            <w:pPr>
              <w:keepNext w:val="0"/>
              <w:keepLines w:val="0"/>
              <w:widowControl/>
              <w:suppressLineNumbers w:val="0"/>
              <w:jc w:val="center"/>
              <w:textAlignment w:val="center"/>
              <w:rPr>
                <w:rFonts w:hint="eastAsia" w:ascii="Times New Roman" w:hAnsi="Times New Roman" w:eastAsia="宋体" w:cs="Times New Roman"/>
                <w:color w:val="auto"/>
                <w:spacing w:val="0"/>
                <w:w w:val="100"/>
                <w:position w:val="0"/>
                <w:sz w:val="21"/>
                <w:szCs w:val="21"/>
                <w:u w:val="none" w:color="auto"/>
                <w:lang w:eastAsia="zh-CN"/>
              </w:rPr>
            </w:pPr>
            <w:r>
              <w:rPr>
                <w:rFonts w:hint="eastAsia" w:ascii="宋体" w:hAnsi="宋体" w:eastAsia="宋体" w:cs="宋体"/>
                <w:i w:val="0"/>
                <w:iCs w:val="0"/>
                <w:color w:val="auto"/>
                <w:kern w:val="0"/>
                <w:sz w:val="21"/>
                <w:szCs w:val="21"/>
                <w:u w:val="none"/>
                <w:lang w:val="en-US" w:eastAsia="zh-CN" w:bidi="ar"/>
              </w:rPr>
              <w:t>月</w:t>
            </w:r>
          </w:p>
        </w:tc>
        <w:tc>
          <w:tcPr>
            <w:tcW w:w="809" w:type="dxa"/>
            <w:tcBorders>
              <w:tl2br w:val="nil"/>
              <w:tr2bl w:val="nil"/>
            </w:tcBorders>
            <w:vAlign w:val="center"/>
          </w:tcPr>
          <w:p w14:paraId="55F3CE8B">
            <w:pPr>
              <w:keepNext w:val="0"/>
              <w:keepLines w:val="0"/>
              <w:widowControl/>
              <w:suppressLineNumbers w:val="0"/>
              <w:jc w:val="center"/>
              <w:textAlignment w:val="center"/>
              <w:rPr>
                <w:rFonts w:hint="eastAsia"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8</w:t>
            </w:r>
          </w:p>
        </w:tc>
        <w:tc>
          <w:tcPr>
            <w:tcW w:w="1511" w:type="dxa"/>
            <w:tcBorders>
              <w:tl2br w:val="nil"/>
              <w:tr2bl w:val="nil"/>
            </w:tcBorders>
            <w:vAlign w:val="center"/>
          </w:tcPr>
          <w:p w14:paraId="1E23FAE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5000</w:t>
            </w:r>
          </w:p>
        </w:tc>
        <w:tc>
          <w:tcPr>
            <w:tcW w:w="1518" w:type="dxa"/>
            <w:tcBorders>
              <w:tl2br w:val="nil"/>
              <w:tr2bl w:val="nil"/>
            </w:tcBorders>
            <w:vAlign w:val="center"/>
          </w:tcPr>
          <w:p w14:paraId="61BD1484">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4</w:t>
            </w:r>
          </w:p>
        </w:tc>
      </w:tr>
      <w:tr w14:paraId="6BDD02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52D0555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eastAsia="zh-CN"/>
              </w:rPr>
              <w:t>三</w:t>
            </w:r>
          </w:p>
        </w:tc>
        <w:tc>
          <w:tcPr>
            <w:tcW w:w="2851" w:type="dxa"/>
            <w:tcBorders>
              <w:tl2br w:val="nil"/>
              <w:tr2bl w:val="nil"/>
            </w:tcBorders>
            <w:vAlign w:val="center"/>
          </w:tcPr>
          <w:p w14:paraId="70AD9A6E">
            <w:pPr>
              <w:keepNext w:val="0"/>
              <w:keepLines w:val="0"/>
              <w:widowControl/>
              <w:suppressLineNumbers w:val="0"/>
              <w:jc w:val="center"/>
              <w:rPr>
                <w:rFonts w:hint="default" w:ascii="妤蜂綋" w:hAnsi="妤蜂綋" w:eastAsia="妤蜂綋" w:cs="妤蜂綋"/>
                <w:color w:val="auto"/>
                <w:kern w:val="0"/>
                <w:sz w:val="21"/>
                <w:szCs w:val="21"/>
                <w:lang w:val="en-US" w:eastAsia="zh-CN" w:bidi="ar"/>
              </w:rPr>
            </w:pPr>
            <w:r>
              <w:rPr>
                <w:rFonts w:ascii="妤蜂綋" w:hAnsi="妤蜂綋" w:eastAsia="妤蜂綋" w:cs="妤蜂綋"/>
                <w:color w:val="auto"/>
                <w:kern w:val="0"/>
                <w:sz w:val="21"/>
                <w:szCs w:val="21"/>
                <w:lang w:val="en-US" w:eastAsia="zh-CN" w:bidi="ar"/>
              </w:rPr>
              <w:t>科研勘测设计咨询费</w:t>
            </w:r>
          </w:p>
        </w:tc>
        <w:tc>
          <w:tcPr>
            <w:tcW w:w="934" w:type="dxa"/>
            <w:tcBorders>
              <w:tl2br w:val="nil"/>
              <w:tr2bl w:val="nil"/>
            </w:tcBorders>
            <w:vAlign w:val="center"/>
          </w:tcPr>
          <w:p w14:paraId="6E8D3937">
            <w:pPr>
              <w:jc w:val="center"/>
              <w:rPr>
                <w:rFonts w:hint="default" w:ascii="Times New Roman" w:hAnsi="Times New Roman" w:eastAsia="宋体" w:cs="Times New Roman"/>
                <w:color w:val="auto"/>
                <w:spacing w:val="0"/>
                <w:w w:val="100"/>
                <w:position w:val="0"/>
                <w:sz w:val="21"/>
                <w:szCs w:val="21"/>
                <w:u w:val="none" w:color="auto"/>
              </w:rPr>
            </w:pPr>
          </w:p>
        </w:tc>
        <w:tc>
          <w:tcPr>
            <w:tcW w:w="809" w:type="dxa"/>
            <w:tcBorders>
              <w:tl2br w:val="nil"/>
              <w:tr2bl w:val="nil"/>
            </w:tcBorders>
            <w:vAlign w:val="center"/>
          </w:tcPr>
          <w:p w14:paraId="0F18AB6E">
            <w:pPr>
              <w:jc w:val="center"/>
              <w:rPr>
                <w:rFonts w:hint="default" w:ascii="Times New Roman" w:hAnsi="Times New Roman" w:eastAsia="宋体" w:cs="Times New Roman"/>
                <w:color w:val="auto"/>
                <w:spacing w:val="0"/>
                <w:w w:val="100"/>
                <w:position w:val="0"/>
                <w:sz w:val="21"/>
                <w:szCs w:val="21"/>
                <w:u w:val="none" w:color="auto"/>
              </w:rPr>
            </w:pPr>
          </w:p>
        </w:tc>
        <w:tc>
          <w:tcPr>
            <w:tcW w:w="1511" w:type="dxa"/>
            <w:tcBorders>
              <w:tl2br w:val="nil"/>
              <w:tr2bl w:val="nil"/>
            </w:tcBorders>
            <w:vAlign w:val="center"/>
          </w:tcPr>
          <w:p w14:paraId="07FC74A6">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24022</w:t>
            </w:r>
            <w:r>
              <w:rPr>
                <w:rFonts w:hint="eastAsia" w:ascii="Times New Roman" w:hAnsi="Times New Roman" w:eastAsia="宋体" w:cs="Times New Roman"/>
                <w:i w:val="0"/>
                <w:iCs w:val="0"/>
                <w:color w:val="auto"/>
                <w:kern w:val="0"/>
                <w:sz w:val="21"/>
                <w:szCs w:val="21"/>
                <w:u w:val="none"/>
                <w:lang w:val="en-US" w:eastAsia="zh-CN" w:bidi="ar"/>
              </w:rPr>
              <w:t>0</w:t>
            </w:r>
          </w:p>
        </w:tc>
        <w:tc>
          <w:tcPr>
            <w:tcW w:w="1518" w:type="dxa"/>
            <w:tcBorders>
              <w:tl2br w:val="nil"/>
              <w:tr2bl w:val="nil"/>
            </w:tcBorders>
            <w:vAlign w:val="center"/>
          </w:tcPr>
          <w:p w14:paraId="00A1F341">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24.02 </w:t>
            </w:r>
          </w:p>
        </w:tc>
      </w:tr>
      <w:tr w14:paraId="16A2F5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37066B0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r>
              <w:rPr>
                <w:rFonts w:hint="eastAsia" w:ascii="Times New Roman" w:hAnsi="Times New Roman" w:eastAsia="宋体" w:cs="Times New Roman"/>
                <w:color w:val="auto"/>
                <w:spacing w:val="0"/>
                <w:w w:val="100"/>
                <w:position w:val="0"/>
                <w:sz w:val="21"/>
                <w:szCs w:val="21"/>
                <w:u w:val="none" w:color="auto"/>
                <w:lang w:eastAsia="zh-CN"/>
              </w:rPr>
              <w:t>第四部分</w:t>
            </w:r>
          </w:p>
        </w:tc>
        <w:tc>
          <w:tcPr>
            <w:tcW w:w="2851" w:type="dxa"/>
            <w:tcBorders>
              <w:tl2br w:val="nil"/>
              <w:tr2bl w:val="nil"/>
            </w:tcBorders>
            <w:vAlign w:val="center"/>
          </w:tcPr>
          <w:p w14:paraId="3B314AD8">
            <w:pPr>
              <w:keepNext w:val="0"/>
              <w:keepLines w:val="0"/>
              <w:widowControl/>
              <w:suppressLineNumbers w:val="0"/>
              <w:jc w:val="center"/>
              <w:rPr>
                <w:rFonts w:ascii="妤蜂綋" w:hAnsi="妤蜂綋" w:eastAsia="妤蜂綋" w:cs="妤蜂綋"/>
                <w:color w:val="auto"/>
                <w:kern w:val="0"/>
                <w:sz w:val="21"/>
                <w:szCs w:val="21"/>
                <w:lang w:val="en-US" w:eastAsia="zh-CN" w:bidi="ar"/>
              </w:rPr>
            </w:pPr>
            <w:r>
              <w:rPr>
                <w:rFonts w:hint="eastAsia" w:ascii="妤蜂綋" w:hAnsi="妤蜂綋" w:eastAsia="妤蜂綋" w:cs="妤蜂綋"/>
                <w:color w:val="auto"/>
                <w:kern w:val="0"/>
                <w:sz w:val="21"/>
                <w:szCs w:val="21"/>
                <w:lang w:val="en-US" w:eastAsia="zh-CN" w:bidi="ar"/>
              </w:rPr>
              <w:t>基本预备费</w:t>
            </w:r>
          </w:p>
        </w:tc>
        <w:tc>
          <w:tcPr>
            <w:tcW w:w="934" w:type="dxa"/>
            <w:tcBorders>
              <w:tl2br w:val="nil"/>
              <w:tr2bl w:val="nil"/>
            </w:tcBorders>
            <w:vAlign w:val="center"/>
          </w:tcPr>
          <w:p w14:paraId="4734A849">
            <w:pPr>
              <w:jc w:val="center"/>
              <w:rPr>
                <w:rFonts w:hint="default" w:ascii="Times New Roman" w:hAnsi="Times New Roman" w:eastAsia="宋体" w:cs="Times New Roman"/>
                <w:color w:val="auto"/>
                <w:spacing w:val="0"/>
                <w:w w:val="100"/>
                <w:position w:val="0"/>
                <w:sz w:val="21"/>
                <w:szCs w:val="21"/>
                <w:u w:val="none" w:color="auto"/>
              </w:rPr>
            </w:pPr>
          </w:p>
        </w:tc>
        <w:tc>
          <w:tcPr>
            <w:tcW w:w="809" w:type="dxa"/>
            <w:tcBorders>
              <w:tl2br w:val="nil"/>
              <w:tr2bl w:val="nil"/>
            </w:tcBorders>
            <w:vAlign w:val="center"/>
          </w:tcPr>
          <w:p w14:paraId="3F81FC47">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511" w:type="dxa"/>
            <w:tcBorders>
              <w:tl2br w:val="nil"/>
              <w:tr2bl w:val="nil"/>
            </w:tcBorders>
            <w:vAlign w:val="center"/>
          </w:tcPr>
          <w:p w14:paraId="481C2654">
            <w:pPr>
              <w:jc w:val="center"/>
              <w:rPr>
                <w:rFonts w:hint="default" w:ascii="Times New Roman" w:hAnsi="Times New Roman" w:eastAsia="宋体" w:cs="Times New Roman"/>
                <w:color w:val="auto"/>
                <w:spacing w:val="0"/>
                <w:w w:val="100"/>
                <w:position w:val="0"/>
                <w:sz w:val="21"/>
                <w:szCs w:val="21"/>
                <w:u w:val="none" w:color="auto"/>
              </w:rPr>
            </w:pPr>
          </w:p>
        </w:tc>
        <w:tc>
          <w:tcPr>
            <w:tcW w:w="1518" w:type="dxa"/>
            <w:tcBorders>
              <w:tl2br w:val="nil"/>
              <w:tr2bl w:val="nil"/>
            </w:tcBorders>
            <w:vAlign w:val="center"/>
          </w:tcPr>
          <w:p w14:paraId="36066668">
            <w:pPr>
              <w:keepNext w:val="0"/>
              <w:keepLines w:val="0"/>
              <w:widowControl/>
              <w:suppressLineNumbers w:val="0"/>
              <w:jc w:val="center"/>
              <w:textAlignment w:val="center"/>
              <w:rPr>
                <w:rFonts w:hint="default" w:ascii="Times New Roman" w:hAnsi="Times New Roman" w:eastAsia="宋体" w:cs="Times New Roman"/>
                <w:color w:val="auto"/>
                <w:spacing w:val="0"/>
                <w:w w:val="100"/>
                <w:position w:val="0"/>
                <w:sz w:val="21"/>
                <w:szCs w:val="21"/>
                <w:u w:val="none" w:color="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10.07 </w:t>
            </w:r>
          </w:p>
        </w:tc>
      </w:tr>
      <w:tr w14:paraId="465209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4" w:type="dxa"/>
            <w:tcBorders>
              <w:tl2br w:val="nil"/>
              <w:tr2bl w:val="nil"/>
            </w:tcBorders>
            <w:vAlign w:val="center"/>
          </w:tcPr>
          <w:p w14:paraId="435CF41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0"/>
                <w:w w:val="100"/>
                <w:position w:val="0"/>
                <w:sz w:val="21"/>
                <w:szCs w:val="21"/>
                <w:u w:val="none" w:color="auto"/>
                <w:lang w:eastAsia="zh-CN"/>
              </w:rPr>
            </w:pPr>
          </w:p>
        </w:tc>
        <w:tc>
          <w:tcPr>
            <w:tcW w:w="2851" w:type="dxa"/>
            <w:tcBorders>
              <w:tl2br w:val="nil"/>
              <w:tr2bl w:val="nil"/>
            </w:tcBorders>
            <w:vAlign w:val="center"/>
          </w:tcPr>
          <w:p w14:paraId="592416AC">
            <w:pPr>
              <w:keepNext w:val="0"/>
              <w:keepLines w:val="0"/>
              <w:widowControl/>
              <w:suppressLineNumbers w:val="0"/>
              <w:jc w:val="left"/>
              <w:rPr>
                <w:rFonts w:ascii="妤蜂綋" w:hAnsi="妤蜂綋" w:eastAsia="妤蜂綋" w:cs="妤蜂綋"/>
                <w:color w:val="auto"/>
                <w:kern w:val="0"/>
                <w:sz w:val="21"/>
                <w:szCs w:val="21"/>
                <w:lang w:val="en-US" w:eastAsia="zh-CN" w:bidi="ar"/>
              </w:rPr>
            </w:pPr>
            <w:r>
              <w:rPr>
                <w:rFonts w:hint="eastAsia" w:ascii="Times New Roman" w:hAnsi="Times New Roman" w:eastAsia="宋体" w:cs="Times New Roman"/>
                <w:color w:val="auto"/>
                <w:spacing w:val="0"/>
                <w:w w:val="100"/>
                <w:position w:val="0"/>
                <w:sz w:val="21"/>
                <w:szCs w:val="21"/>
                <w:u w:val="none" w:color="auto"/>
                <w:lang w:eastAsia="zh-CN"/>
              </w:rPr>
              <w:t>环境保护总投资</w:t>
            </w:r>
          </w:p>
        </w:tc>
        <w:tc>
          <w:tcPr>
            <w:tcW w:w="934" w:type="dxa"/>
            <w:tcBorders>
              <w:tl2br w:val="nil"/>
              <w:tr2bl w:val="nil"/>
            </w:tcBorders>
            <w:vAlign w:val="center"/>
          </w:tcPr>
          <w:p w14:paraId="6521D12C">
            <w:pPr>
              <w:jc w:val="center"/>
              <w:rPr>
                <w:rFonts w:hint="default" w:ascii="Times New Roman" w:hAnsi="Times New Roman" w:eastAsia="宋体" w:cs="Times New Roman"/>
                <w:color w:val="auto"/>
                <w:spacing w:val="0"/>
                <w:w w:val="100"/>
                <w:position w:val="0"/>
                <w:sz w:val="21"/>
                <w:szCs w:val="21"/>
                <w:u w:val="none" w:color="auto"/>
              </w:rPr>
            </w:pPr>
          </w:p>
        </w:tc>
        <w:tc>
          <w:tcPr>
            <w:tcW w:w="809" w:type="dxa"/>
            <w:tcBorders>
              <w:tl2br w:val="nil"/>
              <w:tr2bl w:val="nil"/>
            </w:tcBorders>
            <w:vAlign w:val="center"/>
          </w:tcPr>
          <w:p w14:paraId="1FDFC733">
            <w:pPr>
              <w:jc w:val="center"/>
              <w:rPr>
                <w:rFonts w:hint="default" w:ascii="Times New Roman" w:hAnsi="Times New Roman" w:eastAsia="宋体" w:cs="Times New Roman"/>
                <w:color w:val="auto"/>
                <w:spacing w:val="0"/>
                <w:w w:val="100"/>
                <w:position w:val="0"/>
                <w:sz w:val="21"/>
                <w:szCs w:val="21"/>
                <w:u w:val="none" w:color="auto"/>
              </w:rPr>
            </w:pPr>
          </w:p>
        </w:tc>
        <w:tc>
          <w:tcPr>
            <w:tcW w:w="1511" w:type="dxa"/>
            <w:tcBorders>
              <w:tl2br w:val="nil"/>
              <w:tr2bl w:val="nil"/>
            </w:tcBorders>
            <w:vAlign w:val="center"/>
          </w:tcPr>
          <w:p w14:paraId="1F3743D5">
            <w:pPr>
              <w:jc w:val="center"/>
              <w:rPr>
                <w:rFonts w:hint="default" w:ascii="Times New Roman" w:hAnsi="Times New Roman" w:eastAsia="宋体" w:cs="Times New Roman"/>
                <w:color w:val="auto"/>
                <w:spacing w:val="0"/>
                <w:w w:val="100"/>
                <w:position w:val="0"/>
                <w:sz w:val="21"/>
                <w:szCs w:val="21"/>
                <w:u w:val="none" w:color="auto"/>
              </w:rPr>
            </w:pPr>
          </w:p>
        </w:tc>
        <w:tc>
          <w:tcPr>
            <w:tcW w:w="1518" w:type="dxa"/>
            <w:tcBorders>
              <w:tl2br w:val="nil"/>
              <w:tr2bl w:val="nil"/>
            </w:tcBorders>
            <w:vAlign w:val="center"/>
          </w:tcPr>
          <w:p w14:paraId="78C74C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110.72</w:t>
            </w:r>
          </w:p>
        </w:tc>
      </w:tr>
    </w:tbl>
    <w:p w14:paraId="5D4CC6B3">
      <w:pPr>
        <w:pStyle w:val="3"/>
        <w:bidi w:val="0"/>
        <w:rPr>
          <w:rFonts w:hint="default" w:ascii="Times New Roman" w:hAnsi="Times New Roman" w:cs="Times New Roman"/>
        </w:rPr>
      </w:pPr>
      <w:bookmarkStart w:id="356" w:name="_Toc31387"/>
      <w:r>
        <w:rPr>
          <w:rFonts w:hint="default" w:ascii="Times New Roman" w:hAnsi="Times New Roman" w:cs="Times New Roman"/>
          <w:lang w:val="en-US" w:eastAsia="zh-CN"/>
        </w:rPr>
        <w:t>环境影响经济效益</w:t>
      </w:r>
      <w:bookmarkEnd w:id="356"/>
      <w:r>
        <w:rPr>
          <w:rFonts w:hint="default" w:ascii="Times New Roman" w:hAnsi="Times New Roman" w:cs="Times New Roman"/>
        </w:rPr>
        <w:t xml:space="preserve"> </w:t>
      </w:r>
    </w:p>
    <w:p w14:paraId="3A25436C">
      <w:pPr>
        <w:pStyle w:val="4"/>
        <w:bidi w:val="0"/>
        <w:rPr>
          <w:rFonts w:hint="default" w:ascii="Times New Roman" w:hAnsi="Times New Roman" w:cs="Times New Roman"/>
        </w:rPr>
      </w:pPr>
      <w:bookmarkStart w:id="357" w:name="_Toc10750"/>
      <w:r>
        <w:rPr>
          <w:rFonts w:hint="default" w:ascii="Times New Roman" w:hAnsi="Times New Roman" w:cs="Times New Roman"/>
        </w:rPr>
        <w:t>经济效益分析</w:t>
      </w:r>
      <w:bookmarkEnd w:id="357"/>
    </w:p>
    <w:p w14:paraId="71698997">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东山水库</w:t>
      </w:r>
      <w:r>
        <w:rPr>
          <w:rFonts w:hint="default" w:ascii="Times New Roman" w:hAnsi="Times New Roman" w:eastAsia="宋体" w:cs="Times New Roman"/>
          <w:caps w:val="0"/>
          <w:smallCaps w:val="0"/>
          <w:color w:val="auto"/>
          <w:spacing w:val="0"/>
          <w:w w:val="100"/>
          <w:kern w:val="0"/>
          <w:position w:val="0"/>
          <w:sz w:val="24"/>
          <w:szCs w:val="24"/>
          <w:u w:val="none" w:color="auto"/>
        </w:rPr>
        <w:t>是一座以灌溉为主，兼顾</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防洪、</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供水</w:t>
      </w:r>
      <w:r>
        <w:rPr>
          <w:rFonts w:hint="default" w:ascii="Times New Roman" w:hAnsi="Times New Roman" w:eastAsia="宋体" w:cs="Times New Roman"/>
          <w:caps w:val="0"/>
          <w:smallCaps w:val="0"/>
          <w:color w:val="auto"/>
          <w:spacing w:val="0"/>
          <w:w w:val="100"/>
          <w:kern w:val="0"/>
          <w:position w:val="0"/>
          <w:sz w:val="24"/>
          <w:szCs w:val="24"/>
          <w:u w:val="none" w:color="auto"/>
        </w:rPr>
        <w:t>等综合利用的中型水利枢纽工程，具有较强的社会公益性质。</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东山水库</w:t>
      </w:r>
      <w:r>
        <w:rPr>
          <w:rFonts w:hint="default" w:ascii="Times New Roman" w:hAnsi="Times New Roman" w:eastAsia="宋体" w:cs="Times New Roman"/>
          <w:caps w:val="0"/>
          <w:smallCaps w:val="0"/>
          <w:color w:val="auto"/>
          <w:spacing w:val="0"/>
          <w:w w:val="100"/>
          <w:kern w:val="0"/>
          <w:position w:val="0"/>
          <w:sz w:val="24"/>
          <w:szCs w:val="24"/>
          <w:u w:val="none" w:color="auto"/>
        </w:rPr>
        <w:t>经本次除险加固设计并实施后，</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大大提高了水库大坝的安全系数，</w:t>
      </w:r>
      <w:r>
        <w:rPr>
          <w:rFonts w:hint="default" w:ascii="Times New Roman" w:hAnsi="Times New Roman" w:eastAsia="宋体" w:cs="Times New Roman"/>
          <w:caps w:val="0"/>
          <w:smallCaps w:val="0"/>
          <w:color w:val="auto"/>
          <w:spacing w:val="0"/>
          <w:w w:val="100"/>
          <w:kern w:val="0"/>
          <w:position w:val="0"/>
          <w:sz w:val="24"/>
          <w:szCs w:val="24"/>
          <w:u w:val="none" w:color="auto"/>
        </w:rPr>
        <w:t>可保证枢纽工程的安全运行。</w:t>
      </w:r>
    </w:p>
    <w:p w14:paraId="128C0048">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8"/>
          <w:u w:val="none" w:color="auto"/>
        </w:rPr>
      </w:pP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 xml:space="preserve">1、灌溉效益 </w:t>
      </w:r>
    </w:p>
    <w:p w14:paraId="03FC4A38">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8"/>
          <w:u w:val="none" w:color="auto"/>
          <w:lang w:val="en-US" w:eastAsia="zh-CN"/>
        </w:rPr>
      </w:pP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水库灌区工程设计灌溉面积3.1万亩，东山水库的修建改变了该区域在工程新建前十年九旱的面貌，保障了灌区群众粮食丰收，同时改善了区域内的水土与环境状况。本工程目前鉴定为三类坝，其运用指标达不到设计标准，经除险加固工程措施后才能达到正常运行，保障东山水库灌区农业灌溉用水、提高灌溉保证率。按有工程较无工程平均每亩增加效益60元计算，本项目改善灌溉面积3.1万亩，估算本项目增加灌溉效益约186万元。</w:t>
      </w:r>
    </w:p>
    <w:p w14:paraId="45A6729D">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8"/>
          <w:u w:val="none" w:color="auto"/>
        </w:rPr>
      </w:pP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 xml:space="preserve">2、供水效益 </w:t>
      </w:r>
    </w:p>
    <w:p w14:paraId="6C7FA7AC">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8"/>
          <w:u w:val="none" w:color="auto"/>
          <w:lang w:val="en-US" w:eastAsia="zh-CN"/>
        </w:rPr>
      </w:pP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本工程存在严重损坏，经除险加固工程措施后才能达到正常运行，发挥水库供水效益，东山水库年供水量为96万m</w:t>
      </w:r>
      <w:r>
        <w:rPr>
          <w:rFonts w:hint="default" w:ascii="Times New Roman" w:hAnsi="Times New Roman" w:eastAsia="宋体" w:cs="Times New Roman"/>
          <w:caps w:val="0"/>
          <w:smallCaps w:val="0"/>
          <w:color w:val="auto"/>
          <w:spacing w:val="0"/>
          <w:w w:val="100"/>
          <w:position w:val="0"/>
          <w:sz w:val="24"/>
          <w:szCs w:val="28"/>
          <w:u w:val="none" w:color="auto"/>
          <w:vertAlign w:val="superscript"/>
          <w:lang w:val="en-US" w:eastAsia="zh-CN"/>
        </w:rPr>
        <w:t>3</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，影子水价取2元/m</w:t>
      </w:r>
      <w:r>
        <w:rPr>
          <w:rFonts w:hint="default" w:ascii="Times New Roman" w:hAnsi="Times New Roman" w:eastAsia="宋体" w:cs="Times New Roman"/>
          <w:caps w:val="0"/>
          <w:smallCaps w:val="0"/>
          <w:color w:val="auto"/>
          <w:spacing w:val="0"/>
          <w:w w:val="100"/>
          <w:position w:val="0"/>
          <w:sz w:val="24"/>
          <w:szCs w:val="28"/>
          <w:u w:val="none" w:color="auto"/>
          <w:vertAlign w:val="superscript"/>
          <w:lang w:val="en-US" w:eastAsia="zh-CN"/>
        </w:rPr>
        <w:t>3</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，经计算，国民经济评价时多年平均供水效益为192万元。.</w:t>
      </w:r>
    </w:p>
    <w:p w14:paraId="6E8FD22F">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8"/>
          <w:u w:val="none" w:color="auto"/>
        </w:rPr>
      </w:pP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 xml:space="preserve">3、防洪效益 </w:t>
      </w:r>
    </w:p>
    <w:p w14:paraId="5218946B">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8"/>
          <w:u w:val="none" w:color="auto"/>
          <w:lang w:val="en-US" w:eastAsia="zh-CN"/>
        </w:rPr>
      </w:pP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本工程受当时建设条件的制约，存在先天不足，大坝基础、坝坡、溢洪道及原隧洞都存在严重问题，已是三类坝，其运用指标达不到设计标准;经此次除险加固后，水库自身安全得到保障，亦能减少下游洪水风险。经估算本项目增加防洪效益约400万元。</w:t>
      </w:r>
    </w:p>
    <w:p w14:paraId="71D1A42E">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8"/>
          <w:u w:val="none" w:color="auto"/>
          <w:lang w:val="en-US" w:eastAsia="zh-CN"/>
        </w:rPr>
      </w:pP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根据上述计算，本工程每年合计增加效益为778万元。</w:t>
      </w:r>
    </w:p>
    <w:p w14:paraId="18B08D0F">
      <w:pPr>
        <w:pStyle w:val="4"/>
        <w:bidi w:val="0"/>
        <w:rPr>
          <w:rFonts w:hint="default" w:ascii="Times New Roman" w:hAnsi="Times New Roman" w:cs="Times New Roman"/>
          <w:lang w:val="en-US" w:eastAsia="zh-CN"/>
        </w:rPr>
      </w:pPr>
      <w:bookmarkStart w:id="358" w:name="_Toc9599"/>
      <w:r>
        <w:rPr>
          <w:rFonts w:hint="default" w:ascii="Times New Roman" w:hAnsi="Times New Roman" w:cs="Times New Roman"/>
          <w:lang w:val="en-US" w:eastAsia="zh-CN"/>
        </w:rPr>
        <w:t>社会效益分析</w:t>
      </w:r>
      <w:bookmarkEnd w:id="358"/>
    </w:p>
    <w:p w14:paraId="19E1D7E4">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1）本次除险加固后，消除了影响水库安全运行的隐患，使灌区农业生产可以持续、稳定发展。同时，工程实施后，威胁水库溃坝的隐患可以完全消除，强化灌区农业基础，有效地改善农业生产条件，促进农、林、牧、副业的全面发展，为农业的适度发展和集约化经营创出一条新路。此次除险加固后，将有效地改善水库的运行条件，避免水库发生溃坝事故。</w:t>
      </w:r>
    </w:p>
    <w:p w14:paraId="12C842FB">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2）工程实施后，可增加现有耕地的灌溉保证率，将有效地改善项目区农业生产条件，加快了项目区传统农业向节水农业、设施农业、生态农业发展的速度，促进了项目区农、林、牧、副业的全面发展，为该区实现节水增效、农民增收的经济发展创造了坚实的基础，为灌区农业生产和农村生活创造了良好的社会环境。</w:t>
      </w:r>
    </w:p>
    <w:p w14:paraId="2E36F88E">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（3）水库加固后，</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大大提高了水库大坝的安全系数，确保下游</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耕地安全。</w:t>
      </w:r>
      <w:r>
        <w:rPr>
          <w:rFonts w:hint="default" w:ascii="Times New Roman" w:hAnsi="Times New Roman" w:eastAsia="宋体" w:cs="Times New Roman"/>
          <w:caps w:val="0"/>
          <w:smallCaps w:val="0"/>
          <w:color w:val="auto"/>
          <w:spacing w:val="0"/>
          <w:w w:val="100"/>
          <w:kern w:val="0"/>
          <w:position w:val="0"/>
          <w:sz w:val="24"/>
          <w:szCs w:val="24"/>
          <w:u w:val="none" w:color="auto"/>
        </w:rPr>
        <w:t>下游人民生命财产安全将得到有效地保障，下游村镇农业和生活用水要求将得到满足，从而促进下游村镇的农业发展，保证农业高产稳定发展、农民增收和社会安定，同时对发展优质、高效农业起到促进作用；水库加固后，灌区农业种植结构调整，农民收入增加，可为当地的经济发展带来生机和活力。</w:t>
      </w:r>
    </w:p>
    <w:p w14:paraId="4B5A7393">
      <w:pPr>
        <w:pStyle w:val="4"/>
        <w:bidi w:val="0"/>
        <w:rPr>
          <w:rFonts w:hint="default" w:ascii="Times New Roman" w:hAnsi="Times New Roman" w:cs="Times New Roman"/>
          <w:lang w:val="en-US" w:eastAsia="zh-CN"/>
        </w:rPr>
      </w:pPr>
      <w:bookmarkStart w:id="359" w:name="_Toc14513"/>
      <w:r>
        <w:rPr>
          <w:rFonts w:hint="default" w:ascii="Times New Roman" w:hAnsi="Times New Roman" w:cs="Times New Roman"/>
          <w:lang w:val="en-US" w:eastAsia="zh-CN"/>
        </w:rPr>
        <w:t>生态环境效益</w:t>
      </w:r>
      <w:bookmarkEnd w:id="359"/>
    </w:p>
    <w:p w14:paraId="166BF312">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FF0000"/>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东山水库除险加固</w:t>
      </w:r>
      <w:r>
        <w:rPr>
          <w:rFonts w:hint="default" w:ascii="Times New Roman" w:hAnsi="Times New Roman" w:eastAsia="宋体" w:cs="Times New Roman"/>
          <w:caps w:val="0"/>
          <w:smallCaps w:val="0"/>
          <w:color w:val="auto"/>
          <w:spacing w:val="0"/>
          <w:w w:val="100"/>
          <w:kern w:val="0"/>
          <w:position w:val="0"/>
          <w:sz w:val="24"/>
          <w:szCs w:val="24"/>
          <w:u w:val="none" w:color="auto"/>
        </w:rPr>
        <w:t>工程提高枯水期河道生态需水满足程度。水库蓄水后，结合库周污染源治理，水库水质得到改善。工程通过采取有效的水土保持措施，可恢复植被，美化环境，创造良好的生态环境，为当地经济发展创造良好的条件</w:t>
      </w:r>
      <w:r>
        <w:rPr>
          <w:rFonts w:hint="default" w:ascii="Times New Roman" w:hAnsi="Times New Roman" w:eastAsia="宋体" w:cs="Times New Roman"/>
          <w:caps w:val="0"/>
          <w:smallCaps w:val="0"/>
          <w:color w:val="FF0000"/>
          <w:spacing w:val="0"/>
          <w:w w:val="100"/>
          <w:kern w:val="0"/>
          <w:position w:val="0"/>
          <w:sz w:val="24"/>
          <w:szCs w:val="24"/>
          <w:u w:val="none" w:color="auto"/>
        </w:rPr>
        <w:t>。</w:t>
      </w:r>
    </w:p>
    <w:p w14:paraId="376366F0">
      <w:pPr>
        <w:pStyle w:val="3"/>
        <w:bidi w:val="0"/>
        <w:rPr>
          <w:rFonts w:hint="default" w:ascii="Times New Roman" w:hAnsi="Times New Roman" w:cs="Times New Roman"/>
        </w:rPr>
      </w:pPr>
      <w:r>
        <w:rPr>
          <w:rFonts w:hint="default" w:ascii="Times New Roman" w:hAnsi="Times New Roman" w:cs="Times New Roman"/>
        </w:rPr>
        <w:t xml:space="preserve"> </w:t>
      </w:r>
      <w:bookmarkStart w:id="360" w:name="_Toc17899"/>
      <w:r>
        <w:rPr>
          <w:rFonts w:hint="default" w:ascii="Times New Roman" w:hAnsi="Times New Roman" w:cs="Times New Roman"/>
        </w:rPr>
        <w:t>环境</w:t>
      </w:r>
      <w:r>
        <w:rPr>
          <w:rFonts w:hint="eastAsia" w:ascii="Times New Roman" w:hAnsi="Times New Roman" w:cs="Times New Roman"/>
          <w:lang w:eastAsia="zh-CN"/>
        </w:rPr>
        <w:t>损失</w:t>
      </w:r>
      <w:r>
        <w:rPr>
          <w:rFonts w:hint="default" w:ascii="Times New Roman" w:hAnsi="Times New Roman" w:cs="Times New Roman"/>
        </w:rPr>
        <w:t>分析</w:t>
      </w:r>
      <w:bookmarkEnd w:id="360"/>
    </w:p>
    <w:p w14:paraId="5D195E76">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aps w:val="0"/>
          <w:smallCaps w:val="0"/>
          <w:color w:val="auto"/>
          <w:spacing w:val="0"/>
          <w:w w:val="100"/>
          <w:position w:val="0"/>
          <w:sz w:val="24"/>
          <w:szCs w:val="28"/>
          <w:u w:val="none" w:color="auto"/>
          <w:lang w:eastAsia="zh-CN"/>
        </w:rPr>
      </w:pPr>
      <w:r>
        <w:rPr>
          <w:rFonts w:hint="default" w:ascii="Times New Roman" w:hAnsi="Times New Roman" w:eastAsia="宋体" w:cs="Times New Roman"/>
          <w:caps w:val="0"/>
          <w:smallCaps w:val="0"/>
          <w:color w:val="auto"/>
          <w:spacing w:val="0"/>
          <w:w w:val="100"/>
          <w:position w:val="0"/>
          <w:sz w:val="24"/>
          <w:szCs w:val="28"/>
          <w:u w:val="none" w:color="auto"/>
          <w:lang w:eastAsia="zh-CN"/>
        </w:rPr>
        <w:t>（</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1</w:t>
      </w:r>
      <w:r>
        <w:rPr>
          <w:rFonts w:hint="default" w:ascii="Times New Roman" w:hAnsi="Times New Roman" w:eastAsia="宋体" w:cs="Times New Roman"/>
          <w:caps w:val="0"/>
          <w:smallCaps w:val="0"/>
          <w:color w:val="auto"/>
          <w:spacing w:val="0"/>
          <w:w w:val="100"/>
          <w:position w:val="0"/>
          <w:sz w:val="24"/>
          <w:szCs w:val="28"/>
          <w:u w:val="none" w:color="auto"/>
          <w:lang w:eastAsia="zh-CN"/>
        </w:rPr>
        <w:t>）</w:t>
      </w:r>
      <w:r>
        <w:rPr>
          <w:rFonts w:hint="default" w:ascii="Times New Roman" w:hAnsi="Times New Roman" w:eastAsia="宋体" w:cs="Times New Roman"/>
          <w:caps w:val="0"/>
          <w:smallCaps w:val="0"/>
          <w:color w:val="auto"/>
          <w:spacing w:val="0"/>
          <w:w w:val="100"/>
          <w:position w:val="0"/>
          <w:sz w:val="24"/>
          <w:szCs w:val="28"/>
          <w:u w:val="none" w:color="auto"/>
        </w:rPr>
        <w:t>水质</w:t>
      </w:r>
      <w:r>
        <w:rPr>
          <w:rFonts w:hint="eastAsia" w:ascii="Times New Roman" w:hAnsi="Times New Roman" w:eastAsia="宋体" w:cs="Times New Roman"/>
          <w:caps w:val="0"/>
          <w:smallCaps w:val="0"/>
          <w:color w:val="auto"/>
          <w:spacing w:val="0"/>
          <w:w w:val="100"/>
          <w:position w:val="0"/>
          <w:sz w:val="24"/>
          <w:szCs w:val="28"/>
          <w:u w:val="none" w:color="auto"/>
          <w:lang w:eastAsia="zh-CN"/>
        </w:rPr>
        <w:t>影响</w:t>
      </w:r>
    </w:p>
    <w:p w14:paraId="78196FFB">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8"/>
          <w:u w:val="none" w:color="auto"/>
        </w:rPr>
      </w:pPr>
      <w:r>
        <w:rPr>
          <w:rFonts w:hint="default" w:ascii="Times New Roman" w:hAnsi="Times New Roman" w:eastAsia="宋体" w:cs="Times New Roman"/>
          <w:caps w:val="0"/>
          <w:smallCaps w:val="0"/>
          <w:color w:val="auto"/>
          <w:spacing w:val="0"/>
          <w:w w:val="100"/>
          <w:position w:val="0"/>
          <w:sz w:val="24"/>
          <w:szCs w:val="28"/>
          <w:u w:val="none" w:color="auto"/>
        </w:rPr>
        <w:t>工程施工期间，土石方开挖、混凝土养护废水、施工机械</w:t>
      </w:r>
      <w:r>
        <w:rPr>
          <w:rFonts w:hint="default" w:ascii="Times New Roman" w:hAnsi="Times New Roman" w:eastAsia="宋体" w:cs="Times New Roman"/>
          <w:caps w:val="0"/>
          <w:smallCaps w:val="0"/>
          <w:color w:val="auto"/>
          <w:spacing w:val="0"/>
          <w:w w:val="100"/>
          <w:position w:val="0"/>
          <w:sz w:val="24"/>
          <w:szCs w:val="28"/>
          <w:u w:val="none" w:color="auto"/>
          <w:lang w:eastAsia="zh-CN"/>
        </w:rPr>
        <w:t>清洗废</w:t>
      </w:r>
      <w:r>
        <w:rPr>
          <w:rFonts w:hint="default" w:ascii="Times New Roman" w:hAnsi="Times New Roman" w:eastAsia="宋体" w:cs="Times New Roman"/>
          <w:caps w:val="0"/>
          <w:smallCaps w:val="0"/>
          <w:color w:val="auto"/>
          <w:spacing w:val="0"/>
          <w:w w:val="100"/>
          <w:position w:val="0"/>
          <w:sz w:val="24"/>
          <w:szCs w:val="28"/>
          <w:u w:val="none" w:color="auto"/>
        </w:rPr>
        <w:t>水若处理处置不当，可能会对现有库区水质产生一定的污染。</w:t>
      </w:r>
    </w:p>
    <w:p w14:paraId="6E8046E4">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8"/>
          <w:u w:val="none" w:color="auto"/>
        </w:rPr>
      </w:pPr>
      <w:r>
        <w:rPr>
          <w:rFonts w:hint="default" w:ascii="Times New Roman" w:hAnsi="Times New Roman" w:eastAsia="宋体" w:cs="Times New Roman"/>
          <w:caps w:val="0"/>
          <w:smallCaps w:val="0"/>
          <w:color w:val="auto"/>
          <w:spacing w:val="0"/>
          <w:w w:val="100"/>
          <w:position w:val="0"/>
          <w:sz w:val="24"/>
          <w:szCs w:val="28"/>
          <w:u w:val="none" w:color="auto"/>
          <w:lang w:eastAsia="zh-CN"/>
        </w:rPr>
        <w:t>（</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2</w:t>
      </w:r>
      <w:r>
        <w:rPr>
          <w:rFonts w:hint="default" w:ascii="Times New Roman" w:hAnsi="Times New Roman" w:eastAsia="宋体" w:cs="Times New Roman"/>
          <w:caps w:val="0"/>
          <w:smallCaps w:val="0"/>
          <w:color w:val="auto"/>
          <w:spacing w:val="0"/>
          <w:w w:val="100"/>
          <w:position w:val="0"/>
          <w:sz w:val="24"/>
          <w:szCs w:val="28"/>
          <w:u w:val="none" w:color="auto"/>
          <w:lang w:eastAsia="zh-CN"/>
        </w:rPr>
        <w:t>）</w:t>
      </w:r>
      <w:r>
        <w:rPr>
          <w:rFonts w:hint="default" w:ascii="Times New Roman" w:hAnsi="Times New Roman" w:eastAsia="宋体" w:cs="Times New Roman"/>
          <w:caps w:val="0"/>
          <w:smallCaps w:val="0"/>
          <w:color w:val="auto"/>
          <w:spacing w:val="0"/>
          <w:w w:val="100"/>
          <w:position w:val="0"/>
          <w:sz w:val="24"/>
          <w:szCs w:val="28"/>
          <w:u w:val="none" w:color="auto"/>
        </w:rPr>
        <w:t>对周边环境及人群健康的影响</w:t>
      </w:r>
    </w:p>
    <w:p w14:paraId="328073C1">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8"/>
          <w:u w:val="none" w:color="auto"/>
        </w:rPr>
      </w:pPr>
      <w:r>
        <w:rPr>
          <w:rFonts w:hint="default" w:ascii="Times New Roman" w:hAnsi="Times New Roman" w:eastAsia="宋体" w:cs="Times New Roman"/>
          <w:caps w:val="0"/>
          <w:smallCaps w:val="0"/>
          <w:color w:val="auto"/>
          <w:spacing w:val="0"/>
          <w:w w:val="100"/>
          <w:position w:val="0"/>
          <w:sz w:val="24"/>
          <w:szCs w:val="28"/>
          <w:u w:val="none" w:color="auto"/>
        </w:rPr>
        <w:t>由于工程施工期施工区人员高度集中，在工程</w:t>
      </w:r>
      <w:r>
        <w:rPr>
          <w:rFonts w:hint="default" w:ascii="Times New Roman" w:hAnsi="Times New Roman" w:eastAsia="宋体" w:cs="Times New Roman"/>
          <w:caps w:val="0"/>
          <w:smallCaps w:val="0"/>
          <w:color w:val="auto"/>
          <w:spacing w:val="0"/>
          <w:w w:val="100"/>
          <w:position w:val="0"/>
          <w:sz w:val="24"/>
          <w:szCs w:val="28"/>
          <w:u w:val="none" w:color="auto"/>
          <w:lang w:eastAsia="zh-CN"/>
        </w:rPr>
        <w:t>建设</w:t>
      </w:r>
      <w:r>
        <w:rPr>
          <w:rFonts w:hint="default" w:ascii="Times New Roman" w:hAnsi="Times New Roman" w:eastAsia="宋体" w:cs="Times New Roman"/>
          <w:caps w:val="0"/>
          <w:smallCaps w:val="0"/>
          <w:color w:val="auto"/>
          <w:spacing w:val="0"/>
          <w:w w:val="100"/>
          <w:position w:val="0"/>
          <w:sz w:val="24"/>
          <w:szCs w:val="28"/>
          <w:u w:val="none" w:color="auto"/>
        </w:rPr>
        <w:t>过程中所产生的废水、废气、废渣将对局部环境产生不利影响。生活垃圾堆放破坏环境卫生，影响施工人员身体健康，人口密度的增加可能使传染病的发病率上升。</w:t>
      </w:r>
    </w:p>
    <w:p w14:paraId="3C852383">
      <w:pPr>
        <w:keepNext w:val="0"/>
        <w:keepLines w:val="0"/>
        <w:pageBreakBefore w:val="0"/>
        <w:widowControl w:val="0"/>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position w:val="0"/>
          <w:sz w:val="24"/>
          <w:szCs w:val="28"/>
          <w:u w:val="none" w:color="auto"/>
        </w:rPr>
      </w:pPr>
      <w:r>
        <w:rPr>
          <w:rFonts w:hint="default" w:ascii="Times New Roman" w:hAnsi="Times New Roman" w:eastAsia="宋体" w:cs="Times New Roman"/>
          <w:caps w:val="0"/>
          <w:smallCaps w:val="0"/>
          <w:color w:val="auto"/>
          <w:spacing w:val="0"/>
          <w:w w:val="100"/>
          <w:position w:val="0"/>
          <w:sz w:val="24"/>
          <w:szCs w:val="28"/>
          <w:u w:val="none" w:color="auto"/>
          <w:lang w:eastAsia="zh-CN"/>
        </w:rPr>
        <w:t>（</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3</w:t>
      </w:r>
      <w:r>
        <w:rPr>
          <w:rFonts w:hint="default" w:ascii="Times New Roman" w:hAnsi="Times New Roman" w:eastAsia="宋体" w:cs="Times New Roman"/>
          <w:caps w:val="0"/>
          <w:smallCaps w:val="0"/>
          <w:color w:val="auto"/>
          <w:spacing w:val="0"/>
          <w:w w:val="100"/>
          <w:position w:val="0"/>
          <w:sz w:val="24"/>
          <w:szCs w:val="28"/>
          <w:u w:val="none" w:color="auto"/>
          <w:lang w:eastAsia="zh-CN"/>
        </w:rPr>
        <w:t>）</w:t>
      </w:r>
      <w:r>
        <w:rPr>
          <w:rFonts w:hint="default" w:ascii="Times New Roman" w:hAnsi="Times New Roman" w:eastAsia="宋体" w:cs="Times New Roman"/>
          <w:caps w:val="0"/>
          <w:smallCaps w:val="0"/>
          <w:color w:val="auto"/>
          <w:spacing w:val="0"/>
          <w:w w:val="100"/>
          <w:position w:val="0"/>
          <w:sz w:val="24"/>
          <w:szCs w:val="28"/>
          <w:u w:val="none" w:color="auto"/>
        </w:rPr>
        <w:t>对水土保持的影响</w:t>
      </w:r>
    </w:p>
    <w:p w14:paraId="6994A569">
      <w:pPr>
        <w:keepNext w:val="0"/>
        <w:keepLines w:val="0"/>
        <w:pageBreakBefore w:val="0"/>
        <w:widowControl w:val="0"/>
        <w:overflowPunct/>
        <w:autoSpaceDE/>
        <w:autoSpaceDN/>
        <w:bidi w:val="0"/>
        <w:adjustRightInd/>
        <w:snapToGrid/>
        <w:spacing w:line="360" w:lineRule="auto"/>
        <w:ind w:left="0" w:right="0" w:firstLine="480"/>
        <w:textAlignment w:val="auto"/>
        <w:rPr>
          <w:rFonts w:hint="default" w:ascii="Times New Roman" w:hAnsi="Times New Roman" w:eastAsia="宋体" w:cs="Times New Roman"/>
          <w:caps w:val="0"/>
          <w:smallCaps w:val="0"/>
          <w:color w:val="auto"/>
          <w:spacing w:val="0"/>
          <w:w w:val="100"/>
          <w:position w:val="0"/>
          <w:sz w:val="24"/>
          <w:szCs w:val="28"/>
          <w:u w:val="none" w:color="auto"/>
          <w:lang w:val="en-US" w:eastAsia="zh-CN"/>
        </w:rPr>
      </w:pP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工程建设过程中开挖和回填均可能造成水土流失，若不及时采取有效的防护措施，将对工程施工带来不利影响。工程建设共扰动地表面积5</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.24</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hm</w:t>
      </w:r>
      <w:r>
        <w:rPr>
          <w:rFonts w:hint="default" w:ascii="Times New Roman" w:hAnsi="Times New Roman" w:eastAsia="宋体" w:cs="Times New Roman"/>
          <w:caps w:val="0"/>
          <w:smallCaps w:val="0"/>
          <w:color w:val="auto"/>
          <w:spacing w:val="0"/>
          <w:w w:val="100"/>
          <w:position w:val="0"/>
          <w:sz w:val="24"/>
          <w:szCs w:val="28"/>
          <w:u w:val="none" w:color="auto"/>
          <w:vertAlign w:val="superscript"/>
          <w:lang w:val="en-US" w:eastAsia="zh-CN"/>
        </w:rPr>
        <w:t>2</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，本项目建设范围内可能产生的水土流失总量为192.06t, 总流失量中施工期水土流失量为357.39t，自然恢复期流失量5.35t。</w:t>
      </w:r>
    </w:p>
    <w:p w14:paraId="6C9D8BE4">
      <w:pPr>
        <w:pStyle w:val="3"/>
        <w:bidi w:val="0"/>
        <w:rPr>
          <w:rFonts w:hint="default"/>
          <w:lang w:eastAsia="zh-CN"/>
        </w:rPr>
      </w:pPr>
      <w:bookmarkStart w:id="361" w:name="_Toc507"/>
      <w:r>
        <w:rPr>
          <w:rFonts w:hint="default"/>
        </w:rPr>
        <w:t>环境</w:t>
      </w:r>
      <w:r>
        <w:rPr>
          <w:rFonts w:hint="default"/>
          <w:lang w:val="en-US" w:eastAsia="zh-CN"/>
        </w:rPr>
        <w:t>损</w:t>
      </w:r>
      <w:r>
        <w:rPr>
          <w:rFonts w:hint="eastAsia"/>
          <w:lang w:val="en-US" w:eastAsia="zh-CN"/>
        </w:rPr>
        <w:t>益分析结论</w:t>
      </w:r>
      <w:bookmarkEnd w:id="361"/>
    </w:p>
    <w:p w14:paraId="3C3E2D2F">
      <w:pPr>
        <w:keepNext w:val="0"/>
        <w:keepLines w:val="0"/>
        <w:pageBreakBefore w:val="0"/>
        <w:widowControl w:val="0"/>
        <w:overflowPunct/>
        <w:autoSpaceDE/>
        <w:autoSpaceDN/>
        <w:bidi w:val="0"/>
        <w:adjustRightInd/>
        <w:snapToGrid/>
        <w:spacing w:line="360" w:lineRule="auto"/>
        <w:ind w:left="0" w:right="0" w:firstLine="480"/>
        <w:textAlignment w:val="auto"/>
        <w:rPr>
          <w:rFonts w:hint="default" w:ascii="Times New Roman" w:hAnsi="Times New Roman" w:eastAsia="宋体" w:cs="Times New Roman"/>
          <w:caps w:val="0"/>
          <w:smallCaps w:val="0"/>
          <w:color w:val="auto"/>
          <w:spacing w:val="0"/>
          <w:w w:val="100"/>
          <w:position w:val="0"/>
          <w:sz w:val="24"/>
          <w:szCs w:val="28"/>
          <w:u w:val="none" w:color="auto"/>
          <w:lang w:val="en-US" w:eastAsia="zh-CN"/>
        </w:rPr>
      </w:pP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本工程的实施对当地的环境会产生短期的不利影响，但可通过适当的环境保护措施可</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尽量</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减</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小对环境的影响</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；同时项目的实施具有显著的经济效益、社会效益，水库工程建成后大大改善了当地</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灌溉、</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供水</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、防洪</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条件，</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为下游</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 xml:space="preserve">工农业生产和人民生命财产提供可靠保障，对该地区的生态环境的良性循环和社会经济的发展将起积极的促进作用。综合来说，项目产生的环境效益大于环境损失，因此从环境影响经济损益角度分析，工程建设是可行的。 </w:t>
      </w:r>
    </w:p>
    <w:p w14:paraId="05F8AFE0">
      <w:pPr>
        <w:keepNext w:val="0"/>
        <w:keepLines w:val="0"/>
        <w:pageBreakBefore w:val="0"/>
        <w:widowControl w:val="0"/>
        <w:overflowPunct/>
        <w:autoSpaceDE/>
        <w:autoSpaceDN/>
        <w:bidi w:val="0"/>
        <w:adjustRightInd/>
        <w:snapToGrid/>
        <w:spacing w:line="360" w:lineRule="auto"/>
        <w:ind w:left="0" w:right="0" w:firstLine="480"/>
        <w:textAlignment w:val="auto"/>
        <w:rPr>
          <w:rFonts w:hint="default" w:ascii="Times New Roman" w:hAnsi="Times New Roman" w:eastAsia="宋体" w:cs="Times New Roman"/>
          <w:caps w:val="0"/>
          <w:smallCaps w:val="0"/>
          <w:color w:val="auto"/>
          <w:spacing w:val="0"/>
          <w:w w:val="100"/>
          <w:position w:val="0"/>
          <w:sz w:val="24"/>
          <w:szCs w:val="28"/>
          <w:u w:val="none" w:color="auto"/>
          <w:lang w:val="en-US" w:eastAsia="zh-CN"/>
        </w:rPr>
      </w:pPr>
    </w:p>
    <w:p w14:paraId="7F172EAC">
      <w:pPr>
        <w:pStyle w:val="2"/>
        <w:bidi w:val="0"/>
        <w:rPr>
          <w:rFonts w:hint="default"/>
        </w:rPr>
      </w:pPr>
      <w:bookmarkStart w:id="362" w:name="_Toc14845"/>
      <w:r>
        <w:rPr>
          <w:rFonts w:hint="default"/>
        </w:rPr>
        <w:t>环境管理与监测计划</w:t>
      </w:r>
      <w:bookmarkEnd w:id="362"/>
    </w:p>
    <w:p w14:paraId="28927AE1">
      <w:pPr>
        <w:pStyle w:val="3"/>
        <w:bidi w:val="0"/>
        <w:rPr>
          <w:rFonts w:hint="default" w:ascii="Times New Roman" w:hAnsi="Times New Roman" w:cs="Times New Roman"/>
        </w:rPr>
      </w:pPr>
      <w:bookmarkStart w:id="363" w:name="_Toc18191"/>
      <w:r>
        <w:rPr>
          <w:rFonts w:hint="default" w:ascii="Times New Roman" w:hAnsi="Times New Roman" w:cs="Times New Roman"/>
        </w:rPr>
        <w:t>环境管理</w:t>
      </w:r>
      <w:bookmarkEnd w:id="363"/>
    </w:p>
    <w:p w14:paraId="3ED9440C">
      <w:pPr>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position w:val="0"/>
          <w:sz w:val="24"/>
          <w:szCs w:val="28"/>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为了充分发挥</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东山水库</w:t>
      </w:r>
      <w:r>
        <w:rPr>
          <w:rFonts w:hint="default" w:ascii="Times New Roman" w:hAnsi="Times New Roman" w:eastAsia="宋体" w:cs="Times New Roman"/>
          <w:caps w:val="0"/>
          <w:smallCaps w:val="0"/>
          <w:color w:val="auto"/>
          <w:spacing w:val="0"/>
          <w:w w:val="100"/>
          <w:kern w:val="0"/>
          <w:position w:val="0"/>
          <w:sz w:val="24"/>
          <w:szCs w:val="24"/>
          <w:u w:val="none" w:color="auto"/>
        </w:rPr>
        <w:t>的社会效益、经济效益和生态效益，保护施工区和库区的生态环境，发挥工程的有利影响，最大限度减免不利影响，使工程施工区、库区的生态环境呈良性循环，保证各项保护措施的落实，</w:t>
      </w:r>
      <w:r>
        <w:rPr>
          <w:rFonts w:hint="default" w:ascii="Times New Roman" w:hAnsi="Times New Roman" w:eastAsia="宋体" w:cs="Times New Roman"/>
          <w:caps w:val="0"/>
          <w:smallCaps w:val="0"/>
          <w:color w:val="auto"/>
          <w:spacing w:val="0"/>
          <w:w w:val="100"/>
          <w:position w:val="0"/>
          <w:sz w:val="24"/>
          <w:szCs w:val="28"/>
          <w:u w:val="none" w:color="auto"/>
        </w:rPr>
        <w:t>必须明确该项目的政府环境管理监督机构与建设单位环境管理机构的具体职责和分工，并建立有关管理制度。</w:t>
      </w:r>
    </w:p>
    <w:p w14:paraId="1D84D507">
      <w:pPr>
        <w:pStyle w:val="4"/>
        <w:bidi w:val="0"/>
        <w:rPr>
          <w:rFonts w:hint="default" w:ascii="Times New Roman" w:hAnsi="Times New Roman" w:cs="Times New Roman"/>
          <w:lang w:eastAsia="zh-CN"/>
        </w:rPr>
      </w:pPr>
      <w:bookmarkStart w:id="364" w:name="9.1.1施工期环境管理要求"/>
      <w:bookmarkEnd w:id="364"/>
      <w:bookmarkStart w:id="365" w:name="9.1.1施工期环境管理要求"/>
      <w:bookmarkEnd w:id="365"/>
      <w:bookmarkStart w:id="366" w:name="_Toc21378"/>
      <w:r>
        <w:rPr>
          <w:rFonts w:hint="eastAsia" w:ascii="Times New Roman" w:hAnsi="Times New Roman" w:cs="Times New Roman"/>
          <w:lang w:val="en-US" w:eastAsia="zh-CN"/>
        </w:rPr>
        <w:t>环境管理体系</w:t>
      </w:r>
      <w:bookmarkEnd w:id="366"/>
    </w:p>
    <w:p w14:paraId="455B0869">
      <w:pPr>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为了使工程环境保护措施得以切实有效的实施，达到工程建设与环境保护协调发展，必须建立完善的环境保护管理体系，以确保工程建设环境保护总体目标的实现，</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东山</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水库除险加固工程环境保护管理体系分为外部环境管理和内部环境管理两部分。 </w:t>
      </w:r>
    </w:p>
    <w:p w14:paraId="2939ED39">
      <w:pPr>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外部环境管理指各级地方环境保护行政主管部门根据国家相关的法律、法规，不定期的对</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东山</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水库除险加固工程环境保护工作进行检查、监督和指导，检查是否达到相应的环境保护标准与要求。 </w:t>
      </w:r>
    </w:p>
    <w:p w14:paraId="31198C59">
      <w:pPr>
        <w:pageBreakBefore w:val="0"/>
        <w:widowControl w:val="0"/>
        <w:kinsoku w:val="0"/>
        <w:wordWrap w:val="0"/>
        <w:overflowPunct/>
        <w:topLinePunct/>
        <w:autoSpaceDE/>
        <w:autoSpaceDN/>
        <w:bidi w:val="0"/>
        <w:adjustRightInd w:val="0"/>
        <w:snapToGrid/>
        <w:spacing w:line="360" w:lineRule="auto"/>
        <w:ind w:left="0" w:leftChars="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内部环境管理体系由工程建设单位、施工单位、专项环保措施承担单位、环境监理单位、环境监测单位和有关设计与科研单位组成，在工程建设单位领导下，全面落实本工程环境影响报告书提出的各项环境保护措施，保证达到国家建设项目环境保护要求与地方环境保护主管部门的要求</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p>
    <w:p w14:paraId="14E31C05">
      <w:pPr>
        <w:pStyle w:val="4"/>
        <w:bidi w:val="0"/>
      </w:pPr>
      <w:r>
        <w:rPr>
          <w:rFonts w:hint="eastAsia" w:ascii="Times New Roman" w:hAnsi="Times New Roman" w:cs="Times New Roman"/>
          <w:lang w:val="en-US" w:eastAsia="zh-CN"/>
        </w:rPr>
        <w:t xml:space="preserve"> </w:t>
      </w:r>
      <w:bookmarkStart w:id="367" w:name="_Toc23138"/>
      <w:r>
        <w:rPr>
          <w:rFonts w:hint="eastAsia" w:ascii="Times New Roman" w:hAnsi="Times New Roman" w:cs="Times New Roman"/>
          <w:lang w:val="en-US" w:eastAsia="zh-CN"/>
        </w:rPr>
        <w:t>环境</w:t>
      </w:r>
      <w:r>
        <w:rPr>
          <w:lang w:val="en-US" w:eastAsia="zh-CN"/>
        </w:rPr>
        <w:t>管理职责</w:t>
      </w:r>
      <w:bookmarkEnd w:id="367"/>
    </w:p>
    <w:p w14:paraId="503E9F82">
      <w:pPr>
        <w:pStyle w:val="5"/>
        <w:bidi w:val="0"/>
        <w:rPr>
          <w:rFonts w:hint="default"/>
          <w:lang w:eastAsia="zh-CN"/>
        </w:rPr>
      </w:pPr>
      <w:r>
        <w:rPr>
          <w:rFonts w:hint="default"/>
          <w:lang w:val="en-US" w:eastAsia="zh-CN"/>
        </w:rPr>
        <w:t>施工期</w:t>
      </w:r>
      <w:r>
        <w:rPr>
          <w:rFonts w:hint="default"/>
        </w:rPr>
        <w:t>环境管理</w:t>
      </w:r>
      <w:r>
        <w:rPr>
          <w:rFonts w:hint="eastAsia"/>
          <w:lang w:val="en-US" w:eastAsia="zh-CN"/>
        </w:rPr>
        <w:t>职责</w:t>
      </w:r>
    </w:p>
    <w:p w14:paraId="2A7D764A">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ascii="瀹嬩綋" w:hAnsi="瀹嬩綋" w:eastAsia="瀹嬩綋" w:cs="瀹嬩綋"/>
          <w:color w:val="000000"/>
          <w:kern w:val="0"/>
          <w:sz w:val="24"/>
          <w:szCs w:val="24"/>
          <w:lang w:val="en-US" w:eastAsia="zh-CN" w:bidi="ar"/>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1）建设单位 </w:t>
      </w:r>
    </w:p>
    <w:p w14:paraId="046C31DF">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工程开工前建设单位设置“环境保护领导小组”和“环境保护办公室”。“环境保护领导小组”成员由建设单位、监理单位、设计单位及施工单位等各有关单位的主要领导组成，其中建设单位主要领导任主要负责人，负责确定工程环保方针、审查项目环境目标和指标、审批环保项目立项和投资投入报告、审批环保项目实施方案和管理方案、检查环境管理业绩、培养职工环境保护意识等工作。 </w:t>
      </w:r>
    </w:p>
    <w:p w14:paraId="025FBE14">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“环境保护办公室”为工程施工期“环境保护领导小组”的常设办事机构，设专职人员2人。具体负责和落实工程建设过程中环境保护管理工作，其主要职责包括： </w:t>
      </w:r>
    </w:p>
    <w:p w14:paraId="60820281">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①通过开展调查研究，确定适合本工程的环境保护方针和经济技术政策，确立环境保护目标，并结合工程施工方案予以分解； </w:t>
      </w:r>
    </w:p>
    <w:p w14:paraId="6D537122">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②制定、贯彻工程环境保护的有关规定、办法、细则，并处理执行过程中的有关事宜； </w:t>
      </w:r>
    </w:p>
    <w:p w14:paraId="36700F28">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③组织编制工程环境保护总体规划和年度计划，组织规划和计划的全面实施，做好环境保护年度预决算，配合财务部门对环境保护资金进行计划管理； </w:t>
      </w:r>
    </w:p>
    <w:p w14:paraId="657D7008">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④委托进行环保专项设计，检查设计进度，组织设计成果的验收和审查，并保证各项环境保护措施的有效实施； </w:t>
      </w:r>
    </w:p>
    <w:p w14:paraId="4AF0E240">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⑤依照法律、规定和方法，对整个工程各项环境保护措施的实施情况进行监督和管理，实施环境质量一票否决制； </w:t>
      </w:r>
    </w:p>
    <w:p w14:paraId="70E5949A">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⑥协调各有关部门之间的关系，听取和处理各环境管理机构提交的有关事宜和汇报，不定期向上级环境保护行政主管部门汇报工作； </w:t>
      </w:r>
    </w:p>
    <w:p w14:paraId="11A5767F">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⑦督促承包商环境管理机构的工作，内部处理环境违法、违规行为，表彰先进事迹； </w:t>
      </w:r>
    </w:p>
    <w:p w14:paraId="60663BF6">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⑧检查督促接受委托的环境监测部门监测工作的正常实施，加强环境信息统计，建立环境资料数据库； </w:t>
      </w:r>
    </w:p>
    <w:p w14:paraId="1B8A4F06">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⑨完善内部规章制度，搞好环境管理的日常工作，作好档案、资料收集、整理等工作。 </w:t>
      </w:r>
    </w:p>
    <w:p w14:paraId="42D1AE01">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（2）施工单位 </w:t>
      </w:r>
    </w:p>
    <w:p w14:paraId="5016AA66">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施工期的废污水处理、声环境保护、环境空气保护、固体废物处理、生态环境保护等环境保护费用由施工单位承担，并在招标文件中明确。施工单位应确保措施到位，落实相关费用。 </w:t>
      </w:r>
    </w:p>
    <w:p w14:paraId="1EE776BF">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各施工承包单位在进场后均设置“环境保护办公室”，设专职人员1~2人，实施工程招标文件中或设计文件中规定的环境保护对策措施，及时处理施工过程中出现的环境问题，接受有关部门对环保工作的监督和管理。主要包括以下内容工作： </w:t>
      </w:r>
    </w:p>
    <w:p w14:paraId="36E2D9DB">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①制定环境保护年度工作计划和编写环境保护工作月、季及年度工作报告； </w:t>
      </w:r>
    </w:p>
    <w:p w14:paraId="45683171">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②检查所承担的环保设施的建设进度、质量及运行、检测情况，处理实施过程中的有关问题； </w:t>
      </w:r>
    </w:p>
    <w:p w14:paraId="1566E0DE">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③核算年度环境保护经费的使用情况； </w:t>
      </w:r>
    </w:p>
    <w:p w14:paraId="74FE10C2">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④接受环保管理办公室和环境监理单位的监督，报告承包合同中环保条款的执行情况。 </w:t>
      </w:r>
    </w:p>
    <w:p w14:paraId="13CBC39F">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（3）监理单位</w:t>
      </w:r>
    </w:p>
    <w:p w14:paraId="0030EB50">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本工程环境监理纳入工程监理的范围，成立工程环境监理部，参与工程环境管理。 </w:t>
      </w:r>
    </w:p>
    <w:p w14:paraId="1C82D3FD">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（4）设计单位 </w:t>
      </w:r>
    </w:p>
    <w:p w14:paraId="54004733">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根据国家法律法规、环境保护主管部门要求、环境影响报告书和批复等有关文件，从环境保护角度优化工程设计，选用对环境影响小的设计方案，反馈于建设单位和施工单位。 </w:t>
      </w:r>
    </w:p>
    <w:p w14:paraId="48DF8A47">
      <w:pPr>
        <w:pStyle w:val="5"/>
        <w:bidi w:val="0"/>
        <w:rPr>
          <w:rFonts w:hint="default"/>
          <w:lang w:val="en-US" w:eastAsia="zh-CN"/>
        </w:rPr>
      </w:pPr>
      <w:r>
        <w:rPr>
          <w:rFonts w:hint="default"/>
          <w:lang w:val="en-US" w:eastAsia="zh-CN"/>
        </w:rPr>
        <w:t>运行期环境管理职责</w:t>
      </w:r>
    </w:p>
    <w:p w14:paraId="28E790E1">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工程建成运行后，在工程管理部门中设置“环境保护办公室”，设兼职人员 1 人，具体负责和落实工程建成运行后的环境保护管理工作，其主要职责包括：</w:t>
      </w:r>
    </w:p>
    <w:p w14:paraId="72365EE1">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（1）根据相关的环境保护法律、法规及技术标准，确定工程运行期环境保护方针和环境保护目标，制定运行期环境保护管理办法； </w:t>
      </w:r>
    </w:p>
    <w:p w14:paraId="349C3056">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（2）负责与当地政府或生态主管部门进行沟通协调，落实相应河段水质监管、宣传措施及经费； </w:t>
      </w:r>
    </w:p>
    <w:p w14:paraId="17B76D29">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（3）负责落实环保经费及环境监测工作的正常实施；特别是做好环境信息统计； </w:t>
      </w:r>
    </w:p>
    <w:p w14:paraId="4309F741">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（4）协调处理运行期工程影响区出现的各项环境问题。 </w:t>
      </w:r>
      <w:r>
        <w:rPr>
          <w:rFonts w:ascii="榛戜綋" w:hAnsi="榛戜綋" w:eastAsia="榛戜綋" w:cs="榛戜綋"/>
          <w:color w:val="000000"/>
          <w:kern w:val="0"/>
          <w:sz w:val="24"/>
          <w:szCs w:val="24"/>
          <w:lang w:val="en-US" w:eastAsia="zh-CN" w:bidi="ar"/>
        </w:rPr>
        <w:t xml:space="preserve"> </w:t>
      </w:r>
    </w:p>
    <w:p w14:paraId="4E9CC6B6">
      <w:pPr>
        <w:pStyle w:val="3"/>
        <w:bidi w:val="0"/>
        <w:rPr>
          <w:rFonts w:hint="default" w:ascii="Times New Roman" w:hAnsi="Times New Roman" w:cs="Times New Roman"/>
        </w:rPr>
      </w:pPr>
      <w:bookmarkStart w:id="368" w:name="9.1.2运行期环境管理要求"/>
      <w:bookmarkEnd w:id="368"/>
      <w:bookmarkStart w:id="369" w:name="9.1.2运行期环境管理要求"/>
      <w:bookmarkEnd w:id="369"/>
      <w:bookmarkStart w:id="370" w:name="_Toc11146"/>
      <w:r>
        <w:rPr>
          <w:rFonts w:hint="default" w:ascii="Times New Roman" w:hAnsi="Times New Roman" w:cs="Times New Roman"/>
        </w:rPr>
        <w:t>环境监测</w:t>
      </w:r>
      <w:bookmarkEnd w:id="370"/>
    </w:p>
    <w:p w14:paraId="25F2CA0D">
      <w:pPr>
        <w:pStyle w:val="4"/>
        <w:bidi w:val="0"/>
        <w:rPr>
          <w:rFonts w:hint="default" w:ascii="Times New Roman" w:hAnsi="Times New Roman" w:cs="Times New Roman"/>
        </w:rPr>
      </w:pPr>
      <w:bookmarkStart w:id="371" w:name="_Toc1897"/>
      <w:r>
        <w:rPr>
          <w:rFonts w:hint="default" w:ascii="Times New Roman" w:hAnsi="Times New Roman" w:cs="Times New Roman"/>
        </w:rPr>
        <w:t>监测目的</w:t>
      </w:r>
      <w:bookmarkEnd w:id="371"/>
    </w:p>
    <w:p w14:paraId="5E2BFFD5">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环境监测包括施工期和营运期两个阶段，其目的是为了解工程建设对项目所在地区的环境质量变化程度及影响范围，营运期的环境质量动态，及时向主管部门反馈信息，为项目的环境管理提供科学依据。</w:t>
      </w:r>
    </w:p>
    <w:p w14:paraId="6567F7E2">
      <w:pPr>
        <w:pStyle w:val="4"/>
        <w:bidi w:val="0"/>
        <w:rPr>
          <w:rFonts w:hint="default" w:ascii="Times New Roman" w:hAnsi="Times New Roman" w:cs="Times New Roman"/>
        </w:rPr>
      </w:pPr>
      <w:bookmarkStart w:id="372" w:name="_Toc17337"/>
      <w:r>
        <w:rPr>
          <w:rFonts w:hint="default" w:ascii="Times New Roman" w:hAnsi="Times New Roman" w:cs="Times New Roman"/>
        </w:rPr>
        <w:t>施工期环境监测</w:t>
      </w:r>
      <w:bookmarkEnd w:id="372"/>
    </w:p>
    <w:p w14:paraId="482E5E64">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为了监督施工过程中各种环境措施的实施情况及运行效果，使施工环境管理更具针对性，掌握施工过程中各施工时段及每一施工区的环境质量状况及污染物排放情况，需要开展施工区环境监测。监测时段包括整个施工期，监测的环境因子包括水质、大气、噪声等。监测断面和测点布设及测次安排应能够系统地反映施工区从施工开始到工程</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结束</w:t>
      </w:r>
      <w:r>
        <w:rPr>
          <w:rFonts w:hint="default" w:ascii="Times New Roman" w:hAnsi="Times New Roman" w:eastAsia="宋体" w:cs="Times New Roman"/>
          <w:caps w:val="0"/>
          <w:smallCaps w:val="0"/>
          <w:color w:val="auto"/>
          <w:spacing w:val="0"/>
          <w:w w:val="100"/>
          <w:kern w:val="0"/>
          <w:position w:val="0"/>
          <w:sz w:val="24"/>
          <w:szCs w:val="24"/>
          <w:u w:val="none" w:color="auto"/>
        </w:rPr>
        <w:t>各个时期的污染源变化及施工区环境的变化情况，监测结果应准确、及时并具有较好的代表性，以便为施工区环境建设及环境监督管理提供科学依据。当施工区发生污染事故时，应开展追踪监测。</w:t>
      </w:r>
    </w:p>
    <w:p w14:paraId="6276FDB6">
      <w:pPr>
        <w:keepNext w:val="0"/>
        <w:keepLines w:val="0"/>
        <w:pageBreakBefore w:val="0"/>
        <w:widowControl w:val="0"/>
        <w:kinsoku w:val="0"/>
        <w:wordWrap w:val="0"/>
        <w:overflowPunct/>
        <w:topLinePunct/>
        <w:autoSpaceDE/>
        <w:autoSpaceDN/>
        <w:bidi w:val="0"/>
        <w:adjustRightInd w:val="0"/>
        <w:snapToGrid/>
        <w:spacing w:line="360" w:lineRule="auto"/>
        <w:ind w:left="0"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rPr>
      </w:pPr>
      <w:r>
        <w:rPr>
          <w:rFonts w:hint="default" w:ascii="Times New Roman" w:hAnsi="Times New Roman" w:eastAsia="宋体" w:cs="Times New Roman"/>
          <w:b/>
          <w:bCs/>
          <w:caps w:val="0"/>
          <w:smallCaps w:val="0"/>
          <w:color w:val="auto"/>
          <w:spacing w:val="0"/>
          <w:w w:val="100"/>
          <w:kern w:val="0"/>
          <w:position w:val="0"/>
          <w:sz w:val="24"/>
          <w:szCs w:val="24"/>
          <w:u w:val="none" w:color="auto"/>
        </w:rPr>
        <w:t>1</w:t>
      </w: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、大气</w:t>
      </w:r>
      <w:r>
        <w:rPr>
          <w:rFonts w:hint="eastAsia" w:ascii="Times New Roman" w:hAnsi="Times New Roman" w:eastAsia="宋体" w:cs="Times New Roman"/>
          <w:b/>
          <w:bCs/>
          <w:caps w:val="0"/>
          <w:smallCaps w:val="0"/>
          <w:color w:val="auto"/>
          <w:spacing w:val="0"/>
          <w:w w:val="100"/>
          <w:kern w:val="0"/>
          <w:position w:val="0"/>
          <w:sz w:val="24"/>
          <w:szCs w:val="24"/>
          <w:u w:val="none" w:color="auto"/>
          <w:lang w:val="en-US" w:eastAsia="zh-CN"/>
        </w:rPr>
        <w:t>环境</w:t>
      </w:r>
      <w:r>
        <w:rPr>
          <w:rFonts w:hint="default" w:ascii="Times New Roman" w:hAnsi="Times New Roman" w:eastAsia="宋体" w:cs="Times New Roman"/>
          <w:b/>
          <w:bCs/>
          <w:caps w:val="0"/>
          <w:smallCaps w:val="0"/>
          <w:color w:val="auto"/>
          <w:spacing w:val="0"/>
          <w:w w:val="100"/>
          <w:kern w:val="0"/>
          <w:position w:val="0"/>
          <w:sz w:val="24"/>
          <w:szCs w:val="24"/>
          <w:u w:val="none" w:color="auto"/>
        </w:rPr>
        <w:t>监测</w:t>
      </w:r>
    </w:p>
    <w:p w14:paraId="4C182320">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1）监测点位 </w:t>
      </w:r>
    </w:p>
    <w:p w14:paraId="01AB7A77">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施工区、仙鹅寺村各设</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个监测点</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共布设2个监测点</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p>
    <w:p w14:paraId="31D6726D">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2）监测项目 </w:t>
      </w:r>
    </w:p>
    <w:p w14:paraId="705EF6DB">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TSP。 </w:t>
      </w:r>
    </w:p>
    <w:p w14:paraId="55DCA831">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3）监测频次 </w:t>
      </w:r>
    </w:p>
    <w:p w14:paraId="3597E975">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施工期</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每季度监测1次，每次连续监测7天。</w:t>
      </w:r>
    </w:p>
    <w:p w14:paraId="10358D2E">
      <w:pPr>
        <w:keepNext w:val="0"/>
        <w:keepLines w:val="0"/>
        <w:pageBreakBefore w:val="0"/>
        <w:widowControl w:val="0"/>
        <w:kinsoku w:val="0"/>
        <w:wordWrap w:val="0"/>
        <w:overflowPunct/>
        <w:topLinePunct/>
        <w:autoSpaceDE/>
        <w:autoSpaceDN/>
        <w:bidi w:val="0"/>
        <w:adjustRightInd w:val="0"/>
        <w:snapToGrid/>
        <w:spacing w:line="360" w:lineRule="auto"/>
        <w:ind w:left="0"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2</w:t>
      </w: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b/>
          <w:bCs/>
          <w:caps w:val="0"/>
          <w:smallCaps w:val="0"/>
          <w:color w:val="auto"/>
          <w:spacing w:val="0"/>
          <w:w w:val="100"/>
          <w:kern w:val="0"/>
          <w:position w:val="0"/>
          <w:sz w:val="24"/>
          <w:szCs w:val="24"/>
          <w:u w:val="none" w:color="auto"/>
        </w:rPr>
        <w:t>地表水</w:t>
      </w:r>
      <w:r>
        <w:rPr>
          <w:rFonts w:hint="eastAsia" w:ascii="Times New Roman" w:hAnsi="Times New Roman" w:eastAsia="宋体" w:cs="Times New Roman"/>
          <w:b/>
          <w:bCs/>
          <w:caps w:val="0"/>
          <w:smallCaps w:val="0"/>
          <w:color w:val="auto"/>
          <w:spacing w:val="0"/>
          <w:w w:val="100"/>
          <w:kern w:val="0"/>
          <w:position w:val="0"/>
          <w:sz w:val="24"/>
          <w:szCs w:val="24"/>
          <w:u w:val="none" w:color="auto"/>
          <w:lang w:val="en-US" w:eastAsia="zh-CN"/>
        </w:rPr>
        <w:t>环境</w:t>
      </w:r>
      <w:r>
        <w:rPr>
          <w:rFonts w:hint="default" w:ascii="Times New Roman" w:hAnsi="Times New Roman" w:eastAsia="宋体" w:cs="Times New Roman"/>
          <w:b/>
          <w:bCs/>
          <w:caps w:val="0"/>
          <w:smallCaps w:val="0"/>
          <w:color w:val="auto"/>
          <w:spacing w:val="0"/>
          <w:w w:val="100"/>
          <w:kern w:val="0"/>
          <w:position w:val="0"/>
          <w:sz w:val="24"/>
          <w:szCs w:val="24"/>
          <w:u w:val="none" w:color="auto"/>
        </w:rPr>
        <w:t>监测</w:t>
      </w:r>
    </w:p>
    <w:p w14:paraId="09FF486D">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1）监测点位</w:t>
      </w:r>
    </w:p>
    <w:p w14:paraId="4B59CB09">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东山水库</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取水口</w:t>
      </w:r>
      <w:r>
        <w:rPr>
          <w:rFonts w:hint="default" w:ascii="Times New Roman" w:hAnsi="Times New Roman" w:eastAsia="宋体" w:cs="Times New Roman"/>
          <w:caps w:val="0"/>
          <w:smallCaps w:val="0"/>
          <w:color w:val="auto"/>
          <w:spacing w:val="0"/>
          <w:w w:val="100"/>
          <w:kern w:val="0"/>
          <w:position w:val="0"/>
          <w:sz w:val="24"/>
          <w:szCs w:val="24"/>
          <w:u w:val="none" w:color="auto"/>
        </w:rPr>
        <w:t>处设</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default" w:ascii="Times New Roman" w:hAnsi="Times New Roman" w:eastAsia="宋体" w:cs="Times New Roman"/>
          <w:caps w:val="0"/>
          <w:smallCaps w:val="0"/>
          <w:color w:val="auto"/>
          <w:spacing w:val="0"/>
          <w:w w:val="100"/>
          <w:kern w:val="0"/>
          <w:position w:val="0"/>
          <w:sz w:val="24"/>
          <w:szCs w:val="24"/>
          <w:u w:val="none" w:color="auto"/>
        </w:rPr>
        <w:t>个监测点</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共布设1个监测点。</w:t>
      </w:r>
    </w:p>
    <w:p w14:paraId="174A7523">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2）监测项目</w:t>
      </w:r>
    </w:p>
    <w:p w14:paraId="76BC4942">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pH、水温、悬浮物、溶解氧、化学需氧量、五日生化需氧量、高锰酸盐指数、氨氮、总氮、总磷、铜、锌、氟化物、硒、砷、汞、镉、铅、铬（六价）、氰化物、石油类、挥发酚、阴离子表面活性剂、硫化物、粪大肠菌群、硫酸盐、氯化物、硝酸盐、铁、锰等。 </w:t>
      </w:r>
    </w:p>
    <w:p w14:paraId="5285FAE9">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3）监测频次 </w:t>
      </w:r>
    </w:p>
    <w:p w14:paraId="579513B6">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施工期</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每季度监测1次，每次连续监测2天。 </w:t>
      </w:r>
    </w:p>
    <w:p w14:paraId="12CC0E11">
      <w:pPr>
        <w:keepNext w:val="0"/>
        <w:keepLines w:val="0"/>
        <w:pageBreakBefore w:val="0"/>
        <w:widowControl w:val="0"/>
        <w:kinsoku w:val="0"/>
        <w:wordWrap w:val="0"/>
        <w:overflowPunct/>
        <w:topLinePunct/>
        <w:autoSpaceDE/>
        <w:autoSpaceDN/>
        <w:bidi w:val="0"/>
        <w:adjustRightInd w:val="0"/>
        <w:snapToGrid/>
        <w:spacing w:line="360" w:lineRule="auto"/>
        <w:ind w:left="0"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rPr>
      </w:pPr>
      <w:r>
        <w:rPr>
          <w:rFonts w:hint="default" w:ascii="Times New Roman" w:hAnsi="Times New Roman" w:eastAsia="宋体" w:cs="Times New Roman"/>
          <w:b/>
          <w:bCs/>
          <w:caps w:val="0"/>
          <w:smallCaps w:val="0"/>
          <w:color w:val="auto"/>
          <w:spacing w:val="0"/>
          <w:w w:val="100"/>
          <w:kern w:val="0"/>
          <w:position w:val="0"/>
          <w:sz w:val="24"/>
          <w:szCs w:val="24"/>
          <w:u w:val="none" w:color="auto"/>
        </w:rPr>
        <w:t>3</w:t>
      </w:r>
      <w:r>
        <w:rPr>
          <w:rFonts w:hint="default" w:ascii="Times New Roman" w:hAnsi="Times New Roman" w:eastAsia="宋体" w:cs="Times New Roman"/>
          <w:b/>
          <w:bCs/>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b/>
          <w:bCs/>
          <w:caps w:val="0"/>
          <w:smallCaps w:val="0"/>
          <w:color w:val="auto"/>
          <w:spacing w:val="0"/>
          <w:w w:val="100"/>
          <w:kern w:val="0"/>
          <w:position w:val="0"/>
          <w:sz w:val="24"/>
          <w:szCs w:val="24"/>
          <w:u w:val="none" w:color="auto"/>
        </w:rPr>
        <w:t>噪声监测</w:t>
      </w:r>
    </w:p>
    <w:p w14:paraId="7AAB208C">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1）监测点位</w:t>
      </w:r>
    </w:p>
    <w:p w14:paraId="3AE3F8B0">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施工区、</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大坝下游</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仙鹅寺村</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居民点</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管理所东北侧</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仙鹅寺村</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居民点</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溢洪道南侧居民点、运输路线仙</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鹅寺村</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居民点</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各设</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个监测点</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共布设5个监测点</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p>
    <w:p w14:paraId="4108CB32">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2）监测项目</w:t>
      </w:r>
    </w:p>
    <w:p w14:paraId="02A1CFC1">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昼间、夜间等效 A 声级</w:t>
      </w:r>
    </w:p>
    <w:p w14:paraId="1CB86572">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 xml:space="preserve">3）监测频次 </w:t>
      </w:r>
    </w:p>
    <w:p w14:paraId="4ED78C9B">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每季度监测 1 次，每次连续监测 2 天。</w:t>
      </w:r>
    </w:p>
    <w:p w14:paraId="273819C2">
      <w:pPr>
        <w:keepNext w:val="0"/>
        <w:keepLines w:val="0"/>
        <w:pageBreakBefore w:val="0"/>
        <w:widowControl w:val="0"/>
        <w:kinsoku w:val="0"/>
        <w:wordWrap w:val="0"/>
        <w:overflowPunct/>
        <w:topLinePunct/>
        <w:autoSpaceDE/>
        <w:autoSpaceDN/>
        <w:bidi w:val="0"/>
        <w:adjustRightInd w:val="0"/>
        <w:snapToGrid/>
        <w:spacing w:line="360" w:lineRule="auto"/>
        <w:ind w:left="0"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b/>
          <w:bCs/>
          <w:caps w:val="0"/>
          <w:smallCaps w:val="0"/>
          <w:color w:val="auto"/>
          <w:spacing w:val="0"/>
          <w:w w:val="100"/>
          <w:kern w:val="0"/>
          <w:position w:val="0"/>
          <w:sz w:val="24"/>
          <w:szCs w:val="24"/>
          <w:u w:val="none" w:color="auto"/>
          <w:lang w:val="en-US" w:eastAsia="zh-CN"/>
        </w:rPr>
        <w:t>4</w:t>
      </w: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、生态调查与监测</w:t>
      </w:r>
    </w:p>
    <w:p w14:paraId="3AF2EF6D">
      <w:pPr>
        <w:keepNext w:val="0"/>
        <w:keepLines w:val="0"/>
        <w:pageBreakBefore w:val="0"/>
        <w:widowControl w:val="0"/>
        <w:kinsoku w:val="0"/>
        <w:wordWrap w:val="0"/>
        <w:overflowPunct/>
        <w:topLinePunct/>
        <w:autoSpaceDE/>
        <w:autoSpaceDN/>
        <w:bidi w:val="0"/>
        <w:adjustRightInd w:val="0"/>
        <w:snapToGrid/>
        <w:spacing w:line="360" w:lineRule="auto"/>
        <w:ind w:left="0"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（1）陆生生态</w:t>
      </w:r>
    </w:p>
    <w:p w14:paraId="2BCB356F">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b w:val="0"/>
          <w:bCs w:val="0"/>
          <w:caps w:val="0"/>
          <w:smallCaps w:val="0"/>
          <w:color w:val="auto"/>
          <w:spacing w:val="0"/>
          <w:w w:val="100"/>
          <w:kern w:val="0"/>
          <w:position w:val="0"/>
          <w:sz w:val="24"/>
          <w:szCs w:val="24"/>
          <w:u w:val="none" w:color="auto"/>
        </w:rPr>
      </w:pPr>
      <w:r>
        <w:rPr>
          <w:rFonts w:hint="default" w:ascii="Times New Roman" w:hAnsi="Times New Roman" w:eastAsia="宋体" w:cs="Times New Roman"/>
          <w:b w:val="0"/>
          <w:bCs w:val="0"/>
          <w:caps w:val="0"/>
          <w:smallCaps w:val="0"/>
          <w:color w:val="auto"/>
          <w:spacing w:val="0"/>
          <w:w w:val="100"/>
          <w:kern w:val="0"/>
          <w:position w:val="0"/>
          <w:sz w:val="24"/>
          <w:szCs w:val="24"/>
          <w:u w:val="none" w:color="auto"/>
        </w:rPr>
        <w:t>1）陆生植物调查</w:t>
      </w:r>
    </w:p>
    <w:p w14:paraId="38873020">
      <w:pPr>
        <w:spacing w:line="360" w:lineRule="auto"/>
        <w:ind w:firstLine="480" w:firstLineChars="20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主要包括施工区的植被特征、植被类型、覆盖率、生物多样性、生物量等，重点对施工临时占地、工程施工等活动破坏植被的程度，以及植被恢复措施的执行情况和效果等进行观测与调查。</w:t>
      </w:r>
    </w:p>
    <w:p w14:paraId="7F3C5B08">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b w:val="0"/>
          <w:bCs w:val="0"/>
          <w:caps w:val="0"/>
          <w:smallCaps w:val="0"/>
          <w:color w:val="auto"/>
          <w:spacing w:val="0"/>
          <w:w w:val="100"/>
          <w:kern w:val="0"/>
          <w:position w:val="0"/>
          <w:sz w:val="24"/>
          <w:szCs w:val="24"/>
          <w:u w:val="none" w:color="auto"/>
        </w:rPr>
      </w:pPr>
      <w:r>
        <w:rPr>
          <w:rFonts w:hint="default" w:ascii="Times New Roman" w:hAnsi="Times New Roman" w:eastAsia="宋体" w:cs="Times New Roman"/>
          <w:b w:val="0"/>
          <w:bCs w:val="0"/>
          <w:caps w:val="0"/>
          <w:smallCaps w:val="0"/>
          <w:color w:val="auto"/>
          <w:spacing w:val="0"/>
          <w:w w:val="100"/>
          <w:kern w:val="0"/>
          <w:position w:val="0"/>
          <w:sz w:val="24"/>
          <w:szCs w:val="24"/>
          <w:u w:val="none" w:color="auto"/>
        </w:rPr>
        <w:t>2）陆生动物调查</w:t>
      </w:r>
    </w:p>
    <w:p w14:paraId="18D07CEC">
      <w:pPr>
        <w:spacing w:line="360" w:lineRule="auto"/>
        <w:ind w:firstLine="480" w:firstLineChars="20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主要对施工区的两栖类、爬行类及鸟类的种类、分布、种群数量及其生境等进行观测与调查。</w:t>
      </w:r>
    </w:p>
    <w:p w14:paraId="1EB315A2">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b w:val="0"/>
          <w:bCs w:val="0"/>
          <w:caps w:val="0"/>
          <w:smallCaps w:val="0"/>
          <w:color w:val="auto"/>
          <w:spacing w:val="0"/>
          <w:w w:val="100"/>
          <w:kern w:val="0"/>
          <w:position w:val="0"/>
          <w:sz w:val="24"/>
          <w:szCs w:val="24"/>
          <w:u w:val="none" w:color="auto"/>
        </w:rPr>
      </w:pPr>
      <w:r>
        <w:rPr>
          <w:rFonts w:hint="default" w:ascii="Times New Roman" w:hAnsi="Times New Roman" w:eastAsia="宋体" w:cs="Times New Roman"/>
          <w:b w:val="0"/>
          <w:bCs w:val="0"/>
          <w:caps w:val="0"/>
          <w:smallCaps w:val="0"/>
          <w:color w:val="auto"/>
          <w:spacing w:val="0"/>
          <w:w w:val="100"/>
          <w:kern w:val="0"/>
          <w:position w:val="0"/>
          <w:sz w:val="24"/>
          <w:szCs w:val="24"/>
          <w:u w:val="none" w:color="auto"/>
        </w:rPr>
        <w:t>3）调查频次</w:t>
      </w:r>
    </w:p>
    <w:p w14:paraId="1E446099">
      <w:pPr>
        <w:spacing w:line="360" w:lineRule="auto"/>
        <w:ind w:firstLine="480" w:firstLineChars="200"/>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在施工高峰期进行一次生态调查。</w:t>
      </w:r>
    </w:p>
    <w:p w14:paraId="7A101E1A">
      <w:pPr>
        <w:keepNext w:val="0"/>
        <w:keepLines w:val="0"/>
        <w:pageBreakBefore w:val="0"/>
        <w:widowControl w:val="0"/>
        <w:kinsoku w:val="0"/>
        <w:wordWrap w:val="0"/>
        <w:overflowPunct/>
        <w:topLinePunct/>
        <w:autoSpaceDE/>
        <w:autoSpaceDN/>
        <w:bidi w:val="0"/>
        <w:adjustRightInd w:val="0"/>
        <w:snapToGrid/>
        <w:spacing w:line="360" w:lineRule="auto"/>
        <w:ind w:left="0"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（2）水生生态</w:t>
      </w:r>
    </w:p>
    <w:p w14:paraId="6CC93A21">
      <w:pPr>
        <w:widowControl w:val="0"/>
        <w:spacing w:line="360" w:lineRule="auto"/>
        <w:ind w:firstLine="480" w:firstLineChars="200"/>
        <w:jc w:val="both"/>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工程实施将对施工区及临近水域水生生态环境产生一定影响，为掌握工程建设前后评价区水生生物资源变化情况及发展趋势，拟开展水生生物资源监测。</w:t>
      </w:r>
    </w:p>
    <w:p w14:paraId="3836F4B4">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b w:val="0"/>
          <w:bCs w:val="0"/>
          <w:caps w:val="0"/>
          <w:smallCaps w:val="0"/>
          <w:color w:val="auto"/>
          <w:spacing w:val="0"/>
          <w:w w:val="100"/>
          <w:kern w:val="0"/>
          <w:position w:val="0"/>
          <w:sz w:val="24"/>
          <w:szCs w:val="24"/>
          <w:u w:val="none" w:color="auto"/>
        </w:rPr>
      </w:pPr>
      <w:r>
        <w:rPr>
          <w:rFonts w:hint="default" w:ascii="Times New Roman" w:hAnsi="Times New Roman" w:eastAsia="宋体" w:cs="Times New Roman"/>
          <w:b w:val="0"/>
          <w:bCs w:val="0"/>
          <w:caps w:val="0"/>
          <w:smallCaps w:val="0"/>
          <w:color w:val="auto"/>
          <w:spacing w:val="0"/>
          <w:w w:val="100"/>
          <w:kern w:val="0"/>
          <w:position w:val="0"/>
          <w:sz w:val="24"/>
          <w:szCs w:val="24"/>
          <w:u w:val="none" w:color="auto"/>
        </w:rPr>
        <w:t>1）监测内容</w:t>
      </w:r>
    </w:p>
    <w:p w14:paraId="095BF173">
      <w:pPr>
        <w:widowControl w:val="0"/>
        <w:spacing w:line="360" w:lineRule="auto"/>
        <w:ind w:firstLine="480" w:firstLineChars="200"/>
        <w:jc w:val="both"/>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浮游植物、浮游动物、底栖动物、水生维管束植物等饵料生物的种群结构、生物量及分布情况；鱼类种群结构、区系组成、资源量变化和分布，以及鱼类重要生境等情况。</w:t>
      </w:r>
    </w:p>
    <w:p w14:paraId="16028824">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b w:val="0"/>
          <w:bCs w:val="0"/>
          <w:caps w:val="0"/>
          <w:smallCaps w:val="0"/>
          <w:color w:val="auto"/>
          <w:spacing w:val="0"/>
          <w:w w:val="100"/>
          <w:kern w:val="0"/>
          <w:position w:val="0"/>
          <w:sz w:val="24"/>
          <w:szCs w:val="24"/>
          <w:u w:val="none" w:color="auto"/>
        </w:rPr>
      </w:pPr>
      <w:r>
        <w:rPr>
          <w:rFonts w:hint="default" w:ascii="Times New Roman" w:hAnsi="Times New Roman" w:eastAsia="宋体" w:cs="Times New Roman"/>
          <w:b w:val="0"/>
          <w:bCs w:val="0"/>
          <w:caps w:val="0"/>
          <w:smallCaps w:val="0"/>
          <w:color w:val="auto"/>
          <w:spacing w:val="0"/>
          <w:w w:val="100"/>
          <w:kern w:val="0"/>
          <w:position w:val="0"/>
          <w:sz w:val="24"/>
          <w:szCs w:val="24"/>
          <w:u w:val="none" w:color="auto"/>
        </w:rPr>
        <w:t>2）监测点位</w:t>
      </w:r>
    </w:p>
    <w:p w14:paraId="2C0A26E0">
      <w:pPr>
        <w:widowControl w:val="0"/>
        <w:spacing w:line="360" w:lineRule="auto"/>
        <w:ind w:firstLine="480" w:firstLineChars="200"/>
        <w:jc w:val="both"/>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设库区</w:t>
      </w:r>
      <w:r>
        <w:rPr>
          <w:rFonts w:hint="default" w:ascii="Times New Roman" w:hAnsi="Times New Roman" w:eastAsia="宋体" w:cs="Times New Roman"/>
          <w:color w:val="auto"/>
          <w:sz w:val="24"/>
          <w:szCs w:val="21"/>
          <w:lang w:val="en-US" w:eastAsia="zh-CN"/>
        </w:rPr>
        <w:t>坝前和库尾2</w:t>
      </w:r>
      <w:r>
        <w:rPr>
          <w:rFonts w:hint="default" w:ascii="Times New Roman" w:hAnsi="Times New Roman" w:eastAsia="宋体" w:cs="Times New Roman"/>
          <w:color w:val="auto"/>
          <w:sz w:val="24"/>
          <w:szCs w:val="21"/>
        </w:rPr>
        <w:t>处监测点位，鱼类资源调查以区间调查为主，不设固定断面。</w:t>
      </w:r>
    </w:p>
    <w:p w14:paraId="4B6EC885">
      <w:pPr>
        <w:keepNext w:val="0"/>
        <w:keepLines w:val="0"/>
        <w:pageBreakBefore w:val="0"/>
        <w:widowControl w:val="0"/>
        <w:kinsoku w:val="0"/>
        <w:wordWrap w:val="0"/>
        <w:overflowPunct/>
        <w:topLinePunct/>
        <w:autoSpaceDE/>
        <w:autoSpaceDN/>
        <w:bidi w:val="0"/>
        <w:adjustRightInd w:val="0"/>
        <w:snapToGrid/>
        <w:spacing w:line="360" w:lineRule="auto"/>
        <w:ind w:left="0" w:firstLine="480" w:firstLineChars="200"/>
        <w:textAlignment w:val="auto"/>
        <w:rPr>
          <w:rFonts w:hint="default" w:ascii="Times New Roman" w:hAnsi="Times New Roman" w:eastAsia="宋体" w:cs="Times New Roman"/>
          <w:b w:val="0"/>
          <w:bCs w:val="0"/>
          <w:caps w:val="0"/>
          <w:smallCaps w:val="0"/>
          <w:color w:val="auto"/>
          <w:spacing w:val="0"/>
          <w:w w:val="100"/>
          <w:kern w:val="0"/>
          <w:position w:val="0"/>
          <w:sz w:val="24"/>
          <w:szCs w:val="24"/>
          <w:u w:val="none" w:color="auto"/>
        </w:rPr>
      </w:pPr>
      <w:r>
        <w:rPr>
          <w:rFonts w:hint="default" w:ascii="Times New Roman" w:hAnsi="Times New Roman" w:eastAsia="宋体" w:cs="Times New Roman"/>
          <w:b w:val="0"/>
          <w:bCs w:val="0"/>
          <w:caps w:val="0"/>
          <w:smallCaps w:val="0"/>
          <w:color w:val="auto"/>
          <w:spacing w:val="0"/>
          <w:w w:val="100"/>
          <w:kern w:val="0"/>
          <w:position w:val="0"/>
          <w:sz w:val="24"/>
          <w:szCs w:val="24"/>
          <w:u w:val="none" w:color="auto"/>
        </w:rPr>
        <w:t>3）监测时间与频次</w:t>
      </w:r>
    </w:p>
    <w:p w14:paraId="30334D14">
      <w:pPr>
        <w:widowControl w:val="0"/>
        <w:spacing w:line="360" w:lineRule="auto"/>
        <w:ind w:firstLine="480" w:firstLineChars="200"/>
        <w:jc w:val="both"/>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rPr>
        <w:t>施工前和施工后年份各监测1次，共2次。其中，浮游生物、底栖动物、水生维管束植物监测在枯水期、丰水期分别进行；鱼类资源调查在主要繁殖期3～8月和越冬期12～2月分别进行。</w:t>
      </w:r>
    </w:p>
    <w:p w14:paraId="3229C0D0">
      <w:pPr>
        <w:pStyle w:val="4"/>
        <w:bidi w:val="0"/>
        <w:rPr>
          <w:rFonts w:hint="default" w:ascii="Times New Roman" w:hAnsi="Times New Roman" w:cs="Times New Roman"/>
        </w:rPr>
      </w:pPr>
      <w:bookmarkStart w:id="373" w:name="_Toc9525"/>
      <w:r>
        <w:rPr>
          <w:rFonts w:hint="default" w:ascii="Times New Roman" w:hAnsi="Times New Roman" w:cs="Times New Roman"/>
        </w:rPr>
        <w:t>营运期环境监测</w:t>
      </w:r>
      <w:bookmarkEnd w:id="373"/>
    </w:p>
    <w:p w14:paraId="1A1C3816">
      <w:pPr>
        <w:keepNext w:val="0"/>
        <w:keepLines w:val="0"/>
        <w:widowControl/>
        <w:suppressLineNumbers w:val="0"/>
        <w:spacing w:line="360" w:lineRule="auto"/>
        <w:ind w:firstLine="480" w:firstLineChars="200"/>
        <w:jc w:val="left"/>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bidi="ar-SA"/>
        </w:rPr>
      </w:pPr>
      <w:r>
        <w:rPr>
          <w:rFonts w:ascii="瀹嬩綋" w:hAnsi="瀹嬩綋" w:eastAsia="瀹嬩綋" w:cs="瀹嬩綋"/>
          <w:color w:val="auto"/>
          <w:kern w:val="0"/>
          <w:sz w:val="24"/>
          <w:szCs w:val="24"/>
          <w:lang w:val="en-US" w:eastAsia="zh-CN" w:bidi="ar"/>
        </w:rPr>
        <w:t>运营期</w:t>
      </w:r>
      <w:r>
        <w:rPr>
          <w:rFonts w:hint="eastAsia" w:ascii="瀹嬩綋" w:hAnsi="瀹嬩綋" w:eastAsia="瀹嬩綋" w:cs="瀹嬩綋"/>
          <w:color w:val="auto"/>
          <w:kern w:val="0"/>
          <w:sz w:val="24"/>
          <w:szCs w:val="24"/>
          <w:lang w:val="en-US" w:eastAsia="zh-CN" w:bidi="ar"/>
        </w:rPr>
        <w:t>东山</w:t>
      </w:r>
      <w:r>
        <w:rPr>
          <w:rFonts w:ascii="瀹嬩綋" w:hAnsi="瀹嬩綋" w:eastAsia="瀹嬩綋" w:cs="瀹嬩綋"/>
          <w:color w:val="auto"/>
          <w:kern w:val="0"/>
          <w:sz w:val="24"/>
          <w:szCs w:val="24"/>
          <w:lang w:val="en-US" w:eastAsia="zh-CN" w:bidi="ar"/>
        </w:rPr>
        <w:t>水库</w:t>
      </w:r>
      <w:r>
        <w:rPr>
          <w:rFonts w:hint="eastAsia" w:ascii="瀹嬩綋" w:hAnsi="瀹嬩綋" w:eastAsia="瀹嬩綋" w:cs="瀹嬩綋"/>
          <w:color w:val="auto"/>
          <w:kern w:val="0"/>
          <w:sz w:val="24"/>
          <w:szCs w:val="24"/>
          <w:lang w:val="en-US" w:eastAsia="zh-CN" w:bidi="ar"/>
        </w:rPr>
        <w:t>未设置</w:t>
      </w:r>
      <w:r>
        <w:rPr>
          <w:rFonts w:ascii="瀹嬩綋" w:hAnsi="瀹嬩綋" w:eastAsia="瀹嬩綋" w:cs="瀹嬩綋"/>
          <w:color w:val="auto"/>
          <w:kern w:val="0"/>
          <w:sz w:val="24"/>
          <w:szCs w:val="24"/>
          <w:lang w:val="en-US" w:eastAsia="zh-CN" w:bidi="ar"/>
        </w:rPr>
        <w:t>例行监测断面</w:t>
      </w:r>
      <w:r>
        <w:rPr>
          <w:rFonts w:hint="eastAsia" w:ascii="瀹嬩綋" w:hAnsi="瀹嬩綋" w:eastAsia="瀹嬩綋" w:cs="瀹嬩綋"/>
          <w:color w:val="auto"/>
          <w:kern w:val="0"/>
          <w:sz w:val="24"/>
          <w:szCs w:val="24"/>
          <w:lang w:val="en-US" w:eastAsia="zh-CN" w:bidi="ar"/>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bidi="ar-SA"/>
        </w:rPr>
        <w:t>东山水库作为饮用水源，</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bidi="ar-SA"/>
        </w:rPr>
        <w:t>建议</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bidi="ar-SA"/>
        </w:rPr>
        <w:t>按照生态环境管理部门职能由东山水库管理所委托有资质监测单位每年的丰水期、平水期和枯水期各进行一次水质监测，监测断面设置在水库库尾、库中及大坝取水口处。</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bidi="ar-SA"/>
        </w:rPr>
        <w:t>监测项目参照《</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bidi="ar-SA"/>
        </w:rPr>
        <w:t>地表水环境质量标准》（GB3838-2002）表1</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bidi="ar-SA"/>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bidi="ar-SA"/>
        </w:rPr>
        <w:t>表2和表3</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bidi="ar-SA"/>
        </w:rPr>
        <w:t>选取。</w:t>
      </w:r>
    </w:p>
    <w:p w14:paraId="2B3BF10A">
      <w:pPr>
        <w:pStyle w:val="3"/>
        <w:bidi w:val="0"/>
        <w:rPr>
          <w:rFonts w:hint="default"/>
        </w:rPr>
      </w:pPr>
      <w:bookmarkStart w:id="374" w:name="_Toc27370"/>
      <w:r>
        <w:rPr>
          <w:rFonts w:hint="default"/>
        </w:rPr>
        <w:t>环境保护竣工验收</w:t>
      </w:r>
      <w:bookmarkEnd w:id="374"/>
    </w:p>
    <w:p w14:paraId="3DF492D3">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8"/>
          <w:u w:val="none" w:color="auto"/>
        </w:rPr>
        <w:t>根据《建设项目竣工环境保护验收管理暂行办法》和《建设项目竣工环境保护验收技术规范 水利水电》</w:t>
      </w:r>
      <w:r>
        <w:rPr>
          <w:rFonts w:hint="default" w:ascii="Times New Roman" w:hAnsi="Times New Roman" w:eastAsia="宋体" w:cs="Times New Roman"/>
          <w:caps w:val="0"/>
          <w:smallCaps w:val="0"/>
          <w:color w:val="auto"/>
          <w:spacing w:val="0"/>
          <w:w w:val="100"/>
          <w:position w:val="0"/>
          <w:sz w:val="24"/>
          <w:szCs w:val="28"/>
          <w:u w:val="none" w:color="auto"/>
          <w:lang w:eastAsia="zh-CN"/>
        </w:rPr>
        <w:t>（</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HJ/T88-2003</w:t>
      </w:r>
      <w:r>
        <w:rPr>
          <w:rFonts w:hint="default" w:ascii="Times New Roman" w:hAnsi="Times New Roman" w:eastAsia="宋体" w:cs="Times New Roman"/>
          <w:caps w:val="0"/>
          <w:smallCaps w:val="0"/>
          <w:color w:val="auto"/>
          <w:spacing w:val="0"/>
          <w:w w:val="100"/>
          <w:position w:val="0"/>
          <w:sz w:val="24"/>
          <w:szCs w:val="28"/>
          <w:u w:val="none" w:color="auto"/>
          <w:lang w:eastAsia="zh-CN"/>
        </w:rPr>
        <w:t>）</w:t>
      </w:r>
      <w:r>
        <w:rPr>
          <w:rFonts w:hint="default" w:ascii="Times New Roman" w:hAnsi="Times New Roman" w:eastAsia="宋体" w:cs="Times New Roman"/>
          <w:caps w:val="0"/>
          <w:smallCaps w:val="0"/>
          <w:color w:val="auto"/>
          <w:spacing w:val="0"/>
          <w:w w:val="100"/>
          <w:position w:val="0"/>
          <w:sz w:val="24"/>
          <w:szCs w:val="28"/>
          <w:u w:val="none" w:color="auto"/>
        </w:rPr>
        <w:t>相关内容，本工程环保验收主要内容包括验收建设单位的环保管理措施、各项环境保护措施、水土保持措施、环保投资及施工期环境监测的落实情况，以及项目执行“三同时”制度的情况检查等</w:t>
      </w:r>
      <w:r>
        <w:rPr>
          <w:rFonts w:hint="default" w:ascii="Times New Roman" w:hAnsi="Times New Roman" w:eastAsia="宋体" w:cs="Times New Roman"/>
          <w:caps w:val="0"/>
          <w:smallCaps w:val="0"/>
          <w:color w:val="auto"/>
          <w:spacing w:val="0"/>
          <w:w w:val="100"/>
          <w:kern w:val="0"/>
          <w:position w:val="0"/>
          <w:sz w:val="24"/>
          <w:szCs w:val="24"/>
          <w:u w:val="none" w:color="auto"/>
        </w:rPr>
        <w:t>，项目竣工环境保护验收调查内容见下表。</w:t>
      </w:r>
    </w:p>
    <w:p w14:paraId="394BFCD6">
      <w:pPr>
        <w:keepNext w:val="0"/>
        <w:keepLines w:val="0"/>
        <w:pageBreakBefore w:val="0"/>
        <w:widowControl w:val="0"/>
        <w:kinsoku w:val="0"/>
        <w:wordWrap w:val="0"/>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aps w:val="0"/>
          <w:smallCaps w:val="0"/>
          <w:color w:val="auto"/>
          <w:spacing w:val="0"/>
          <w:w w:val="100"/>
          <w:kern w:val="0"/>
          <w:position w:val="0"/>
          <w:szCs w:val="21"/>
          <w:u w:val="none" w:color="auto"/>
        </w:rPr>
      </w:pPr>
      <w:r>
        <w:rPr>
          <w:rFonts w:hint="default" w:ascii="Times New Roman" w:hAnsi="Times New Roman" w:eastAsia="宋体" w:cs="Times New Roman"/>
          <w:b/>
          <w:bCs/>
          <w:caps w:val="0"/>
          <w:smallCaps w:val="0"/>
          <w:color w:val="auto"/>
          <w:spacing w:val="0"/>
          <w:w w:val="100"/>
          <w:kern w:val="0"/>
          <w:position w:val="0"/>
          <w:szCs w:val="21"/>
          <w:u w:val="none" w:color="auto"/>
        </w:rPr>
        <w:t>表7.</w:t>
      </w:r>
      <w:r>
        <w:rPr>
          <w:rFonts w:hint="default" w:ascii="Times New Roman" w:hAnsi="Times New Roman" w:eastAsia="宋体" w:cs="Times New Roman"/>
          <w:b/>
          <w:bCs/>
          <w:caps w:val="0"/>
          <w:smallCaps w:val="0"/>
          <w:color w:val="auto"/>
          <w:spacing w:val="0"/>
          <w:w w:val="100"/>
          <w:kern w:val="0"/>
          <w:position w:val="0"/>
          <w:szCs w:val="21"/>
          <w:u w:val="none" w:color="auto"/>
          <w:lang w:val="en-US" w:eastAsia="zh-CN"/>
        </w:rPr>
        <w:t>4</w:t>
      </w:r>
      <w:r>
        <w:rPr>
          <w:rFonts w:hint="default" w:ascii="Times New Roman" w:hAnsi="Times New Roman" w:eastAsia="宋体" w:cs="Times New Roman"/>
          <w:b/>
          <w:bCs/>
          <w:caps w:val="0"/>
          <w:smallCaps w:val="0"/>
          <w:color w:val="auto"/>
          <w:spacing w:val="0"/>
          <w:w w:val="100"/>
          <w:kern w:val="0"/>
          <w:position w:val="0"/>
          <w:szCs w:val="21"/>
          <w:u w:val="none" w:color="auto"/>
        </w:rPr>
        <w:t>-1  项目“三同时”验收一览表</w:t>
      </w:r>
    </w:p>
    <w:tbl>
      <w:tblPr>
        <w:tblStyle w:val="40"/>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39"/>
        <w:gridCol w:w="741"/>
        <w:gridCol w:w="5072"/>
        <w:gridCol w:w="2070"/>
      </w:tblGrid>
      <w:tr w14:paraId="207DA2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9" w:type="dxa"/>
            <w:tcBorders>
              <w:tl2br w:val="nil"/>
              <w:tr2bl w:val="nil"/>
            </w:tcBorders>
            <w:vAlign w:val="center"/>
          </w:tcPr>
          <w:p w14:paraId="50C37484">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bCs/>
                <w:caps w:val="0"/>
                <w:smallCaps w:val="0"/>
                <w:color w:val="auto"/>
                <w:spacing w:val="0"/>
                <w:w w:val="100"/>
                <w:kern w:val="0"/>
                <w:position w:val="0"/>
                <w:sz w:val="21"/>
                <w:szCs w:val="21"/>
                <w:u w:val="none" w:color="auto"/>
                <w:vertAlign w:val="baseline"/>
                <w:lang w:eastAsia="zh-CN"/>
              </w:rPr>
            </w:pPr>
            <w:r>
              <w:rPr>
                <w:rFonts w:hint="eastAsia" w:ascii="Times New Roman" w:hAnsi="Times New Roman" w:eastAsia="宋体" w:cs="Times New Roman"/>
                <w:b/>
                <w:bCs/>
                <w:caps w:val="0"/>
                <w:smallCaps w:val="0"/>
                <w:color w:val="auto"/>
                <w:spacing w:val="0"/>
                <w:w w:val="100"/>
                <w:kern w:val="0"/>
                <w:position w:val="0"/>
                <w:sz w:val="21"/>
                <w:szCs w:val="21"/>
                <w:u w:val="none" w:color="auto"/>
                <w:vertAlign w:val="baseline"/>
                <w:lang w:eastAsia="zh-CN"/>
              </w:rPr>
              <w:t>时期</w:t>
            </w:r>
          </w:p>
        </w:tc>
        <w:tc>
          <w:tcPr>
            <w:tcW w:w="741" w:type="dxa"/>
            <w:tcBorders>
              <w:tl2br w:val="nil"/>
              <w:tr2bl w:val="nil"/>
            </w:tcBorders>
            <w:vAlign w:val="center"/>
          </w:tcPr>
          <w:p w14:paraId="69988E14">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bCs/>
                <w:caps w:val="0"/>
                <w:smallCaps w:val="0"/>
                <w:color w:val="auto"/>
                <w:spacing w:val="0"/>
                <w:w w:val="100"/>
                <w:kern w:val="0"/>
                <w:position w:val="0"/>
                <w:sz w:val="21"/>
                <w:szCs w:val="21"/>
                <w:u w:val="none" w:color="auto"/>
                <w:vertAlign w:val="baseline"/>
                <w:lang w:eastAsia="zh-CN"/>
              </w:rPr>
            </w:pPr>
            <w:r>
              <w:rPr>
                <w:rFonts w:hint="eastAsia" w:ascii="Times New Roman" w:hAnsi="Times New Roman" w:eastAsia="宋体" w:cs="Times New Roman"/>
                <w:b/>
                <w:bCs/>
                <w:caps w:val="0"/>
                <w:smallCaps w:val="0"/>
                <w:color w:val="auto"/>
                <w:spacing w:val="0"/>
                <w:w w:val="100"/>
                <w:kern w:val="0"/>
                <w:position w:val="0"/>
                <w:sz w:val="21"/>
                <w:szCs w:val="21"/>
                <w:u w:val="none" w:color="auto"/>
                <w:vertAlign w:val="baseline"/>
                <w:lang w:eastAsia="zh-CN"/>
              </w:rPr>
              <w:t>项目</w:t>
            </w:r>
          </w:p>
        </w:tc>
        <w:tc>
          <w:tcPr>
            <w:tcW w:w="5072" w:type="dxa"/>
            <w:tcBorders>
              <w:tl2br w:val="nil"/>
              <w:tr2bl w:val="nil"/>
            </w:tcBorders>
            <w:vAlign w:val="center"/>
          </w:tcPr>
          <w:p w14:paraId="60CD3309">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default" w:ascii="Times New Roman" w:hAnsi="Times New Roman" w:eastAsia="宋体" w:cs="Times New Roman"/>
                <w:b/>
                <w:bCs/>
                <w:caps w:val="0"/>
                <w:smallCaps w:val="0"/>
                <w:color w:val="auto"/>
                <w:spacing w:val="0"/>
                <w:w w:val="100"/>
                <w:kern w:val="0"/>
                <w:position w:val="0"/>
                <w:sz w:val="21"/>
                <w:szCs w:val="21"/>
                <w:u w:val="none" w:color="auto"/>
                <w:vertAlign w:val="baseline"/>
              </w:rPr>
            </w:pPr>
            <w:r>
              <w:rPr>
                <w:rFonts w:hint="eastAsia" w:ascii="Times New Roman" w:hAnsi="Times New Roman" w:eastAsia="宋体" w:cs="Times New Roman"/>
                <w:b/>
                <w:bCs/>
                <w:caps w:val="0"/>
                <w:smallCaps w:val="0"/>
                <w:color w:val="auto"/>
                <w:spacing w:val="0"/>
                <w:w w:val="100"/>
                <w:kern w:val="0"/>
                <w:position w:val="0"/>
                <w:sz w:val="21"/>
                <w:szCs w:val="21"/>
                <w:u w:val="none" w:color="auto"/>
                <w:vertAlign w:val="baseline"/>
                <w:lang w:eastAsia="zh-CN"/>
              </w:rPr>
              <w:t>处理措施</w:t>
            </w:r>
          </w:p>
        </w:tc>
        <w:tc>
          <w:tcPr>
            <w:tcW w:w="2070" w:type="dxa"/>
            <w:tcBorders>
              <w:tl2br w:val="nil"/>
              <w:tr2bl w:val="nil"/>
            </w:tcBorders>
            <w:vAlign w:val="center"/>
          </w:tcPr>
          <w:p w14:paraId="753FA01E">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default" w:ascii="Times New Roman" w:hAnsi="Times New Roman" w:eastAsia="宋体" w:cs="Times New Roman"/>
                <w:b/>
                <w:bCs/>
                <w:caps w:val="0"/>
                <w:smallCaps w:val="0"/>
                <w:color w:val="auto"/>
                <w:spacing w:val="0"/>
                <w:w w:val="100"/>
                <w:kern w:val="0"/>
                <w:position w:val="0"/>
                <w:sz w:val="21"/>
                <w:szCs w:val="21"/>
                <w:u w:val="none" w:color="auto"/>
                <w:vertAlign w:val="baseline"/>
              </w:rPr>
            </w:pPr>
            <w:r>
              <w:rPr>
                <w:rFonts w:hint="default" w:ascii="Times New Roman" w:hAnsi="Times New Roman" w:eastAsia="宋体" w:cs="Times New Roman"/>
                <w:b/>
                <w:caps w:val="0"/>
                <w:smallCaps w:val="0"/>
                <w:color w:val="auto"/>
                <w:spacing w:val="0"/>
                <w:w w:val="100"/>
                <w:kern w:val="0"/>
                <w:position w:val="0"/>
                <w:sz w:val="21"/>
                <w:szCs w:val="21"/>
                <w:u w:val="none" w:color="auto"/>
              </w:rPr>
              <w:t>预期处理效果</w:t>
            </w:r>
          </w:p>
        </w:tc>
      </w:tr>
      <w:tr w14:paraId="0055A8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9" w:type="dxa"/>
            <w:vMerge w:val="restart"/>
            <w:tcBorders>
              <w:tl2br w:val="nil"/>
              <w:tr2bl w:val="nil"/>
            </w:tcBorders>
            <w:vAlign w:val="center"/>
          </w:tcPr>
          <w:p w14:paraId="31BD3012">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施工期</w:t>
            </w:r>
          </w:p>
        </w:tc>
        <w:tc>
          <w:tcPr>
            <w:tcW w:w="741" w:type="dxa"/>
            <w:tcBorders>
              <w:tl2br w:val="nil"/>
              <w:tr2bl w:val="nil"/>
            </w:tcBorders>
            <w:vAlign w:val="center"/>
          </w:tcPr>
          <w:p w14:paraId="271336FA">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废气</w:t>
            </w:r>
          </w:p>
        </w:tc>
        <w:tc>
          <w:tcPr>
            <w:tcW w:w="5072" w:type="dxa"/>
            <w:tcBorders>
              <w:tl2br w:val="nil"/>
              <w:tr2bl w:val="nil"/>
            </w:tcBorders>
            <w:vAlign w:val="center"/>
          </w:tcPr>
          <w:p w14:paraId="2C6F2D08">
            <w:pPr>
              <w:keepNext w:val="0"/>
              <w:keepLines w:val="0"/>
              <w:widowControl/>
              <w:suppressLineNumbers w:val="0"/>
              <w:jc w:val="left"/>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begin"/>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instrText xml:space="preserve"> = 1 \* GB3 \* MERGEFORMAT </w:instrTex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separate"/>
            </w:r>
            <w:r>
              <w:rPr>
                <w:rFonts w:hint="default" w:ascii="Times New Roman" w:hAnsi="Times New Roman" w:cs="Times New Roman"/>
                <w:color w:val="auto"/>
              </w:rPr>
              <w:t>①</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end"/>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在局部时段对附近敏感目标扬尘影响较大的施工区周围设置连续的围挡</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w:t>
            </w:r>
            <w:r>
              <w:rPr>
                <w:rFonts w:hint="default" w:ascii="Times New Roman" w:hAnsi="Times New Roman" w:eastAsia="微软雅黑" w:cs="Times New Roman"/>
                <w:b w:val="0"/>
                <w:bCs w:val="0"/>
                <w:caps w:val="0"/>
                <w:smallCaps w:val="0"/>
                <w:color w:val="auto"/>
                <w:spacing w:val="0"/>
                <w:w w:val="100"/>
                <w:kern w:val="0"/>
                <w:position w:val="0"/>
                <w:sz w:val="21"/>
                <w:szCs w:val="21"/>
                <w:u w:val="none" w:color="auto"/>
                <w:vertAlign w:val="baseline"/>
                <w:lang w:val="en-US" w:eastAsia="zh-CN"/>
              </w:rPr>
              <w:t>②</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定期洒水降尘；</w:t>
            </w:r>
            <w:r>
              <w:rPr>
                <w:rFonts w:hint="default" w:ascii="Times New Roman" w:hAnsi="Times New Roman" w:eastAsia="微软雅黑" w:cs="Times New Roman"/>
                <w:b w:val="0"/>
                <w:bCs w:val="0"/>
                <w:caps w:val="0"/>
                <w:smallCaps w:val="0"/>
                <w:color w:val="auto"/>
                <w:spacing w:val="0"/>
                <w:w w:val="100"/>
                <w:kern w:val="0"/>
                <w:position w:val="0"/>
                <w:sz w:val="21"/>
                <w:szCs w:val="21"/>
                <w:u w:val="none" w:color="auto"/>
                <w:vertAlign w:val="baseline"/>
                <w:lang w:eastAsia="zh-CN"/>
              </w:rPr>
              <w:t>③</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混凝土拌和系统搅拌过程中采用全封闭式系统，对传送带上输送的物料应进行全封闭或半封闭</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④</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堆场及裸露面防尘网覆盖；</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⑤施工道路加强限速管理</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；⑥运输粉料采用密闭罐车，其他物料应全封闭或帆布覆盖；⑦运输道路加强清扫，洒水降尘；⑧</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优先选用</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符合国家有关卫生标准的施工机械和运输车辆</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fldChar w:fldCharType="begin"/>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instrText xml:space="preserve"> = 9 \* GB3 \* MERGEFORMAT </w:instrTex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fldChar w:fldCharType="separate"/>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⑨</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fldChar w:fldCharType="end"/>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加强管理，文明装卸，</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合理安排施工车辆行驶路线，尽量避开居民集中区</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等管理措施。</w:t>
            </w:r>
          </w:p>
        </w:tc>
        <w:tc>
          <w:tcPr>
            <w:tcW w:w="2070" w:type="dxa"/>
            <w:tcBorders>
              <w:tl2br w:val="nil"/>
              <w:tr2bl w:val="nil"/>
            </w:tcBorders>
            <w:vAlign w:val="center"/>
          </w:tcPr>
          <w:p w14:paraId="0023A1C8">
            <w:pPr>
              <w:keepNext w:val="0"/>
              <w:keepLines w:val="0"/>
              <w:widowControl/>
              <w:suppressLineNumbers w:val="0"/>
              <w:jc w:val="left"/>
              <w:rPr>
                <w:rFonts w:hint="default" w:ascii="Times New Roman" w:hAnsi="Times New Roman" w:eastAsia="宋体" w:cs="Times New Roman"/>
                <w:b/>
                <w:bCs/>
                <w:caps w:val="0"/>
                <w:smallCaps w:val="0"/>
                <w:color w:val="auto"/>
                <w:spacing w:val="0"/>
                <w:w w:val="100"/>
                <w:kern w:val="0"/>
                <w:position w:val="0"/>
                <w:sz w:val="21"/>
                <w:szCs w:val="21"/>
                <w:u w:val="none" w:color="auto"/>
                <w:vertAlign w:val="baseline"/>
              </w:rPr>
            </w:pPr>
            <w:r>
              <w:rPr>
                <w:rFonts w:hint="eastAsia" w:ascii="妤蜂綋" w:hAnsi="妤蜂綋" w:eastAsia="妤蜂綋" w:cs="妤蜂綋"/>
                <w:color w:val="auto"/>
                <w:kern w:val="0"/>
                <w:sz w:val="21"/>
                <w:szCs w:val="21"/>
                <w:lang w:val="en-US" w:eastAsia="zh-CN" w:bidi="ar"/>
              </w:rPr>
              <w:t>满足</w:t>
            </w:r>
            <w:r>
              <w:rPr>
                <w:rFonts w:ascii="妤蜂綋" w:hAnsi="妤蜂綋" w:eastAsia="妤蜂綋" w:cs="妤蜂綋"/>
                <w:color w:val="auto"/>
                <w:kern w:val="0"/>
                <w:sz w:val="21"/>
                <w:szCs w:val="21"/>
                <w:lang w:val="en-US" w:eastAsia="zh-CN" w:bidi="ar"/>
              </w:rPr>
              <w:t>《大气污染物综合排</w:t>
            </w:r>
            <w:r>
              <w:rPr>
                <w:rFonts w:hint="default" w:ascii="妤蜂綋" w:hAnsi="妤蜂綋" w:eastAsia="妤蜂綋" w:cs="妤蜂綋"/>
                <w:color w:val="auto"/>
                <w:kern w:val="0"/>
                <w:sz w:val="21"/>
                <w:szCs w:val="21"/>
                <w:lang w:val="en-US" w:eastAsia="zh-CN" w:bidi="ar"/>
              </w:rPr>
              <w:t>放标准》（</w:t>
            </w:r>
            <w:r>
              <w:rPr>
                <w:rFonts w:hint="default" w:ascii="Times New Roman" w:hAnsi="Times New Roman" w:eastAsia="宋体" w:cs="Times New Roman"/>
                <w:color w:val="auto"/>
                <w:kern w:val="0"/>
                <w:sz w:val="21"/>
                <w:szCs w:val="21"/>
                <w:lang w:val="en-US" w:eastAsia="zh-CN" w:bidi="ar"/>
              </w:rPr>
              <w:t>GB16297-1996</w:t>
            </w:r>
            <w:r>
              <w:rPr>
                <w:rFonts w:hint="default" w:ascii="妤蜂綋" w:hAnsi="妤蜂綋" w:eastAsia="妤蜂綋" w:cs="妤蜂綋"/>
                <w:color w:val="auto"/>
                <w:kern w:val="0"/>
                <w:sz w:val="21"/>
                <w:szCs w:val="21"/>
                <w:lang w:val="en-US" w:eastAsia="zh-CN" w:bidi="ar"/>
              </w:rPr>
              <w:t>）中无组织排放监控浓度限值</w:t>
            </w:r>
          </w:p>
        </w:tc>
      </w:tr>
      <w:tr w14:paraId="54D488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9" w:type="dxa"/>
            <w:vMerge w:val="continue"/>
            <w:tcBorders>
              <w:tl2br w:val="nil"/>
              <w:tr2bl w:val="nil"/>
            </w:tcBorders>
            <w:vAlign w:val="center"/>
          </w:tcPr>
          <w:p w14:paraId="4E3D357A">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p>
        </w:tc>
        <w:tc>
          <w:tcPr>
            <w:tcW w:w="741" w:type="dxa"/>
            <w:tcBorders>
              <w:tl2br w:val="nil"/>
              <w:tr2bl w:val="nil"/>
            </w:tcBorders>
            <w:vAlign w:val="center"/>
          </w:tcPr>
          <w:p w14:paraId="75802025">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bCs/>
                <w:caps w:val="0"/>
                <w:smallCaps w:val="0"/>
                <w:color w:val="auto"/>
                <w:spacing w:val="0"/>
                <w:w w:val="100"/>
                <w:kern w:val="0"/>
                <w:position w:val="0"/>
                <w:sz w:val="21"/>
                <w:szCs w:val="21"/>
                <w:u w:val="none" w:color="auto"/>
                <w:vertAlign w:val="baseline"/>
                <w:lang w:val="en-US" w:eastAsia="zh-CN" w:bidi="ar-SA"/>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废水</w:t>
            </w:r>
          </w:p>
        </w:tc>
        <w:tc>
          <w:tcPr>
            <w:tcW w:w="5072" w:type="dxa"/>
            <w:tcBorders>
              <w:tl2br w:val="nil"/>
              <w:tr2bl w:val="nil"/>
            </w:tcBorders>
            <w:vAlign w:val="center"/>
          </w:tcPr>
          <w:p w14:paraId="08C8CFED">
            <w:pPr>
              <w:keepNext w:val="0"/>
              <w:keepLines w:val="0"/>
              <w:widowControl/>
              <w:suppressLineNumbers w:val="0"/>
              <w:spacing w:line="240" w:lineRule="auto"/>
              <w:jc w:val="left"/>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bidi="ar-SA"/>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begin"/>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instrText xml:space="preserve"> = 1 \* GB3 \* MERGEFORMAT </w:instrTex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separate"/>
            </w:r>
            <w:r>
              <w:rPr>
                <w:rFonts w:hint="default" w:ascii="Times New Roman" w:hAnsi="Times New Roman" w:cs="Times New Roman"/>
                <w:color w:val="auto"/>
              </w:rPr>
              <w:t>①</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end"/>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施工人员租住民房，生活污水依托现有居民处置设施处理；</w:t>
            </w:r>
            <w:r>
              <w:rPr>
                <w:rFonts w:hint="default" w:ascii="Times New Roman" w:hAnsi="Times New Roman" w:eastAsia="微软雅黑" w:cs="Times New Roman"/>
                <w:b w:val="0"/>
                <w:bCs w:val="0"/>
                <w:caps w:val="0"/>
                <w:smallCaps w:val="0"/>
                <w:color w:val="auto"/>
                <w:spacing w:val="0"/>
                <w:w w:val="100"/>
                <w:kern w:val="0"/>
                <w:position w:val="0"/>
                <w:sz w:val="21"/>
                <w:szCs w:val="21"/>
                <w:u w:val="none" w:color="auto"/>
                <w:vertAlign w:val="baseline"/>
                <w:lang w:val="en-US" w:eastAsia="zh-CN"/>
              </w:rPr>
              <w:t>②</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混凝土拌和系统冲洗废水经</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沉淀池处理后回用；</w:t>
            </w:r>
            <w:r>
              <w:rPr>
                <w:rFonts w:hint="default" w:ascii="Times New Roman" w:hAnsi="Times New Roman" w:eastAsia="微软雅黑" w:cs="Times New Roman"/>
                <w:b w:val="0"/>
                <w:bCs w:val="0"/>
                <w:caps w:val="0"/>
                <w:smallCaps w:val="0"/>
                <w:color w:val="auto"/>
                <w:spacing w:val="0"/>
                <w:w w:val="100"/>
                <w:kern w:val="0"/>
                <w:position w:val="0"/>
                <w:sz w:val="21"/>
                <w:szCs w:val="21"/>
                <w:u w:val="none" w:color="auto"/>
                <w:vertAlign w:val="baseline"/>
                <w:lang w:eastAsia="zh-CN"/>
              </w:rPr>
              <w:t>③</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基坑废水经沉淀池处理后回用于洒水降尘；</w:t>
            </w:r>
            <w:r>
              <w:rPr>
                <w:rFonts w:hint="default" w:ascii="Times New Roman" w:hAnsi="Times New Roman" w:eastAsia="微软雅黑" w:cs="Times New Roman"/>
                <w:b w:val="0"/>
                <w:bCs w:val="0"/>
                <w:caps w:val="0"/>
                <w:smallCaps w:val="0"/>
                <w:color w:val="auto"/>
                <w:spacing w:val="0"/>
                <w:w w:val="100"/>
                <w:kern w:val="0"/>
                <w:position w:val="0"/>
                <w:sz w:val="21"/>
                <w:szCs w:val="21"/>
                <w:u w:val="none" w:color="auto"/>
                <w:vertAlign w:val="baseline"/>
                <w:lang w:eastAsia="zh-CN"/>
              </w:rPr>
              <w:t>④</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帷幕灌浆废水施工期回用，施工结束在</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制浆池内沉淀、风干处理；</w:t>
            </w:r>
            <w:r>
              <w:rPr>
                <w:rFonts w:hint="default" w:ascii="Times New Roman" w:hAnsi="Times New Roman" w:eastAsia="微软雅黑" w:cs="Times New Roman"/>
                <w:b w:val="0"/>
                <w:bCs w:val="0"/>
                <w:caps w:val="0"/>
                <w:smallCaps w:val="0"/>
                <w:color w:val="auto"/>
                <w:spacing w:val="0"/>
                <w:w w:val="100"/>
                <w:kern w:val="0"/>
                <w:position w:val="0"/>
                <w:sz w:val="21"/>
                <w:szCs w:val="21"/>
                <w:u w:val="none" w:color="auto"/>
                <w:vertAlign w:val="baseline"/>
                <w:lang w:val="en-US" w:eastAsia="zh-CN"/>
              </w:rPr>
              <w:t>⑤</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施工机械冲洗废水经隔油沉淀池处理后回用。</w:t>
            </w:r>
          </w:p>
        </w:tc>
        <w:tc>
          <w:tcPr>
            <w:tcW w:w="2070" w:type="dxa"/>
            <w:tcBorders>
              <w:tl2br w:val="nil"/>
              <w:tr2bl w:val="nil"/>
            </w:tcBorders>
            <w:vAlign w:val="center"/>
          </w:tcPr>
          <w:p w14:paraId="296894DB">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bidi="ar-SA"/>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施工期生产废水不外排；生活污水依托现有措施，严禁排入东山水库水域</w:t>
            </w:r>
          </w:p>
        </w:tc>
      </w:tr>
      <w:tr w14:paraId="6C9B6E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9" w:type="dxa"/>
            <w:vMerge w:val="continue"/>
            <w:tcBorders>
              <w:tl2br w:val="nil"/>
              <w:tr2bl w:val="nil"/>
            </w:tcBorders>
            <w:vAlign w:val="center"/>
          </w:tcPr>
          <w:p w14:paraId="6A344026">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p>
        </w:tc>
        <w:tc>
          <w:tcPr>
            <w:tcW w:w="741" w:type="dxa"/>
            <w:tcBorders>
              <w:tl2br w:val="nil"/>
              <w:tr2bl w:val="nil"/>
            </w:tcBorders>
            <w:vAlign w:val="center"/>
          </w:tcPr>
          <w:p w14:paraId="2845652C">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噪声</w:t>
            </w:r>
          </w:p>
        </w:tc>
        <w:tc>
          <w:tcPr>
            <w:tcW w:w="5072" w:type="dxa"/>
            <w:tcBorders>
              <w:tl2br w:val="nil"/>
              <w:tr2bl w:val="nil"/>
            </w:tcBorders>
            <w:vAlign w:val="center"/>
          </w:tcPr>
          <w:p w14:paraId="66A692BC">
            <w:pPr>
              <w:keepNext w:val="0"/>
              <w:keepLines w:val="0"/>
              <w:widowControl/>
              <w:suppressLineNumbers w:val="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begin"/>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instrText xml:space="preserve"> = 1 \* GB3 \* MERGEFORMAT </w:instrTex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separate"/>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①</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end"/>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施工道路设置限速牌，加强交</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通运输管理</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，敏感点附近</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降低车速</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禁止使用高音嗽叭；②加强道路和车辆的维护保养；③优化施工布置，</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优先</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选用低噪声施工设备；④合理安排施工时间，禁止夜间施工。若因工艺需要必须在晚上施工，应上报当地生态环境主管部门批准同意，并在施工前公告；⑤钢筋加工等高噪声生产区</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靠近敏感目标处设置临时声屏障。</w:t>
            </w:r>
          </w:p>
        </w:tc>
        <w:tc>
          <w:tcPr>
            <w:tcW w:w="2070" w:type="dxa"/>
            <w:tcBorders>
              <w:tl2br w:val="nil"/>
              <w:tr2bl w:val="nil"/>
            </w:tcBorders>
            <w:vAlign w:val="center"/>
          </w:tcPr>
          <w:p w14:paraId="43D762E1">
            <w:pPr>
              <w:keepNext w:val="0"/>
              <w:keepLines w:val="0"/>
              <w:widowControl/>
              <w:suppressLineNumbers w:val="0"/>
              <w:jc w:val="left"/>
              <w:rPr>
                <w:color w:val="auto"/>
              </w:rPr>
            </w:pPr>
            <w:r>
              <w:rPr>
                <w:rFonts w:ascii="瀹嬩綋" w:hAnsi="瀹嬩綋" w:eastAsia="瀹嬩綋" w:cs="瀹嬩綋"/>
                <w:color w:val="auto"/>
                <w:kern w:val="0"/>
                <w:sz w:val="21"/>
                <w:szCs w:val="21"/>
                <w:lang w:val="en-US" w:eastAsia="zh-CN" w:bidi="ar"/>
              </w:rPr>
              <w:t>满足《建筑施工场界环境噪声</w:t>
            </w:r>
            <w:r>
              <w:rPr>
                <w:rFonts w:hint="default" w:ascii="瀹嬩綋" w:hAnsi="瀹嬩綋" w:eastAsia="瀹嬩綋" w:cs="瀹嬩綋"/>
                <w:color w:val="auto"/>
                <w:kern w:val="0"/>
                <w:sz w:val="21"/>
                <w:szCs w:val="21"/>
                <w:lang w:val="en-US" w:eastAsia="zh-CN" w:bidi="ar"/>
              </w:rPr>
              <w:t>排放标准》</w:t>
            </w:r>
            <w:r>
              <w:rPr>
                <w:rFonts w:hint="eastAsia" w:ascii="瀹嬩綋" w:hAnsi="瀹嬩綋" w:eastAsia="瀹嬩綋" w:cs="瀹嬩綋"/>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GB12523-2011</w:t>
            </w:r>
            <w:r>
              <w:rPr>
                <w:rFonts w:hint="default" w:ascii="瀹嬩綋" w:hAnsi="瀹嬩綋" w:eastAsia="瀹嬩綋" w:cs="瀹嬩綋"/>
                <w:color w:val="auto"/>
                <w:kern w:val="0"/>
                <w:sz w:val="21"/>
                <w:szCs w:val="21"/>
                <w:lang w:val="en-US" w:eastAsia="zh-CN" w:bidi="ar"/>
              </w:rPr>
              <w:t xml:space="preserve">） </w:t>
            </w:r>
          </w:p>
          <w:p w14:paraId="79A22EC0">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default" w:ascii="Times New Roman" w:hAnsi="Times New Roman" w:eastAsia="宋体" w:cs="Times New Roman"/>
                <w:b/>
                <w:bCs/>
                <w:caps w:val="0"/>
                <w:smallCaps w:val="0"/>
                <w:color w:val="auto"/>
                <w:spacing w:val="0"/>
                <w:w w:val="100"/>
                <w:kern w:val="0"/>
                <w:position w:val="0"/>
                <w:sz w:val="21"/>
                <w:szCs w:val="21"/>
                <w:u w:val="none" w:color="auto"/>
                <w:vertAlign w:val="baseline"/>
              </w:rPr>
            </w:pPr>
          </w:p>
        </w:tc>
      </w:tr>
      <w:tr w14:paraId="22CD7E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68" w:hRule="atLeast"/>
        </w:trPr>
        <w:tc>
          <w:tcPr>
            <w:tcW w:w="639" w:type="dxa"/>
            <w:vMerge w:val="continue"/>
            <w:tcBorders>
              <w:tl2br w:val="nil"/>
              <w:tr2bl w:val="nil"/>
            </w:tcBorders>
            <w:vAlign w:val="center"/>
          </w:tcPr>
          <w:p w14:paraId="7765A6C1">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p>
        </w:tc>
        <w:tc>
          <w:tcPr>
            <w:tcW w:w="741" w:type="dxa"/>
            <w:tcBorders>
              <w:tl2br w:val="nil"/>
              <w:tr2bl w:val="nil"/>
            </w:tcBorders>
            <w:vAlign w:val="center"/>
          </w:tcPr>
          <w:p w14:paraId="3F9B3096">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固废</w:t>
            </w:r>
          </w:p>
        </w:tc>
        <w:tc>
          <w:tcPr>
            <w:tcW w:w="5072" w:type="dxa"/>
            <w:tcBorders>
              <w:tl2br w:val="nil"/>
              <w:tr2bl w:val="nil"/>
            </w:tcBorders>
            <w:vAlign w:val="center"/>
          </w:tcPr>
          <w:p w14:paraId="3D075CC1">
            <w:pPr>
              <w:keepNext w:val="0"/>
              <w:keepLines w:val="0"/>
              <w:pageBreakBefore w:val="0"/>
              <w:widowControl w:val="0"/>
              <w:kinsoku w:val="0"/>
              <w:wordWrap w:val="0"/>
              <w:overflowPunct/>
              <w:topLinePunct/>
              <w:autoSpaceDE/>
              <w:autoSpaceDN/>
              <w:bidi w:val="0"/>
              <w:adjustRightInd/>
              <w:snapToGrid/>
              <w:spacing w:line="240" w:lineRule="auto"/>
              <w:jc w:val="left"/>
              <w:textAlignment w:val="auto"/>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begin"/>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instrText xml:space="preserve"> = 1 \* GB3 \* MERGEFORMAT </w:instrTex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separate"/>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①</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end"/>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施工</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弃方全部运至大坝下游的弃渣场，施工弃渣严禁向水库和河道内倾倒</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②拆除的设备外售进行资源回收利用</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③建筑垃圾收集后运至弃渣场堆存</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④沉淀池收集的污泥</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定期人工清理，经收集后外售砖厂制砖；</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⑤生活垃圾集中收集，定时清运处理</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；⑥</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废油</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采</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用储油桶暂存于危废暂存仓库内，</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及时交由</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有资质的单位处理处置</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p>
        </w:tc>
        <w:tc>
          <w:tcPr>
            <w:tcW w:w="2070" w:type="dxa"/>
            <w:tcBorders>
              <w:tl2br w:val="nil"/>
              <w:tr2bl w:val="nil"/>
            </w:tcBorders>
            <w:vAlign w:val="center"/>
          </w:tcPr>
          <w:p w14:paraId="7A7F69C9">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《一般工业固体废物贮存和填埋污染</w:t>
            </w:r>
          </w:p>
          <w:p w14:paraId="78F98DF1">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default" w:ascii="Times New Roman" w:hAnsi="Times New Roman" w:eastAsia="宋体" w:cs="Times New Roman"/>
                <w:b/>
                <w:bCs/>
                <w:caps w:val="0"/>
                <w:smallCaps w:val="0"/>
                <w:color w:val="auto"/>
                <w:spacing w:val="0"/>
                <w:w w:val="100"/>
                <w:kern w:val="0"/>
                <w:position w:val="0"/>
                <w:sz w:val="21"/>
                <w:szCs w:val="21"/>
                <w:u w:val="none" w:color="auto"/>
                <w:vertAlign w:val="baseline"/>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控制标准》（GB18599-2020）</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《危险废物贮存污染控制标准》（GB18597-20</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23</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p>
        </w:tc>
      </w:tr>
      <w:tr w14:paraId="36E88E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9" w:type="dxa"/>
            <w:vMerge w:val="continue"/>
            <w:tcBorders>
              <w:tl2br w:val="nil"/>
              <w:tr2bl w:val="nil"/>
            </w:tcBorders>
            <w:vAlign w:val="center"/>
          </w:tcPr>
          <w:p w14:paraId="00EE741B">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p>
        </w:tc>
        <w:tc>
          <w:tcPr>
            <w:tcW w:w="741" w:type="dxa"/>
            <w:tcBorders>
              <w:tl2br w:val="nil"/>
              <w:tr2bl w:val="nil"/>
            </w:tcBorders>
            <w:vAlign w:val="center"/>
          </w:tcPr>
          <w:p w14:paraId="237B630F">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生态</w:t>
            </w:r>
          </w:p>
        </w:tc>
        <w:tc>
          <w:tcPr>
            <w:tcW w:w="5072" w:type="dxa"/>
            <w:tcBorders>
              <w:tl2br w:val="nil"/>
              <w:tr2bl w:val="nil"/>
            </w:tcBorders>
            <w:vAlign w:val="center"/>
          </w:tcPr>
          <w:p w14:paraId="0B143CF3">
            <w:pPr>
              <w:keepNext w:val="0"/>
              <w:keepLines w:val="0"/>
              <w:pageBreakBefore w:val="0"/>
              <w:widowControl w:val="0"/>
              <w:kinsoku w:val="0"/>
              <w:wordWrap w:val="0"/>
              <w:overflowPunct/>
              <w:topLinePunct/>
              <w:autoSpaceDE/>
              <w:autoSpaceDN/>
              <w:bidi w:val="0"/>
              <w:adjustRightInd/>
              <w:snapToGrid/>
              <w:spacing w:line="240" w:lineRule="auto"/>
              <w:jc w:val="left"/>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begin"/>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instrText xml:space="preserve"> = 1 \* GB3 \* MERGEFORMAT </w:instrTex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separate"/>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①</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end"/>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加强监管</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，严禁</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生活污水和施工废水、生活垃圾与其他固体废弃物直接排放入水库及下游河道</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②施工区设置警示牌</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③加强施工期渔业资源监测</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建立鱼类及时救护机制</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④优化工程设计</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施工方案</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施工时序</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，尽量安排在枯水期施工，避免</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雨季施工</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避开区域冬候鸟栖息时间</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⑤加强森林资源保护</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，落实各项水土保持措施；⑥</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划定施工活动范围，加强施工监理工作</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；⑦</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各施工迹地</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及时</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实施植被修复措施</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；⑧</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进行</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施工期生态</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监测或调查</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begin"/>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instrText xml:space="preserve"> = 9 \* GB3 \* MERGEFORMAT </w:instrTex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separate"/>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⑨</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end"/>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古树名木</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实施原址保护，禁止人为砍伐、破坏生境</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begin"/>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instrText xml:space="preserve"> = 10 \* GB3 \* MERGEFORMAT </w:instrTex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separate"/>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⑩</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end"/>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加强宣传，增强员工的保护意识，避免意外砍伐</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野生植物，</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严禁捕猎野生动物</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、水生生物等。</w:t>
            </w:r>
          </w:p>
        </w:tc>
        <w:tc>
          <w:tcPr>
            <w:tcW w:w="2070" w:type="dxa"/>
            <w:tcBorders>
              <w:tl2br w:val="nil"/>
              <w:tr2bl w:val="nil"/>
            </w:tcBorders>
            <w:vAlign w:val="center"/>
          </w:tcPr>
          <w:p w14:paraId="417B6671">
            <w:pPr>
              <w:keepNext w:val="0"/>
              <w:keepLines w:val="0"/>
              <w:widowControl/>
              <w:suppressLineNumbers w:val="0"/>
              <w:jc w:val="left"/>
              <w:rPr>
                <w:rFonts w:hint="default" w:ascii="Times New Roman" w:hAnsi="Times New Roman" w:eastAsia="宋体" w:cs="Times New Roman"/>
                <w:b/>
                <w:bCs/>
                <w:caps w:val="0"/>
                <w:smallCaps w:val="0"/>
                <w:color w:val="auto"/>
                <w:spacing w:val="0"/>
                <w:w w:val="100"/>
                <w:kern w:val="0"/>
                <w:position w:val="0"/>
                <w:sz w:val="21"/>
                <w:szCs w:val="21"/>
                <w:u w:val="none" w:color="auto"/>
                <w:vertAlign w:val="baseline"/>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维护</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区域</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生态系统的完整性以及结构和功能；保护工程影响区域水生生物的种群结构、数量、生物多样性以及生境</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保护地表植被及生产力；保护重点保护野生动植物。</w:t>
            </w:r>
          </w:p>
        </w:tc>
      </w:tr>
      <w:tr w14:paraId="4BC0D9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9" w:type="dxa"/>
            <w:vMerge w:val="continue"/>
            <w:tcBorders>
              <w:tl2br w:val="nil"/>
              <w:tr2bl w:val="nil"/>
            </w:tcBorders>
            <w:vAlign w:val="center"/>
          </w:tcPr>
          <w:p w14:paraId="65E4A5D8">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p>
        </w:tc>
        <w:tc>
          <w:tcPr>
            <w:tcW w:w="741" w:type="dxa"/>
            <w:tcBorders>
              <w:tl2br w:val="nil"/>
              <w:tr2bl w:val="nil"/>
            </w:tcBorders>
            <w:vAlign w:val="center"/>
          </w:tcPr>
          <w:p w14:paraId="20CB02B7">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地下水、土壤</w:t>
            </w:r>
          </w:p>
        </w:tc>
        <w:tc>
          <w:tcPr>
            <w:tcW w:w="5072" w:type="dxa"/>
            <w:tcBorders>
              <w:tl2br w:val="nil"/>
              <w:tr2bl w:val="nil"/>
            </w:tcBorders>
            <w:vAlign w:val="center"/>
          </w:tcPr>
          <w:p w14:paraId="1273CA7D">
            <w:pPr>
              <w:keepNext w:val="0"/>
              <w:keepLines w:val="0"/>
              <w:pageBreakBefore w:val="0"/>
              <w:widowControl w:val="0"/>
              <w:kinsoku w:val="0"/>
              <w:wordWrap w:val="0"/>
              <w:overflowPunct/>
              <w:topLinePunct/>
              <w:autoSpaceDE/>
              <w:autoSpaceDN/>
              <w:bidi w:val="0"/>
              <w:adjustRightInd/>
              <w:snapToGrid/>
              <w:spacing w:line="240" w:lineRule="auto"/>
              <w:jc w:val="left"/>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begin"/>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instrText xml:space="preserve"> = 1 \* GB3 \* MERGEFORMAT </w:instrTex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separate"/>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①</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end"/>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工程施工过程中各废污水的处理和回用，各项废污水处理构筑物应做好防渗措施</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②</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加强</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管理，及时保养</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机械设备</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，防止跑、冒、滴、漏污染</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③各类固体废物应分类收集，做好收集管理工作</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及时清运处理</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④</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落实各项水土保持措施，对施工范围</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进行表土剥离，并集中堆置防护用于后期植被恢复。</w:t>
            </w:r>
          </w:p>
        </w:tc>
        <w:tc>
          <w:tcPr>
            <w:tcW w:w="2070" w:type="dxa"/>
            <w:tcBorders>
              <w:tl2br w:val="nil"/>
              <w:tr2bl w:val="nil"/>
            </w:tcBorders>
            <w:vAlign w:val="center"/>
          </w:tcPr>
          <w:p w14:paraId="491BB138">
            <w:pPr>
              <w:keepNext w:val="0"/>
              <w:keepLines w:val="0"/>
              <w:widowControl/>
              <w:suppressLineNumbers w:val="0"/>
              <w:jc w:val="left"/>
              <w:rPr>
                <w:rFonts w:ascii="妤蜂綋" w:hAnsi="妤蜂綋" w:eastAsia="妤蜂綋" w:cs="妤蜂綋"/>
                <w:color w:val="auto"/>
                <w:kern w:val="0"/>
                <w:sz w:val="18"/>
                <w:szCs w:val="18"/>
                <w:lang w:val="en-US" w:eastAsia="zh-CN" w:bidi="ar"/>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保障土壤、地下水不受污</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染，环境功能不受影响。</w:t>
            </w:r>
          </w:p>
        </w:tc>
      </w:tr>
      <w:tr w14:paraId="24CFBE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9" w:type="dxa"/>
            <w:vMerge w:val="restart"/>
            <w:tcBorders>
              <w:tl2br w:val="nil"/>
              <w:tr2bl w:val="nil"/>
            </w:tcBorders>
            <w:vAlign w:val="center"/>
          </w:tcPr>
          <w:p w14:paraId="5C327457">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运营期</w:t>
            </w:r>
          </w:p>
        </w:tc>
        <w:tc>
          <w:tcPr>
            <w:tcW w:w="741" w:type="dxa"/>
            <w:tcBorders>
              <w:tl2br w:val="nil"/>
              <w:tr2bl w:val="nil"/>
            </w:tcBorders>
            <w:vAlign w:val="center"/>
          </w:tcPr>
          <w:p w14:paraId="3DCE021B">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废气</w:t>
            </w:r>
          </w:p>
        </w:tc>
        <w:tc>
          <w:tcPr>
            <w:tcW w:w="5072" w:type="dxa"/>
            <w:tcBorders>
              <w:tl2br w:val="nil"/>
              <w:tr2bl w:val="nil"/>
            </w:tcBorders>
            <w:vAlign w:val="center"/>
          </w:tcPr>
          <w:p w14:paraId="0B407260">
            <w:pPr>
              <w:keepNext w:val="0"/>
              <w:keepLines w:val="0"/>
              <w:pageBreakBefore w:val="0"/>
              <w:widowControl w:val="0"/>
              <w:kinsoku w:val="0"/>
              <w:wordWrap w:val="0"/>
              <w:overflowPunct/>
              <w:topLinePunct/>
              <w:autoSpaceDE/>
              <w:autoSpaceDN/>
              <w:bidi w:val="0"/>
              <w:adjustRightInd/>
              <w:snapToGrid/>
              <w:spacing w:line="240" w:lineRule="auto"/>
              <w:jc w:val="left"/>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管理所食堂油烟经</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油烟净化器装置</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处理</w:t>
            </w:r>
          </w:p>
        </w:tc>
        <w:tc>
          <w:tcPr>
            <w:tcW w:w="2070" w:type="dxa"/>
            <w:tcBorders>
              <w:tl2br w:val="nil"/>
              <w:tr2bl w:val="nil"/>
            </w:tcBorders>
            <w:vAlign w:val="center"/>
          </w:tcPr>
          <w:p w14:paraId="013CD178">
            <w:pPr>
              <w:keepNext w:val="0"/>
              <w:keepLines w:val="0"/>
              <w:pageBreakBefore w:val="0"/>
              <w:widowControl w:val="0"/>
              <w:kinsoku w:val="0"/>
              <w:wordWrap w:val="0"/>
              <w:overflowPunct/>
              <w:topLinePunct/>
              <w:autoSpaceDE/>
              <w:autoSpaceDN/>
              <w:bidi w:val="0"/>
              <w:adjustRightInd/>
              <w:snapToGrid/>
              <w:spacing w:line="240" w:lineRule="auto"/>
              <w:jc w:val="left"/>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《饮食业油烟排放标准 (试行)》(GB18483-2001)</w:t>
            </w:r>
          </w:p>
        </w:tc>
      </w:tr>
      <w:tr w14:paraId="7CBB2F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9" w:type="dxa"/>
            <w:vMerge w:val="continue"/>
            <w:tcBorders>
              <w:tl2br w:val="nil"/>
              <w:tr2bl w:val="nil"/>
            </w:tcBorders>
            <w:vAlign w:val="center"/>
          </w:tcPr>
          <w:p w14:paraId="7C8ACE0A">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p>
        </w:tc>
        <w:tc>
          <w:tcPr>
            <w:tcW w:w="741" w:type="dxa"/>
            <w:tcBorders>
              <w:tl2br w:val="nil"/>
              <w:tr2bl w:val="nil"/>
            </w:tcBorders>
            <w:vAlign w:val="center"/>
          </w:tcPr>
          <w:p w14:paraId="61B27E63">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废水</w:t>
            </w:r>
          </w:p>
        </w:tc>
        <w:tc>
          <w:tcPr>
            <w:tcW w:w="5072" w:type="dxa"/>
            <w:tcBorders>
              <w:tl2br w:val="nil"/>
              <w:tr2bl w:val="nil"/>
            </w:tcBorders>
            <w:vAlign w:val="center"/>
          </w:tcPr>
          <w:p w14:paraId="6DDFE253">
            <w:pPr>
              <w:keepNext w:val="0"/>
              <w:keepLines w:val="0"/>
              <w:pageBreakBefore w:val="0"/>
              <w:widowControl w:val="0"/>
              <w:kinsoku w:val="0"/>
              <w:wordWrap w:val="0"/>
              <w:overflowPunct/>
              <w:topLinePunct/>
              <w:autoSpaceDE/>
              <w:autoSpaceDN/>
              <w:bidi w:val="0"/>
              <w:adjustRightInd/>
              <w:snapToGrid/>
              <w:spacing w:line="240" w:lineRule="auto"/>
              <w:jc w:val="left"/>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begin"/>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instrText xml:space="preserve"> = 1 \* GB3 \* MERGEFORMAT </w:instrTex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separate"/>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①</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end"/>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定期开展库区水质监测工作</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饮用水水源保护区内，禁止设置排污口</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②禁止在水源保护区内从事网箱养殖；③禁止新建、扩建对水体污染严重的建设项目</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等各类饮用水水源保护措施；</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④</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管理所生活污水经化粪池处理后经管道排入坝下游，严禁进入东山水库。</w:t>
            </w:r>
          </w:p>
        </w:tc>
        <w:tc>
          <w:tcPr>
            <w:tcW w:w="2070" w:type="dxa"/>
            <w:tcBorders>
              <w:tl2br w:val="nil"/>
              <w:tr2bl w:val="nil"/>
            </w:tcBorders>
            <w:vAlign w:val="center"/>
          </w:tcPr>
          <w:p w14:paraId="2634C047">
            <w:pPr>
              <w:keepNext w:val="0"/>
              <w:keepLines w:val="0"/>
              <w:pageBreakBefore w:val="0"/>
              <w:widowControl w:val="0"/>
              <w:kinsoku w:val="0"/>
              <w:wordWrap w:val="0"/>
              <w:overflowPunct/>
              <w:topLinePunct/>
              <w:autoSpaceDE/>
              <w:autoSpaceDN/>
              <w:bidi w:val="0"/>
              <w:adjustRightInd/>
              <w:snapToGrid/>
              <w:spacing w:line="240" w:lineRule="auto"/>
              <w:jc w:val="left"/>
              <w:textAlignment w:val="auto"/>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《地表水环境质量标准》（GB3838-2002）</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II</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类</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、III类</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 xml:space="preserve"> </w:t>
            </w:r>
          </w:p>
          <w:p w14:paraId="2F68A8EF">
            <w:pPr>
              <w:keepNext w:val="0"/>
              <w:keepLines w:val="0"/>
              <w:pageBreakBefore w:val="0"/>
              <w:widowControl w:val="0"/>
              <w:kinsoku w:val="0"/>
              <w:wordWrap w:val="0"/>
              <w:overflowPunct/>
              <w:topLinePunct/>
              <w:autoSpaceDE/>
              <w:autoSpaceDN/>
              <w:bidi w:val="0"/>
              <w:adjustRightInd/>
              <w:snapToGrid/>
              <w:spacing w:line="240" w:lineRule="auto"/>
              <w:jc w:val="left"/>
              <w:textAlignment w:val="auto"/>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pPr>
          </w:p>
        </w:tc>
      </w:tr>
      <w:tr w14:paraId="5F68A5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9" w:type="dxa"/>
            <w:vMerge w:val="continue"/>
            <w:tcBorders>
              <w:tl2br w:val="nil"/>
              <w:tr2bl w:val="nil"/>
            </w:tcBorders>
            <w:vAlign w:val="center"/>
          </w:tcPr>
          <w:p w14:paraId="1E14AA88">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p>
        </w:tc>
        <w:tc>
          <w:tcPr>
            <w:tcW w:w="741" w:type="dxa"/>
            <w:tcBorders>
              <w:tl2br w:val="nil"/>
              <w:tr2bl w:val="nil"/>
            </w:tcBorders>
            <w:vAlign w:val="center"/>
          </w:tcPr>
          <w:p w14:paraId="6E127401">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噪声</w:t>
            </w:r>
          </w:p>
        </w:tc>
        <w:tc>
          <w:tcPr>
            <w:tcW w:w="5072" w:type="dxa"/>
            <w:tcBorders>
              <w:tl2br w:val="nil"/>
              <w:tr2bl w:val="nil"/>
            </w:tcBorders>
            <w:vAlign w:val="center"/>
          </w:tcPr>
          <w:p w14:paraId="76F21A62">
            <w:pPr>
              <w:keepNext w:val="0"/>
              <w:keepLines w:val="0"/>
              <w:pageBreakBefore w:val="0"/>
              <w:widowControl w:val="0"/>
              <w:kinsoku w:val="0"/>
              <w:wordWrap w:val="0"/>
              <w:overflowPunct/>
              <w:topLinePunct/>
              <w:autoSpaceDE/>
              <w:autoSpaceDN/>
              <w:bidi w:val="0"/>
              <w:adjustRightInd/>
              <w:snapToGrid/>
              <w:spacing w:line="240" w:lineRule="auto"/>
              <w:jc w:val="left"/>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隔声、减震</w:t>
            </w:r>
          </w:p>
        </w:tc>
        <w:tc>
          <w:tcPr>
            <w:tcW w:w="2070" w:type="dxa"/>
            <w:tcBorders>
              <w:tl2br w:val="nil"/>
              <w:tr2bl w:val="nil"/>
            </w:tcBorders>
            <w:vAlign w:val="center"/>
          </w:tcPr>
          <w:p w14:paraId="172C92BF">
            <w:pPr>
              <w:keepNext w:val="0"/>
              <w:keepLines w:val="0"/>
              <w:pageBreakBefore w:val="0"/>
              <w:widowControl w:val="0"/>
              <w:kinsoku w:val="0"/>
              <w:wordWrap w:val="0"/>
              <w:overflowPunct/>
              <w:topLinePunct/>
              <w:autoSpaceDE/>
              <w:autoSpaceDN/>
              <w:bidi w:val="0"/>
              <w:adjustRightInd/>
              <w:snapToGrid/>
              <w:spacing w:line="240" w:lineRule="auto"/>
              <w:jc w:val="left"/>
              <w:textAlignment w:val="auto"/>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《工业企业厂界环境噪声排放标准》（GB12348-2008）</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1</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类标准</w:t>
            </w:r>
          </w:p>
        </w:tc>
      </w:tr>
      <w:tr w14:paraId="5F4B73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9" w:type="dxa"/>
            <w:vMerge w:val="continue"/>
            <w:tcBorders>
              <w:tl2br w:val="nil"/>
              <w:tr2bl w:val="nil"/>
            </w:tcBorders>
            <w:vAlign w:val="center"/>
          </w:tcPr>
          <w:p w14:paraId="3153A4C4">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p>
        </w:tc>
        <w:tc>
          <w:tcPr>
            <w:tcW w:w="741" w:type="dxa"/>
            <w:tcBorders>
              <w:tl2br w:val="nil"/>
              <w:tr2bl w:val="nil"/>
            </w:tcBorders>
            <w:vAlign w:val="center"/>
          </w:tcPr>
          <w:p w14:paraId="57D1BE14">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固废</w:t>
            </w:r>
          </w:p>
        </w:tc>
        <w:tc>
          <w:tcPr>
            <w:tcW w:w="5072" w:type="dxa"/>
            <w:tcBorders>
              <w:tl2br w:val="nil"/>
              <w:tr2bl w:val="nil"/>
            </w:tcBorders>
            <w:vAlign w:val="center"/>
          </w:tcPr>
          <w:p w14:paraId="5C7A40C4">
            <w:pPr>
              <w:keepNext w:val="0"/>
              <w:keepLines w:val="0"/>
              <w:pageBreakBefore w:val="0"/>
              <w:widowControl w:val="0"/>
              <w:kinsoku w:val="0"/>
              <w:wordWrap w:val="0"/>
              <w:overflowPunct/>
              <w:topLinePunct/>
              <w:autoSpaceDE/>
              <w:autoSpaceDN/>
              <w:bidi w:val="0"/>
              <w:adjustRightInd/>
              <w:snapToGrid/>
              <w:spacing w:line="240" w:lineRule="auto"/>
              <w:jc w:val="left"/>
              <w:textAlignment w:val="auto"/>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管理人员的生活垃圾，垃圾桶集中收集后交由环卫部门定期清运</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处理</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p>
          <w:p w14:paraId="707BB10F">
            <w:pPr>
              <w:keepNext w:val="0"/>
              <w:keepLines w:val="0"/>
              <w:pageBreakBefore w:val="0"/>
              <w:widowControl w:val="0"/>
              <w:kinsoku w:val="0"/>
              <w:wordWrap w:val="0"/>
              <w:overflowPunct/>
              <w:topLinePunct/>
              <w:autoSpaceDE/>
              <w:autoSpaceDN/>
              <w:bidi w:val="0"/>
              <w:adjustRightInd/>
              <w:snapToGrid/>
              <w:spacing w:line="240" w:lineRule="auto"/>
              <w:jc w:val="left"/>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pPr>
          </w:p>
        </w:tc>
        <w:tc>
          <w:tcPr>
            <w:tcW w:w="2070" w:type="dxa"/>
            <w:tcBorders>
              <w:tl2br w:val="nil"/>
              <w:tr2bl w:val="nil"/>
            </w:tcBorders>
            <w:vAlign w:val="center"/>
          </w:tcPr>
          <w:p w14:paraId="307FA9E3">
            <w:pPr>
              <w:keepNext w:val="0"/>
              <w:keepLines w:val="0"/>
              <w:pageBreakBefore w:val="0"/>
              <w:widowControl w:val="0"/>
              <w:kinsoku w:val="0"/>
              <w:wordWrap w:val="0"/>
              <w:overflowPunct/>
              <w:topLinePunct/>
              <w:autoSpaceDE/>
              <w:autoSpaceDN/>
              <w:bidi w:val="0"/>
              <w:adjustRightInd/>
              <w:snapToGrid/>
              <w:spacing w:line="240" w:lineRule="auto"/>
              <w:jc w:val="left"/>
              <w:textAlignment w:val="auto"/>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pPr>
          </w:p>
        </w:tc>
      </w:tr>
      <w:tr w14:paraId="713FCB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64" w:hRule="atLeast"/>
        </w:trPr>
        <w:tc>
          <w:tcPr>
            <w:tcW w:w="639" w:type="dxa"/>
            <w:vMerge w:val="continue"/>
            <w:tcBorders>
              <w:tl2br w:val="nil"/>
              <w:tr2bl w:val="nil"/>
            </w:tcBorders>
            <w:vAlign w:val="center"/>
          </w:tcPr>
          <w:p w14:paraId="74747161">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p>
        </w:tc>
        <w:tc>
          <w:tcPr>
            <w:tcW w:w="741" w:type="dxa"/>
            <w:tcBorders>
              <w:tl2br w:val="nil"/>
              <w:tr2bl w:val="nil"/>
            </w:tcBorders>
            <w:vAlign w:val="center"/>
          </w:tcPr>
          <w:p w14:paraId="58F7DCD4">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生态</w:t>
            </w:r>
          </w:p>
        </w:tc>
        <w:tc>
          <w:tcPr>
            <w:tcW w:w="5072" w:type="dxa"/>
            <w:tcBorders>
              <w:tl2br w:val="nil"/>
              <w:tr2bl w:val="nil"/>
            </w:tcBorders>
            <w:vAlign w:val="center"/>
          </w:tcPr>
          <w:p w14:paraId="3EF5892F">
            <w:pPr>
              <w:keepNext w:val="0"/>
              <w:keepLines w:val="0"/>
              <w:pageBreakBefore w:val="0"/>
              <w:widowControl w:val="0"/>
              <w:kinsoku w:val="0"/>
              <w:wordWrap w:val="0"/>
              <w:overflowPunct/>
              <w:topLinePunct/>
              <w:autoSpaceDE/>
              <w:autoSpaceDN/>
              <w:bidi w:val="0"/>
              <w:adjustRightInd/>
              <w:snapToGrid/>
              <w:spacing w:line="240" w:lineRule="auto"/>
              <w:jc w:val="left"/>
              <w:textAlignment w:val="auto"/>
              <w:rPr>
                <w:rFonts w:hint="eastAsia"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begin"/>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instrText xml:space="preserve"> = 1 \* GB3 \* MERGEFORMAT </w:instrTex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separate"/>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①</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end"/>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准保护区内禁止非更新、非抚育采伐和其他破坏饮用水水源涵养林、护岸林以及其他植被的行为</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二级保护区内禁止新种植轮伐期不足十年的用材林，禁止毁林开垦、全垦整地、炼山等</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②加强封山育林，提高植物覆盖率和森林覆盖率</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③加强管理</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禁止在库区进行炸鱼、电鱼及毒鱼等破坏生态可持续发展的违法活动</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④定期向水库投放当地原有鱼类的鱼苗，作为鱼类资源损失的生物补偿</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⑤严禁在东山水库库区内进行人工水产养殖</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；⑥</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加强保护野生物种资源的宣传教育</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等。</w:t>
            </w:r>
          </w:p>
        </w:tc>
        <w:tc>
          <w:tcPr>
            <w:tcW w:w="2070" w:type="dxa"/>
            <w:tcBorders>
              <w:tl2br w:val="nil"/>
              <w:tr2bl w:val="nil"/>
            </w:tcBorders>
            <w:vAlign w:val="center"/>
          </w:tcPr>
          <w:p w14:paraId="0046AB73">
            <w:pPr>
              <w:keepNext w:val="0"/>
              <w:keepLines w:val="0"/>
              <w:widowControl/>
              <w:suppressLineNumbers w:val="0"/>
              <w:jc w:val="left"/>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维护</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区域</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生态系统的完整性以及结构和功能；保护工程影响区域水生生物的种群结构、数量、生物多样性以及生境</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保护地表植被及生产力；保护重点保护野生动植物。</w:t>
            </w:r>
          </w:p>
        </w:tc>
      </w:tr>
      <w:tr w14:paraId="566675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9" w:type="dxa"/>
            <w:vMerge w:val="continue"/>
            <w:tcBorders>
              <w:tl2br w:val="nil"/>
              <w:tr2bl w:val="nil"/>
            </w:tcBorders>
            <w:vAlign w:val="center"/>
          </w:tcPr>
          <w:p w14:paraId="5F327C30">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p>
        </w:tc>
        <w:tc>
          <w:tcPr>
            <w:tcW w:w="741" w:type="dxa"/>
            <w:tcBorders>
              <w:tl2br w:val="nil"/>
              <w:tr2bl w:val="nil"/>
            </w:tcBorders>
            <w:vAlign w:val="center"/>
          </w:tcPr>
          <w:p w14:paraId="4BF7F985">
            <w:pPr>
              <w:keepNext w:val="0"/>
              <w:keepLines w:val="0"/>
              <w:pageBreakBefore w:val="0"/>
              <w:widowControl w:val="0"/>
              <w:kinsoku w:val="0"/>
              <w:wordWrap w:val="0"/>
              <w:overflowPunct/>
              <w:topLinePunct/>
              <w:autoSpaceDE/>
              <w:autoSpaceDN/>
              <w:bidi w:val="0"/>
              <w:adjustRightInd/>
              <w:snapToGrid/>
              <w:spacing w:line="240" w:lineRule="auto"/>
              <w:jc w:val="center"/>
              <w:textAlignment w:val="auto"/>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eastAsia="zh-CN"/>
              </w:rPr>
              <w:t>地下水、土壤</w:t>
            </w:r>
          </w:p>
        </w:tc>
        <w:tc>
          <w:tcPr>
            <w:tcW w:w="5072" w:type="dxa"/>
            <w:tcBorders>
              <w:tl2br w:val="nil"/>
              <w:tr2bl w:val="nil"/>
            </w:tcBorders>
            <w:vAlign w:val="center"/>
          </w:tcPr>
          <w:p w14:paraId="4750FCEE">
            <w:pPr>
              <w:keepNext w:val="0"/>
              <w:keepLines w:val="0"/>
              <w:pageBreakBefore w:val="0"/>
              <w:widowControl w:val="0"/>
              <w:kinsoku/>
              <w:wordWrap w:val="0"/>
              <w:overflowPunct/>
              <w:topLinePunct/>
              <w:autoSpaceDE/>
              <w:autoSpaceDN/>
              <w:bidi w:val="0"/>
              <w:adjustRightInd/>
              <w:snapToGrid/>
              <w:spacing w:line="240" w:lineRule="auto"/>
              <w:jc w:val="left"/>
              <w:textAlignment w:val="auto"/>
              <w:rPr>
                <w:rFonts w:hint="eastAsia" w:ascii="Times New Roman" w:hAnsi="Times New Roman" w:eastAsia="宋体" w:cs="Times New Roman"/>
                <w:color w:val="auto"/>
                <w:spacing w:val="0"/>
                <w:w w:val="100"/>
                <w:position w:val="0"/>
                <w:sz w:val="24"/>
                <w:szCs w:val="24"/>
                <w:u w:val="none" w:color="auto"/>
                <w:lang w:eastAsia="zh-CN"/>
              </w:rPr>
            </w:pP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begin"/>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instrText xml:space="preserve"> = 1 \* GB3 \* MERGEFORMAT </w:instrTex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separate"/>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①</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fldChar w:fldCharType="end"/>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各类污废水、固体废物妥善处理处置，避免污染；</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②</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加强机械设备的维护保养，杜绝机械设备油类的跑、冒、滴、漏；</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③加强植被覆盖率，减少水土流失</w:t>
            </w: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等。</w:t>
            </w:r>
          </w:p>
        </w:tc>
        <w:tc>
          <w:tcPr>
            <w:tcW w:w="2070" w:type="dxa"/>
            <w:tcBorders>
              <w:tl2br w:val="nil"/>
              <w:tr2bl w:val="nil"/>
            </w:tcBorders>
            <w:vAlign w:val="center"/>
          </w:tcPr>
          <w:p w14:paraId="133E85C4">
            <w:pPr>
              <w:keepNext w:val="0"/>
              <w:keepLines w:val="0"/>
              <w:widowControl/>
              <w:suppressLineNumbers w:val="0"/>
              <w:jc w:val="left"/>
              <w:rPr>
                <w:rFonts w:hint="default" w:ascii="Times New Roman" w:hAnsi="Times New Roman" w:eastAsia="宋体" w:cs="Times New Roman"/>
                <w:color w:val="auto"/>
                <w:spacing w:val="0"/>
                <w:w w:val="100"/>
                <w:position w:val="0"/>
                <w:sz w:val="24"/>
                <w:szCs w:val="24"/>
                <w:u w:val="none" w:color="auto"/>
              </w:rPr>
            </w:pPr>
            <w:r>
              <w:rPr>
                <w:rFonts w:hint="eastAsia"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保障土壤、地下水不受污</w:t>
            </w:r>
            <w:r>
              <w:rPr>
                <w:rFonts w:hint="default" w:ascii="Times New Roman" w:hAnsi="Times New Roman" w:eastAsia="宋体" w:cs="Times New Roman"/>
                <w:b w:val="0"/>
                <w:bCs w:val="0"/>
                <w:caps w:val="0"/>
                <w:smallCaps w:val="0"/>
                <w:color w:val="auto"/>
                <w:spacing w:val="0"/>
                <w:w w:val="100"/>
                <w:kern w:val="0"/>
                <w:position w:val="0"/>
                <w:sz w:val="21"/>
                <w:szCs w:val="21"/>
                <w:u w:val="none" w:color="auto"/>
                <w:vertAlign w:val="baseline"/>
                <w:lang w:val="en-US" w:eastAsia="zh-CN"/>
              </w:rPr>
              <w:t>染，环境功能不受影响。</w:t>
            </w:r>
          </w:p>
        </w:tc>
      </w:tr>
    </w:tbl>
    <w:p w14:paraId="05D96688">
      <w:pPr>
        <w:keepNext w:val="0"/>
        <w:keepLines w:val="0"/>
        <w:pageBreakBefore w:val="0"/>
        <w:widowControl w:val="0"/>
        <w:kinsoku w:val="0"/>
        <w:wordWrap w:val="0"/>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aps w:val="0"/>
          <w:smallCaps w:val="0"/>
          <w:color w:val="FF0000"/>
          <w:spacing w:val="0"/>
          <w:w w:val="100"/>
          <w:kern w:val="0"/>
          <w:position w:val="0"/>
          <w:szCs w:val="21"/>
          <w:u w:val="none" w:color="auto"/>
        </w:rPr>
      </w:pPr>
    </w:p>
    <w:p w14:paraId="7E1E2F4A">
      <w:pPr>
        <w:keepNext w:val="0"/>
        <w:keepLines w:val="0"/>
        <w:pageBreakBefore w:val="0"/>
        <w:widowControl w:val="0"/>
        <w:kinsoku w:val="0"/>
        <w:wordWrap w:val="0"/>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aps w:val="0"/>
          <w:smallCaps w:val="0"/>
          <w:color w:val="FF0000"/>
          <w:spacing w:val="0"/>
          <w:w w:val="100"/>
          <w:kern w:val="0"/>
          <w:position w:val="0"/>
          <w:szCs w:val="21"/>
          <w:u w:val="none" w:color="auto"/>
        </w:rPr>
      </w:pPr>
    </w:p>
    <w:p w14:paraId="2788DED6">
      <w:pPr>
        <w:keepNext w:val="0"/>
        <w:keepLines w:val="0"/>
        <w:pageBreakBefore w:val="0"/>
        <w:widowControl w:val="0"/>
        <w:kinsoku w:val="0"/>
        <w:wordWrap w:val="0"/>
        <w:overflowPunct/>
        <w:topLinePunct/>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caps w:val="0"/>
          <w:smallCaps w:val="0"/>
          <w:color w:val="FF0000"/>
          <w:spacing w:val="0"/>
          <w:w w:val="100"/>
          <w:kern w:val="0"/>
          <w:position w:val="0"/>
          <w:szCs w:val="21"/>
          <w:u w:val="none" w:color="auto"/>
          <w:lang w:val="en-US" w:eastAsia="zh-CN"/>
        </w:rPr>
      </w:pPr>
      <w:r>
        <w:rPr>
          <w:rFonts w:hint="eastAsia" w:ascii="Times New Roman" w:hAnsi="Times New Roman" w:eastAsia="宋体" w:cs="Times New Roman"/>
          <w:b/>
          <w:bCs/>
          <w:caps w:val="0"/>
          <w:smallCaps w:val="0"/>
          <w:color w:val="FF0000"/>
          <w:spacing w:val="0"/>
          <w:w w:val="100"/>
          <w:kern w:val="0"/>
          <w:position w:val="0"/>
          <w:szCs w:val="21"/>
          <w:u w:val="none" w:color="auto"/>
          <w:lang w:val="en-US" w:eastAsia="zh-CN"/>
        </w:rPr>
        <w:t xml:space="preserve"> </w:t>
      </w:r>
    </w:p>
    <w:p w14:paraId="4E2DFEA2">
      <w:pPr>
        <w:pageBreakBefore w:val="0"/>
        <w:kinsoku w:val="0"/>
        <w:wordWrap w:val="0"/>
        <w:overflowPunct/>
        <w:topLinePunct/>
        <w:autoSpaceDE/>
        <w:autoSpaceDN/>
        <w:bidi w:val="0"/>
        <w:rPr>
          <w:rFonts w:hint="default" w:ascii="Times New Roman" w:hAnsi="Times New Roman" w:eastAsia="宋体" w:cs="Times New Roman"/>
          <w:b/>
          <w:bCs/>
          <w:caps w:val="0"/>
          <w:smallCaps w:val="0"/>
          <w:color w:val="FF0000"/>
          <w:spacing w:val="0"/>
          <w:w w:val="100"/>
          <w:kern w:val="0"/>
          <w:position w:val="0"/>
          <w:szCs w:val="21"/>
          <w:u w:val="none" w:color="auto"/>
        </w:rPr>
      </w:pPr>
      <w:r>
        <w:rPr>
          <w:rFonts w:hint="default" w:ascii="Times New Roman" w:hAnsi="Times New Roman" w:eastAsia="宋体" w:cs="Times New Roman"/>
          <w:b/>
          <w:bCs/>
          <w:caps w:val="0"/>
          <w:smallCaps w:val="0"/>
          <w:color w:val="FF0000"/>
          <w:spacing w:val="0"/>
          <w:w w:val="100"/>
          <w:kern w:val="0"/>
          <w:position w:val="0"/>
          <w:szCs w:val="21"/>
          <w:u w:val="none" w:color="auto"/>
        </w:rPr>
        <w:br w:type="page"/>
      </w:r>
    </w:p>
    <w:p w14:paraId="0201589B">
      <w:pPr>
        <w:pStyle w:val="2"/>
        <w:bidi w:val="0"/>
        <w:rPr>
          <w:rFonts w:hint="default" w:ascii="Times New Roman" w:hAnsi="Times New Roman" w:cs="Times New Roman"/>
        </w:rPr>
      </w:pPr>
      <w:bookmarkStart w:id="375" w:name="_Toc4860"/>
      <w:r>
        <w:rPr>
          <w:rFonts w:hint="default" w:ascii="Times New Roman" w:hAnsi="Times New Roman" w:cs="Times New Roman"/>
        </w:rPr>
        <w:t>环境影响评价结论</w:t>
      </w:r>
      <w:bookmarkEnd w:id="375"/>
    </w:p>
    <w:p w14:paraId="7499491A">
      <w:pPr>
        <w:pStyle w:val="3"/>
        <w:bidi w:val="0"/>
        <w:rPr>
          <w:rFonts w:hint="default" w:ascii="Times New Roman" w:hAnsi="Times New Roman" w:cs="Times New Roman"/>
        </w:rPr>
      </w:pPr>
      <w:bookmarkStart w:id="376" w:name="_Toc18467"/>
      <w:r>
        <w:rPr>
          <w:rFonts w:hint="default" w:ascii="Times New Roman" w:hAnsi="Times New Roman" w:cs="Times New Roman"/>
        </w:rPr>
        <w:t>项目概况</w:t>
      </w:r>
      <w:bookmarkEnd w:id="376"/>
    </w:p>
    <w:p w14:paraId="5C64D550">
      <w:pPr>
        <w:keepNext w:val="0"/>
        <w:keepLines w:val="0"/>
        <w:pageBreakBefore w:val="0"/>
        <w:widowControl w:val="0"/>
        <w:overflowPunct/>
        <w:autoSpaceDE/>
        <w:autoSpaceDN/>
        <w:bidi w:val="0"/>
        <w:adjustRightInd/>
        <w:snapToGrid/>
        <w:spacing w:line="360" w:lineRule="auto"/>
        <w:ind w:left="0" w:right="0" w:firstLine="478"/>
        <w:textAlignment w:val="auto"/>
        <w:rPr>
          <w:rFonts w:hint="default" w:ascii="Times New Roman" w:hAnsi="Times New Roman" w:eastAsia="宋体" w:cs="Times New Roman"/>
          <w:color w:val="FF0000"/>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highlight w:val="none"/>
          <w:lang w:val="en-US" w:eastAsia="zh-CN"/>
        </w:rPr>
        <w:t>东山水库大坝位于华容县东山镇仙鹅寺村，枢纽座落在大荆湖水系主支流一白马港(河)的中上游，水库距华容县城25km，距S202省道3.5km。坝址地理位置坐标：东经112°44'03”，北纬29°37'03”。东山灌区设计灌溉面积3.1万亩，年供水量96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。东山水库是一座以灌溉为主，兼有防洪、供水等综合效益的水利工程。</w:t>
      </w:r>
    </w:p>
    <w:p w14:paraId="2B760155">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枢纽工程由大坝、溢洪道、输水涵洞等永久性建筑物组成。大坝枢纽工程于1971年12月动工兴建，1974年冬枢纽工程基本竣工并蓄水运行。运行50余年来，在灌溉农田、减免下游洪灾损失、向城镇供水(年供水96万m</w:t>
      </w:r>
      <w:r>
        <w:rPr>
          <w:rFonts w:hint="default" w:ascii="Times New Roman" w:hAnsi="Times New Roman" w:eastAsia="宋体" w:cs="Times New Roman"/>
          <w:color w:val="auto"/>
          <w:spacing w:val="0"/>
          <w:w w:val="100"/>
          <w:position w:val="0"/>
          <w:sz w:val="24"/>
          <w:szCs w:val="24"/>
          <w:highlight w:val="none"/>
          <w:vertAlign w:val="superscript"/>
          <w:lang w:val="en-US" w:eastAsia="zh-CN"/>
        </w:rPr>
        <w:t>3</w:t>
      </w:r>
      <w:r>
        <w:rPr>
          <w:rFonts w:hint="default" w:ascii="Times New Roman" w:hAnsi="Times New Roman" w:eastAsia="宋体" w:cs="Times New Roman"/>
          <w:color w:val="auto"/>
          <w:spacing w:val="0"/>
          <w:w w:val="100"/>
          <w:position w:val="0"/>
          <w:sz w:val="24"/>
          <w:szCs w:val="24"/>
          <w:highlight w:val="none"/>
          <w:lang w:val="en-US" w:eastAsia="zh-CN"/>
        </w:rPr>
        <w:t>)等方面发挥了显著效益。</w:t>
      </w:r>
      <w:r>
        <w:rPr>
          <w:rFonts w:hint="default" w:ascii="Times New Roman" w:hAnsi="Times New Roman" w:eastAsia="宋体" w:cs="Times New Roman"/>
          <w:color w:val="auto"/>
          <w:spacing w:val="0"/>
          <w:w w:val="100"/>
          <w:position w:val="0"/>
          <w:sz w:val="24"/>
          <w:szCs w:val="24"/>
          <w:u w:val="none" w:color="auto"/>
          <w:lang w:eastAsia="zh-CN"/>
        </w:rPr>
        <w:t>但是，随着时间的推移，安全度汛形势极为严峻，影响水库正常运行和大坝安全。</w:t>
      </w:r>
      <w:r>
        <w:rPr>
          <w:rFonts w:hint="default" w:ascii="Times New Roman" w:hAnsi="Times New Roman" w:eastAsia="宋体" w:cs="Times New Roman"/>
          <w:color w:val="auto"/>
          <w:spacing w:val="0"/>
          <w:w w:val="100"/>
          <w:position w:val="0"/>
          <w:sz w:val="24"/>
          <w:szCs w:val="24"/>
          <w:u w:val="none" w:color="auto"/>
          <w:lang w:val="en-US" w:eastAsia="zh-CN"/>
        </w:rPr>
        <w:t>2021年10月18日，水利部大坝安全管理中心对东山水库大坝安全鉴定成果核查，以《关于印发东山等6座水库大坝安全鉴定成果核查意见的函》（坝函【2021】3058号，附件3），对大坝安全鉴定为“三类坝”。</w:t>
      </w:r>
    </w:p>
    <w:p w14:paraId="6F50778D">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FF0000"/>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rPr>
        <w:t>本次除险加固主要内容为：</w:t>
      </w:r>
      <w:r>
        <w:rPr>
          <w:rFonts w:hint="default" w:ascii="Times New Roman" w:hAnsi="Times New Roman" w:eastAsia="宋体" w:cs="Times New Roman"/>
          <w:color w:val="auto"/>
          <w:spacing w:val="0"/>
          <w:w w:val="100"/>
          <w:position w:val="0"/>
          <w:sz w:val="24"/>
          <w:szCs w:val="24"/>
          <w:highlight w:val="none"/>
          <w:lang w:val="en-US" w:eastAsia="zh-CN"/>
        </w:rPr>
        <w:t>对大坝坝体及坝基渗漏带进行防渗处理；上游对已经破坏的预制六边形砼、块石护坡进行翻砌处理；对下游坝坡整修，重建坡面排水系统及巡检道路；对大坝坝坡及管理所区域建筑物进行白蚁防治；对溢洪道底板进行加固处理，并对边墙砌石砂浆损坏处重新勾缝处理；对溢洪道消力池尺寸复核并对泄洪渠进行清淤、护砌设计；对输水隧洞原暗涵进行挖废重建，清除渗漏隐患，并对输水隧洞工作桥及启闭排架、启闭机房进行扩建，增设备用电源；对引水渠道进行护砌，并对其泄水闸、节制闸进行加固改造；溢洪道控制段增设人行桥与大坝右坝坝肩连通，以方便防汛检修；增设及修复坝体内外观监测设备，对大坝进行安全监测；对管理所危房进行重建等。</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项目</w:t>
      </w:r>
      <w:r>
        <w:rPr>
          <w:rFonts w:hint="default" w:ascii="Times New Roman" w:hAnsi="Times New Roman" w:eastAsia="宋体" w:cs="Times New Roman"/>
          <w:caps w:val="0"/>
          <w:smallCaps w:val="0"/>
          <w:color w:val="auto"/>
          <w:spacing w:val="0"/>
          <w:w w:val="100"/>
          <w:kern w:val="0"/>
          <w:position w:val="0"/>
          <w:sz w:val="24"/>
          <w:szCs w:val="24"/>
          <w:u w:val="none" w:color="auto"/>
        </w:rPr>
        <w:t>总投资为</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6688</w:t>
      </w:r>
      <w:r>
        <w:rPr>
          <w:rFonts w:hint="default" w:ascii="Times New Roman" w:hAnsi="Times New Roman" w:eastAsia="宋体" w:cs="Times New Roman"/>
          <w:caps w:val="0"/>
          <w:smallCaps w:val="0"/>
          <w:color w:val="auto"/>
          <w:spacing w:val="0"/>
          <w:w w:val="100"/>
          <w:kern w:val="0"/>
          <w:position w:val="0"/>
          <w:sz w:val="24"/>
          <w:szCs w:val="24"/>
          <w:u w:val="none" w:color="auto"/>
        </w:rPr>
        <w:t>万元，</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其中环保投资</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10.72</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万元，占总投资的</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1.66</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计划施工期为</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8</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个月。</w:t>
      </w:r>
    </w:p>
    <w:p w14:paraId="5B91E64D">
      <w:pPr>
        <w:pStyle w:val="3"/>
        <w:bidi w:val="0"/>
        <w:rPr>
          <w:rFonts w:hint="default" w:ascii="Times New Roman" w:hAnsi="Times New Roman" w:cs="Times New Roman"/>
          <w:lang w:eastAsia="zh-CN"/>
        </w:rPr>
      </w:pPr>
      <w:bookmarkStart w:id="377" w:name="_Toc5580"/>
      <w:r>
        <w:rPr>
          <w:rFonts w:hint="eastAsia" w:ascii="Times New Roman" w:hAnsi="Times New Roman" w:cs="Times New Roman"/>
          <w:lang w:eastAsia="zh-CN"/>
        </w:rPr>
        <w:t>建设项目环境</w:t>
      </w:r>
      <w:r>
        <w:rPr>
          <w:rFonts w:hint="default" w:ascii="Times New Roman" w:hAnsi="Times New Roman" w:cs="Times New Roman"/>
          <w:lang w:eastAsia="zh-CN"/>
        </w:rPr>
        <w:t>合</w:t>
      </w:r>
      <w:r>
        <w:rPr>
          <w:rFonts w:hint="eastAsia" w:ascii="Times New Roman" w:hAnsi="Times New Roman" w:cs="Times New Roman"/>
          <w:lang w:eastAsia="zh-CN"/>
        </w:rPr>
        <w:t>理</w:t>
      </w:r>
      <w:r>
        <w:rPr>
          <w:rFonts w:hint="default" w:ascii="Times New Roman" w:hAnsi="Times New Roman" w:cs="Times New Roman"/>
          <w:lang w:eastAsia="zh-CN"/>
        </w:rPr>
        <w:t>性分析</w:t>
      </w:r>
      <w:bookmarkEnd w:id="377"/>
    </w:p>
    <w:p w14:paraId="0E256ADA">
      <w:pPr>
        <w:keepNext w:val="0"/>
        <w:keepLines w:val="0"/>
        <w:pageBreakBefore w:val="0"/>
        <w:kinsoku w:val="0"/>
        <w:wordWrap w:val="0"/>
        <w:overflowPunct/>
        <w:topLinePunct/>
        <w:autoSpaceDE/>
        <w:autoSpaceDN/>
        <w:bidi w:val="0"/>
        <w:adjustRightInd w:val="0"/>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根据《产业结构调整指导目录》（20</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24</w:t>
      </w:r>
      <w:r>
        <w:rPr>
          <w:rFonts w:hint="default" w:ascii="Times New Roman" w:hAnsi="Times New Roman" w:eastAsia="宋体" w:cs="Times New Roman"/>
          <w:caps w:val="0"/>
          <w:smallCaps w:val="0"/>
          <w:color w:val="auto"/>
          <w:spacing w:val="0"/>
          <w:w w:val="100"/>
          <w:kern w:val="0"/>
          <w:position w:val="0"/>
          <w:sz w:val="24"/>
          <w:szCs w:val="24"/>
          <w:u w:val="none" w:color="auto"/>
        </w:rPr>
        <w:t>年本），</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本</w:t>
      </w:r>
      <w:r>
        <w:rPr>
          <w:rFonts w:hint="default" w:ascii="Times New Roman" w:hAnsi="Times New Roman" w:eastAsia="宋体" w:cs="Times New Roman"/>
          <w:caps w:val="0"/>
          <w:smallCaps w:val="0"/>
          <w:color w:val="auto"/>
          <w:spacing w:val="0"/>
          <w:w w:val="100"/>
          <w:kern w:val="0"/>
          <w:position w:val="0"/>
          <w:sz w:val="24"/>
          <w:szCs w:val="24"/>
          <w:u w:val="none" w:color="auto"/>
        </w:rPr>
        <w:t>项目属于鼓励类“二、水利</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-3防洪提升工程：</w:t>
      </w:r>
      <w:r>
        <w:rPr>
          <w:rFonts w:hint="default" w:ascii="Times New Roman" w:hAnsi="Times New Roman" w:eastAsia="宋体" w:cs="Times New Roman"/>
          <w:caps w:val="0"/>
          <w:smallCaps w:val="0"/>
          <w:color w:val="auto"/>
          <w:spacing w:val="0"/>
          <w:w w:val="100"/>
          <w:kern w:val="0"/>
          <w:position w:val="0"/>
          <w:sz w:val="24"/>
          <w:szCs w:val="24"/>
          <w:u w:val="none" w:color="auto"/>
        </w:rPr>
        <w:t>病险水库、水闸除险加固工程”，</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同时本</w:t>
      </w:r>
      <w:r>
        <w:rPr>
          <w:rFonts w:hint="default" w:ascii="Times New Roman" w:hAnsi="Times New Roman" w:eastAsia="宋体" w:cs="Times New Roman"/>
          <w:caps w:val="0"/>
          <w:smallCaps w:val="0"/>
          <w:color w:val="auto"/>
          <w:spacing w:val="0"/>
          <w:w w:val="100"/>
          <w:kern w:val="0"/>
          <w:position w:val="0"/>
          <w:sz w:val="24"/>
          <w:szCs w:val="24"/>
          <w:u w:val="none" w:color="auto"/>
        </w:rPr>
        <w:t>项目</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于2023年11月9日取得了华容县发展和改革局《关于华容县东山水库除险加固工程可行性研究报告的批复》（华发改投审【2023】158号）</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项目建设</w:t>
      </w:r>
      <w:r>
        <w:rPr>
          <w:rFonts w:hint="default" w:ascii="Times New Roman" w:hAnsi="Times New Roman" w:eastAsia="宋体" w:cs="Times New Roman"/>
          <w:caps w:val="0"/>
          <w:smallCaps w:val="0"/>
          <w:color w:val="auto"/>
          <w:spacing w:val="0"/>
          <w:w w:val="100"/>
          <w:kern w:val="0"/>
          <w:position w:val="0"/>
          <w:sz w:val="24"/>
          <w:szCs w:val="24"/>
          <w:u w:val="none" w:color="auto"/>
        </w:rPr>
        <w:t>符合国家产业政策的要求。</w:t>
      </w:r>
    </w:p>
    <w:p w14:paraId="79D0E7F1">
      <w:pPr>
        <w:keepNext w:val="0"/>
        <w:keepLines w:val="0"/>
        <w:pageBreakBefore w:val="0"/>
        <w:widowControl w:val="0"/>
        <w:overflowPunct/>
        <w:autoSpaceDE/>
        <w:autoSpaceDN/>
        <w:bidi w:val="0"/>
        <w:snapToGrid/>
        <w:spacing w:line="360" w:lineRule="auto"/>
        <w:ind w:left="0" w:right="0" w:firstLine="481"/>
        <w:textAlignment w:val="auto"/>
        <w:rPr>
          <w:rFonts w:hint="default" w:ascii="Times New Roman" w:hAnsi="Times New Roman" w:eastAsia="宋体" w:cs="Times New Roman"/>
          <w:color w:val="FF0000"/>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本工程建设符合《中华人民共和国水污染防治法》、</w:t>
      </w:r>
      <w:r>
        <w:rPr>
          <w:rFonts w:hint="default" w:ascii="Times New Roman" w:hAnsi="Times New Roman" w:eastAsia="宋体" w:cs="Times New Roman"/>
          <w:color w:val="auto"/>
          <w:spacing w:val="0"/>
          <w:w w:val="100"/>
          <w:position w:val="0"/>
          <w:sz w:val="24"/>
          <w:szCs w:val="24"/>
          <w:u w:val="none" w:color="auto"/>
        </w:rPr>
        <w:t>《饮用水水源保护区污染防治管理规定》</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val="en-US" w:eastAsia="zh-CN"/>
        </w:rPr>
        <w:t>《湖南省水污染防治实施细则》和《湖南省饮用水水源保护条例》</w:t>
      </w:r>
      <w:r>
        <w:rPr>
          <w:rFonts w:hint="eastAsia" w:ascii="Times New Roman" w:hAnsi="Times New Roman" w:eastAsia="宋体" w:cs="Times New Roman"/>
          <w:color w:val="auto"/>
          <w:spacing w:val="0"/>
          <w:w w:val="100"/>
          <w:position w:val="0"/>
          <w:sz w:val="24"/>
          <w:szCs w:val="24"/>
          <w:u w:val="none" w:color="auto"/>
          <w:lang w:val="en-US" w:eastAsia="zh-CN"/>
        </w:rPr>
        <w:t>、</w:t>
      </w:r>
      <w:r>
        <w:rPr>
          <w:rFonts w:hint="default" w:ascii="Times New Roman" w:hAnsi="Times New Roman" w:eastAsia="宋体" w:cs="Times New Roman"/>
          <w:color w:val="auto"/>
          <w:spacing w:val="0"/>
          <w:w w:val="100"/>
          <w:kern w:val="0"/>
          <w:position w:val="0"/>
          <w:sz w:val="24"/>
          <w:highlight w:val="none"/>
          <w:u w:val="none" w:color="auto"/>
        </w:rPr>
        <w:t>《中华人民共和国长江保护法》</w:t>
      </w:r>
      <w:r>
        <w:rPr>
          <w:rFonts w:hint="eastAsia" w:ascii="Times New Roman" w:hAnsi="Times New Roman" w:eastAsia="宋体" w:cs="Times New Roman"/>
          <w:color w:val="auto"/>
          <w:spacing w:val="0"/>
          <w:w w:val="100"/>
          <w:kern w:val="0"/>
          <w:position w:val="0"/>
          <w:sz w:val="24"/>
          <w:highlight w:val="none"/>
          <w:u w:val="none" w:color="auto"/>
          <w:lang w:eastAsia="zh-CN"/>
        </w:rPr>
        <w:t>、</w:t>
      </w:r>
      <w:r>
        <w:rPr>
          <w:rFonts w:hint="default" w:ascii="Times New Roman" w:hAnsi="Times New Roman" w:eastAsia="宋体" w:cs="Times New Roman"/>
          <w:color w:val="auto"/>
          <w:spacing w:val="0"/>
          <w:w w:val="100"/>
          <w:kern w:val="0"/>
          <w:position w:val="0"/>
          <w:sz w:val="24"/>
          <w:highlight w:val="none"/>
          <w:u w:val="none" w:color="auto"/>
          <w:lang w:eastAsia="zh-CN"/>
        </w:rPr>
        <w:t>《</w:t>
      </w:r>
      <w:r>
        <w:rPr>
          <w:rFonts w:hint="default" w:ascii="Times New Roman" w:hAnsi="Times New Roman" w:eastAsia="宋体" w:cs="Times New Roman"/>
          <w:color w:val="auto"/>
          <w:spacing w:val="0"/>
          <w:w w:val="100"/>
          <w:kern w:val="0"/>
          <w:position w:val="0"/>
          <w:sz w:val="24"/>
          <w:highlight w:val="none"/>
          <w:u w:val="none" w:color="auto"/>
        </w:rPr>
        <w:t>中华人民共和国森林法</w:t>
      </w:r>
      <w:r>
        <w:rPr>
          <w:rFonts w:hint="default" w:ascii="Times New Roman" w:hAnsi="Times New Roman" w:eastAsia="宋体" w:cs="Times New Roman"/>
          <w:color w:val="auto"/>
          <w:spacing w:val="0"/>
          <w:w w:val="100"/>
          <w:kern w:val="0"/>
          <w:position w:val="0"/>
          <w:sz w:val="24"/>
          <w:highlight w:val="none"/>
          <w:u w:val="none" w:color="auto"/>
          <w:lang w:eastAsia="zh-CN"/>
        </w:rPr>
        <w:t>》、《湖南省森林公园条例》</w:t>
      </w:r>
      <w:r>
        <w:rPr>
          <w:rFonts w:hint="default" w:ascii="Times New Roman" w:hAnsi="Times New Roman" w:eastAsia="宋体" w:cs="Times New Roman"/>
          <w:color w:val="auto"/>
          <w:spacing w:val="0"/>
          <w:w w:val="100"/>
          <w:position w:val="0"/>
          <w:sz w:val="24"/>
          <w:szCs w:val="24"/>
          <w:u w:val="none" w:color="auto"/>
          <w:lang w:val="en-US" w:eastAsia="zh-CN"/>
        </w:rPr>
        <w:t>相关要求。</w:t>
      </w:r>
      <w:r>
        <w:rPr>
          <w:rFonts w:hint="default" w:ascii="Times New Roman" w:hAnsi="Times New Roman" w:eastAsia="宋体" w:cs="Times New Roman"/>
          <w:color w:val="FF0000"/>
          <w:spacing w:val="0"/>
          <w:w w:val="100"/>
          <w:position w:val="0"/>
          <w:sz w:val="24"/>
          <w:szCs w:val="24"/>
          <w:u w:val="none" w:color="auto"/>
          <w:lang w:val="en-US" w:eastAsia="zh-CN"/>
        </w:rPr>
        <w:t xml:space="preserve"> </w:t>
      </w:r>
    </w:p>
    <w:p w14:paraId="62C3DEC8">
      <w:pPr>
        <w:keepNext w:val="0"/>
        <w:keepLines w:val="0"/>
        <w:pageBreakBefore w:val="0"/>
        <w:kinsoku w:val="0"/>
        <w:wordWrap w:val="0"/>
        <w:overflowPunct/>
        <w:topLinePunct/>
        <w:autoSpaceDE/>
        <w:autoSpaceDN/>
        <w:bidi w:val="0"/>
        <w:adjustRightInd w:val="0"/>
        <w:spacing w:line="360" w:lineRule="auto"/>
        <w:ind w:firstLine="480" w:firstLineChars="200"/>
        <w:textAlignment w:val="auto"/>
        <w:rPr>
          <w:rFonts w:hint="default" w:ascii="Times New Roman" w:hAnsi="Times New Roman" w:eastAsia="宋体" w:cs="Times New Roman"/>
          <w:color w:val="auto"/>
          <w:spacing w:val="0"/>
          <w:w w:val="100"/>
          <w:kern w:val="0"/>
          <w:position w:val="0"/>
          <w:sz w:val="24"/>
          <w:highlight w:val="none"/>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 </w:t>
      </w:r>
      <w:r>
        <w:rPr>
          <w:rFonts w:hint="default" w:ascii="Times New Roman" w:hAnsi="Times New Roman" w:eastAsia="宋体" w:cs="Times New Roman"/>
          <w:color w:val="auto"/>
          <w:spacing w:val="0"/>
          <w:w w:val="100"/>
          <w:kern w:val="0"/>
          <w:position w:val="0"/>
          <w:sz w:val="24"/>
          <w:highlight w:val="none"/>
          <w:u w:val="none" w:color="auto"/>
          <w:lang w:eastAsia="zh-CN"/>
        </w:rPr>
        <w:t>本工程</w:t>
      </w:r>
      <w:r>
        <w:rPr>
          <w:rFonts w:hint="default" w:ascii="Times New Roman" w:hAnsi="Times New Roman" w:eastAsia="宋体" w:cs="Times New Roman"/>
          <w:color w:val="auto"/>
          <w:spacing w:val="0"/>
          <w:w w:val="100"/>
          <w:kern w:val="0"/>
          <w:position w:val="0"/>
          <w:sz w:val="24"/>
          <w:highlight w:val="none"/>
          <w:u w:val="none" w:color="auto"/>
        </w:rPr>
        <w:t>建设不会破坏原有生态功能，项目建设符合</w:t>
      </w:r>
      <w:r>
        <w:rPr>
          <w:rFonts w:hint="default" w:ascii="Times New Roman" w:hAnsi="Times New Roman" w:eastAsia="宋体" w:cs="Times New Roman"/>
          <w:color w:val="auto"/>
          <w:spacing w:val="0"/>
          <w:w w:val="100"/>
          <w:kern w:val="0"/>
          <w:position w:val="0"/>
          <w:sz w:val="24"/>
          <w:highlight w:val="none"/>
          <w:u w:val="none" w:color="auto"/>
          <w:lang w:eastAsia="zh-CN"/>
        </w:rPr>
        <w:t>全国</w:t>
      </w:r>
      <w:r>
        <w:rPr>
          <w:rFonts w:hint="default" w:ascii="Times New Roman" w:hAnsi="Times New Roman" w:eastAsia="宋体" w:cs="Times New Roman"/>
          <w:color w:val="auto"/>
          <w:spacing w:val="0"/>
          <w:w w:val="100"/>
          <w:kern w:val="0"/>
          <w:position w:val="0"/>
          <w:sz w:val="24"/>
          <w:highlight w:val="none"/>
          <w:u w:val="none" w:color="auto"/>
        </w:rPr>
        <w:t>生态功能区划要求</w:t>
      </w:r>
      <w:r>
        <w:rPr>
          <w:rFonts w:hint="eastAsia" w:ascii="Times New Roman" w:hAnsi="Times New Roman" w:eastAsia="宋体" w:cs="Times New Roman"/>
          <w:color w:val="auto"/>
          <w:spacing w:val="0"/>
          <w:w w:val="100"/>
          <w:kern w:val="0"/>
          <w:position w:val="0"/>
          <w:sz w:val="24"/>
          <w:highlight w:val="none"/>
          <w:u w:val="none" w:color="auto"/>
          <w:lang w:eastAsia="zh-CN"/>
        </w:rPr>
        <w:t>，</w:t>
      </w:r>
      <w:r>
        <w:rPr>
          <w:rFonts w:hint="default" w:ascii="Times New Roman" w:hAnsi="Times New Roman" w:eastAsia="宋体" w:cs="Times New Roman"/>
          <w:color w:val="auto"/>
          <w:spacing w:val="0"/>
          <w:w w:val="100"/>
          <w:kern w:val="0"/>
          <w:position w:val="0"/>
          <w:sz w:val="24"/>
          <w:highlight w:val="none"/>
          <w:u w:val="none" w:color="auto"/>
          <w:lang w:val="en-US" w:eastAsia="zh-CN"/>
        </w:rPr>
        <w:t>符合《湖南省主体功能区规划》相关要求</w:t>
      </w:r>
      <w:r>
        <w:rPr>
          <w:rFonts w:hint="default" w:ascii="Times New Roman" w:hAnsi="Times New Roman" w:eastAsia="宋体" w:cs="Times New Roman"/>
          <w:color w:val="auto"/>
          <w:spacing w:val="0"/>
          <w:w w:val="100"/>
          <w:kern w:val="0"/>
          <w:position w:val="0"/>
          <w:sz w:val="24"/>
          <w:highlight w:val="none"/>
          <w:u w:val="none" w:color="auto"/>
        </w:rPr>
        <w:t>。</w:t>
      </w:r>
    </w:p>
    <w:p w14:paraId="69279464">
      <w:pPr>
        <w:keepNext w:val="0"/>
        <w:keepLines w:val="0"/>
        <w:pageBreakBefore w:val="0"/>
        <w:overflowPunct/>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lang w:eastAsia="zh-CN"/>
        </w:rPr>
        <w:t>东山</w:t>
      </w:r>
      <w:r>
        <w:rPr>
          <w:rFonts w:hint="default" w:ascii="Times New Roman" w:hAnsi="Times New Roman" w:eastAsia="宋体" w:cs="Times New Roman"/>
          <w:color w:val="auto"/>
          <w:spacing w:val="0"/>
          <w:w w:val="100"/>
          <w:kern w:val="0"/>
          <w:position w:val="0"/>
          <w:sz w:val="24"/>
          <w:highlight w:val="none"/>
          <w:u w:val="none" w:color="auto"/>
        </w:rPr>
        <w:t>水库除险加固工程通过采取工程措施对大坝维修加固，旨在消除大坝安全隐患，保障水库和流域防洪安全，确保枢纽工程安全可靠运行，符合《长江流域综合规划》《长江流域防洪规划》相关要求。</w:t>
      </w:r>
    </w:p>
    <w:p w14:paraId="620572F1">
      <w:pPr>
        <w:keepNext w:val="0"/>
        <w:keepLines w:val="0"/>
        <w:pageBreakBefore w:val="0"/>
        <w:kinsoku w:val="0"/>
        <w:wordWrap w:val="0"/>
        <w:overflowPunct/>
        <w:topLinePunct/>
        <w:autoSpaceDE/>
        <w:autoSpaceDN/>
        <w:bidi w:val="0"/>
        <w:adjustRightInd w:val="0"/>
        <w:spacing w:line="360" w:lineRule="auto"/>
        <w:ind w:firstLine="480" w:firstLineChars="200"/>
        <w:textAlignment w:val="auto"/>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lang w:eastAsia="zh-CN"/>
        </w:rPr>
        <w:t>东山</w:t>
      </w:r>
      <w:r>
        <w:rPr>
          <w:rFonts w:hint="default" w:ascii="Times New Roman" w:hAnsi="Times New Roman" w:eastAsia="宋体" w:cs="Times New Roman"/>
          <w:color w:val="auto"/>
          <w:spacing w:val="0"/>
          <w:w w:val="100"/>
          <w:kern w:val="0"/>
          <w:position w:val="0"/>
          <w:sz w:val="24"/>
          <w:highlight w:val="none"/>
          <w:u w:val="none" w:color="auto"/>
        </w:rPr>
        <w:t>水库除险加固工程施工期生产</w:t>
      </w:r>
      <w:r>
        <w:rPr>
          <w:rFonts w:hint="eastAsia" w:ascii="Times New Roman" w:hAnsi="Times New Roman" w:eastAsia="宋体" w:cs="Times New Roman"/>
          <w:color w:val="auto"/>
          <w:spacing w:val="0"/>
          <w:w w:val="100"/>
          <w:kern w:val="0"/>
          <w:position w:val="0"/>
          <w:sz w:val="24"/>
          <w:highlight w:val="none"/>
          <w:u w:val="none" w:color="auto"/>
          <w:lang w:eastAsia="zh-CN"/>
        </w:rPr>
        <w:t>废</w:t>
      </w:r>
      <w:r>
        <w:rPr>
          <w:rFonts w:hint="default" w:ascii="Times New Roman" w:hAnsi="Times New Roman" w:eastAsia="宋体" w:cs="Times New Roman"/>
          <w:color w:val="auto"/>
          <w:spacing w:val="0"/>
          <w:w w:val="100"/>
          <w:kern w:val="0"/>
          <w:position w:val="0"/>
          <w:sz w:val="24"/>
          <w:highlight w:val="none"/>
          <w:u w:val="none" w:color="auto"/>
        </w:rPr>
        <w:t>水</w:t>
      </w:r>
      <w:r>
        <w:rPr>
          <w:rFonts w:hint="default" w:ascii="Times New Roman" w:hAnsi="Times New Roman" w:eastAsia="宋体" w:cs="Times New Roman"/>
          <w:color w:val="auto"/>
          <w:spacing w:val="0"/>
          <w:w w:val="100"/>
          <w:kern w:val="0"/>
          <w:position w:val="0"/>
          <w:sz w:val="24"/>
          <w:highlight w:val="none"/>
          <w:u w:val="none" w:color="auto"/>
          <w:lang w:eastAsia="zh-CN"/>
        </w:rPr>
        <w:t>经</w:t>
      </w:r>
      <w:r>
        <w:rPr>
          <w:rFonts w:hint="default" w:ascii="Times New Roman" w:hAnsi="Times New Roman" w:eastAsia="宋体" w:cs="Times New Roman"/>
          <w:color w:val="auto"/>
          <w:spacing w:val="0"/>
          <w:w w:val="100"/>
          <w:kern w:val="0"/>
          <w:position w:val="0"/>
          <w:sz w:val="24"/>
          <w:highlight w:val="none"/>
          <w:u w:val="none" w:color="auto"/>
        </w:rPr>
        <w:t>处理后回用，工程建设对周围水环境影响较小，施工结束后采取生态恢复等措施，将对生态环境影响降至最低。综上，</w:t>
      </w:r>
      <w:r>
        <w:rPr>
          <w:rFonts w:hint="default" w:ascii="Times New Roman" w:hAnsi="Times New Roman" w:eastAsia="宋体" w:cs="Times New Roman"/>
          <w:color w:val="auto"/>
          <w:spacing w:val="0"/>
          <w:w w:val="100"/>
          <w:kern w:val="0"/>
          <w:position w:val="0"/>
          <w:sz w:val="24"/>
          <w:highlight w:val="none"/>
          <w:u w:val="none" w:color="auto"/>
          <w:lang w:eastAsia="zh-CN"/>
        </w:rPr>
        <w:t>东山</w:t>
      </w:r>
      <w:r>
        <w:rPr>
          <w:rFonts w:hint="default" w:ascii="Times New Roman" w:hAnsi="Times New Roman" w:eastAsia="宋体" w:cs="Times New Roman"/>
          <w:color w:val="auto"/>
          <w:spacing w:val="0"/>
          <w:w w:val="100"/>
          <w:kern w:val="0"/>
          <w:position w:val="0"/>
          <w:sz w:val="24"/>
          <w:highlight w:val="none"/>
          <w:u w:val="none" w:color="auto"/>
        </w:rPr>
        <w:t>水库除险加固工程总体符合《长江经济带生态环境保护规划》</w:t>
      </w:r>
      <w:r>
        <w:rPr>
          <w:rFonts w:hint="default" w:ascii="Times New Roman" w:hAnsi="Times New Roman" w:eastAsia="宋体" w:cs="Times New Roman"/>
          <w:color w:val="auto"/>
          <w:spacing w:val="0"/>
          <w:w w:val="100"/>
          <w:kern w:val="0"/>
          <w:position w:val="0"/>
          <w:sz w:val="24"/>
          <w:highlight w:val="none"/>
          <w:u w:val="none" w:color="auto"/>
          <w:lang w:eastAsia="zh-CN"/>
        </w:rPr>
        <w:t>相关</w:t>
      </w:r>
      <w:r>
        <w:rPr>
          <w:rFonts w:hint="default" w:ascii="Times New Roman" w:hAnsi="Times New Roman" w:eastAsia="宋体" w:cs="Times New Roman"/>
          <w:color w:val="auto"/>
          <w:spacing w:val="0"/>
          <w:w w:val="100"/>
          <w:kern w:val="0"/>
          <w:position w:val="0"/>
          <w:sz w:val="24"/>
          <w:highlight w:val="none"/>
          <w:u w:val="none" w:color="auto"/>
        </w:rPr>
        <w:t>要求。</w:t>
      </w:r>
    </w:p>
    <w:p w14:paraId="725C8094">
      <w:pPr>
        <w:pStyle w:val="105"/>
        <w:keepNext w:val="0"/>
        <w:keepLines w:val="0"/>
        <w:pageBreakBefore w:val="0"/>
        <w:overflowPunct/>
        <w:bidi w:val="0"/>
        <w:spacing w:line="360" w:lineRule="auto"/>
        <w:textAlignment w:val="auto"/>
        <w:rPr>
          <w:rFonts w:hint="default" w:ascii="Times New Roman" w:hAnsi="Times New Roman" w:cs="Times New Roman"/>
          <w:color w:val="000000" w:themeColor="text1"/>
          <w:spacing w:val="0"/>
          <w:w w:val="100"/>
          <w:position w:val="0"/>
          <w:u w:val="none" w:color="auto"/>
          <w:lang w:val="en-US" w:eastAsia="zh-CN"/>
          <w14:textFill>
            <w14:solidFill>
              <w14:schemeClr w14:val="tx1"/>
            </w14:solidFill>
          </w14:textFill>
        </w:rPr>
      </w:pPr>
      <w:r>
        <w:rPr>
          <w:rFonts w:hint="default" w:ascii="Times New Roman" w:hAnsi="Times New Roman" w:eastAsia="宋体" w:cs="Times New Roman"/>
          <w:color w:val="auto"/>
          <w:spacing w:val="0"/>
          <w:w w:val="100"/>
          <w:kern w:val="0"/>
          <w:position w:val="0"/>
          <w:sz w:val="24"/>
          <w:highlight w:val="none"/>
          <w:u w:val="none" w:color="auto"/>
          <w:lang w:val="en-US" w:eastAsia="zh-CN"/>
        </w:rPr>
        <w:t>本工程符合《湖南省“十四五”生态环境保护规划》相关要求</w:t>
      </w:r>
      <w:r>
        <w:rPr>
          <w:rFonts w:hint="eastAsia" w:cs="Times New Roman"/>
          <w:color w:val="auto"/>
          <w:spacing w:val="0"/>
          <w:w w:val="100"/>
          <w:kern w:val="0"/>
          <w:position w:val="0"/>
          <w:sz w:val="24"/>
          <w:highlight w:val="none"/>
          <w:u w:val="none" w:color="auto"/>
          <w:lang w:val="en-US" w:eastAsia="zh-CN"/>
        </w:rPr>
        <w:t>。</w:t>
      </w:r>
      <w:r>
        <w:rPr>
          <w:rFonts w:hint="default" w:ascii="Times New Roman" w:hAnsi="Times New Roman" w:cs="Times New Roman"/>
          <w:color w:val="000000" w:themeColor="text1"/>
          <w:spacing w:val="0"/>
          <w:w w:val="100"/>
          <w:position w:val="0"/>
          <w:u w:val="none" w:color="auto"/>
          <w:lang w:eastAsia="zh-CN"/>
          <w14:textFill>
            <w14:solidFill>
              <w14:schemeClr w14:val="tx1"/>
            </w14:solidFill>
          </w14:textFill>
        </w:rPr>
        <w:t>本项目为规划中提到的东山水库除险加固工程，因此本项目与《岳阳市“十四五”水资源配置规划》相符。</w:t>
      </w:r>
    </w:p>
    <w:p w14:paraId="59E6FA81">
      <w:pPr>
        <w:keepNext w:val="0"/>
        <w:keepLines w:val="0"/>
        <w:pageBreakBefore w:val="0"/>
        <w:overflowPunct/>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lang w:val="en-US" w:eastAsia="zh-CN"/>
        </w:rPr>
        <w:t>本项目所处位置属于湖南华容桃花山省级森林公园中的一般游憩区</w:t>
      </w:r>
      <w:r>
        <w:rPr>
          <w:rFonts w:hint="eastAsia" w:ascii="Times New Roman" w:hAnsi="Times New Roman" w:eastAsia="宋体" w:cs="Times New Roman"/>
          <w:color w:val="auto"/>
          <w:spacing w:val="0"/>
          <w:w w:val="100"/>
          <w:kern w:val="0"/>
          <w:position w:val="0"/>
          <w:sz w:val="24"/>
          <w:highlight w:val="none"/>
          <w:u w:val="none" w:color="auto"/>
          <w:lang w:val="en-US" w:eastAsia="zh-CN"/>
        </w:rPr>
        <w:t>，</w:t>
      </w:r>
      <w:r>
        <w:rPr>
          <w:rFonts w:hint="default" w:ascii="Times New Roman" w:hAnsi="Times New Roman" w:eastAsia="宋体" w:cs="Times New Roman"/>
          <w:color w:val="auto"/>
          <w:spacing w:val="0"/>
          <w:w w:val="100"/>
          <w:kern w:val="0"/>
          <w:position w:val="0"/>
          <w:sz w:val="24"/>
          <w:highlight w:val="none"/>
          <w:u w:val="none" w:color="auto"/>
          <w:lang w:val="en-US" w:eastAsia="zh-CN"/>
        </w:rPr>
        <w:t>施工期</w:t>
      </w:r>
      <w:r>
        <w:rPr>
          <w:rFonts w:hint="default" w:ascii="Times New Roman" w:hAnsi="Times New Roman" w:eastAsia="宋体" w:cs="Times New Roman"/>
          <w:color w:val="auto"/>
          <w:spacing w:val="0"/>
          <w:w w:val="100"/>
          <w:kern w:val="0"/>
          <w:position w:val="0"/>
          <w:sz w:val="24"/>
          <w:highlight w:val="none"/>
          <w:u w:val="none" w:color="auto"/>
        </w:rPr>
        <w:t>生产</w:t>
      </w:r>
      <w:r>
        <w:rPr>
          <w:rFonts w:hint="eastAsia" w:ascii="Times New Roman" w:hAnsi="Times New Roman" w:eastAsia="宋体" w:cs="Times New Roman"/>
          <w:color w:val="auto"/>
          <w:spacing w:val="0"/>
          <w:w w:val="100"/>
          <w:kern w:val="0"/>
          <w:position w:val="0"/>
          <w:sz w:val="24"/>
          <w:highlight w:val="none"/>
          <w:u w:val="none" w:color="auto"/>
          <w:lang w:eastAsia="zh-CN"/>
        </w:rPr>
        <w:t>废</w:t>
      </w:r>
      <w:r>
        <w:rPr>
          <w:rFonts w:hint="default" w:ascii="Times New Roman" w:hAnsi="Times New Roman" w:eastAsia="宋体" w:cs="Times New Roman"/>
          <w:color w:val="auto"/>
          <w:spacing w:val="0"/>
          <w:w w:val="100"/>
          <w:kern w:val="0"/>
          <w:position w:val="0"/>
          <w:sz w:val="24"/>
          <w:highlight w:val="none"/>
          <w:u w:val="none" w:color="auto"/>
        </w:rPr>
        <w:t>水</w:t>
      </w:r>
      <w:r>
        <w:rPr>
          <w:rFonts w:hint="default" w:ascii="Times New Roman" w:hAnsi="Times New Roman" w:eastAsia="宋体" w:cs="Times New Roman"/>
          <w:color w:val="auto"/>
          <w:spacing w:val="0"/>
          <w:w w:val="100"/>
          <w:kern w:val="0"/>
          <w:position w:val="0"/>
          <w:sz w:val="24"/>
          <w:highlight w:val="none"/>
          <w:u w:val="none" w:color="auto"/>
          <w:lang w:eastAsia="zh-CN"/>
        </w:rPr>
        <w:t>经</w:t>
      </w:r>
      <w:r>
        <w:rPr>
          <w:rFonts w:hint="default" w:ascii="Times New Roman" w:hAnsi="Times New Roman" w:eastAsia="宋体" w:cs="Times New Roman"/>
          <w:color w:val="auto"/>
          <w:spacing w:val="0"/>
          <w:w w:val="100"/>
          <w:kern w:val="0"/>
          <w:position w:val="0"/>
          <w:sz w:val="24"/>
          <w:highlight w:val="none"/>
          <w:u w:val="none" w:color="auto"/>
        </w:rPr>
        <w:t>处理后回用，工程建设对周围水环境影响较小，施工结束后采取生态恢复等措施，将对生态环境影响降至最低。</w:t>
      </w:r>
      <w:r>
        <w:rPr>
          <w:rFonts w:hint="default" w:ascii="Times New Roman" w:hAnsi="Times New Roman" w:eastAsia="宋体" w:cs="Times New Roman"/>
          <w:color w:val="auto"/>
          <w:spacing w:val="0"/>
          <w:w w:val="100"/>
          <w:kern w:val="0"/>
          <w:position w:val="0"/>
          <w:sz w:val="24"/>
          <w:highlight w:val="none"/>
          <w:u w:val="none" w:color="auto"/>
          <w:lang w:eastAsia="zh-CN"/>
        </w:rPr>
        <w:t>本项目</w:t>
      </w:r>
      <w:r>
        <w:rPr>
          <w:rFonts w:hint="default" w:ascii="Times New Roman" w:hAnsi="Times New Roman" w:eastAsia="宋体" w:cs="Times New Roman"/>
          <w:color w:val="auto"/>
          <w:spacing w:val="0"/>
          <w:w w:val="100"/>
          <w:kern w:val="0"/>
          <w:position w:val="0"/>
          <w:sz w:val="24"/>
          <w:highlight w:val="none"/>
          <w:u w:val="none" w:color="auto"/>
        </w:rPr>
        <w:t>总体符合《</w:t>
      </w:r>
      <w:r>
        <w:rPr>
          <w:rFonts w:hint="default" w:ascii="Times New Roman" w:hAnsi="Times New Roman" w:eastAsia="宋体" w:cs="Times New Roman"/>
          <w:color w:val="auto"/>
          <w:spacing w:val="0"/>
          <w:w w:val="100"/>
          <w:kern w:val="0"/>
          <w:position w:val="0"/>
          <w:sz w:val="24"/>
          <w:highlight w:val="none"/>
          <w:u w:val="none" w:color="auto"/>
          <w:lang w:val="en-US" w:eastAsia="zh-CN"/>
        </w:rPr>
        <w:t>湖南华容桃花山省级森林公园总体规划</w:t>
      </w:r>
      <w:r>
        <w:rPr>
          <w:rFonts w:hint="default" w:ascii="Times New Roman" w:hAnsi="Times New Roman" w:eastAsia="宋体" w:cs="Times New Roman"/>
          <w:color w:val="auto"/>
          <w:spacing w:val="0"/>
          <w:w w:val="100"/>
          <w:kern w:val="0"/>
          <w:position w:val="0"/>
          <w:sz w:val="24"/>
          <w:highlight w:val="none"/>
          <w:u w:val="none" w:color="auto"/>
        </w:rPr>
        <w:t>》</w:t>
      </w:r>
      <w:r>
        <w:rPr>
          <w:rFonts w:hint="default" w:ascii="Times New Roman" w:hAnsi="Times New Roman" w:eastAsia="宋体" w:cs="Times New Roman"/>
          <w:color w:val="auto"/>
          <w:spacing w:val="0"/>
          <w:w w:val="100"/>
          <w:kern w:val="0"/>
          <w:position w:val="0"/>
          <w:sz w:val="24"/>
          <w:highlight w:val="none"/>
          <w:u w:val="none" w:color="auto"/>
          <w:lang w:eastAsia="zh-CN"/>
        </w:rPr>
        <w:t>相关</w:t>
      </w:r>
      <w:r>
        <w:rPr>
          <w:rFonts w:hint="default" w:ascii="Times New Roman" w:hAnsi="Times New Roman" w:eastAsia="宋体" w:cs="Times New Roman"/>
          <w:color w:val="auto"/>
          <w:spacing w:val="0"/>
          <w:w w:val="100"/>
          <w:kern w:val="0"/>
          <w:position w:val="0"/>
          <w:sz w:val="24"/>
          <w:highlight w:val="none"/>
          <w:u w:val="none" w:color="auto"/>
        </w:rPr>
        <w:t>要求。</w:t>
      </w:r>
    </w:p>
    <w:p w14:paraId="54436354">
      <w:pPr>
        <w:autoSpaceDE w:val="0"/>
        <w:autoSpaceDN w:val="0"/>
        <w:adjustRightInd w:val="0"/>
        <w:snapToGrid w:val="0"/>
        <w:spacing w:line="360" w:lineRule="auto"/>
        <w:ind w:firstLine="480" w:firstLineChars="200"/>
        <w:rPr>
          <w:rFonts w:hint="default" w:ascii="Times New Roman" w:hAnsi="Times New Roman" w:eastAsia="宋体" w:cs="Times New Roman"/>
          <w:color w:val="auto"/>
          <w:spacing w:val="0"/>
          <w:w w:val="100"/>
          <w:kern w:val="0"/>
          <w:position w:val="0"/>
          <w:sz w:val="24"/>
          <w:highlight w:val="none"/>
          <w:u w:val="none" w:color="auto"/>
        </w:rPr>
      </w:pPr>
      <w:r>
        <w:rPr>
          <w:rFonts w:hint="default" w:ascii="Times New Roman" w:hAnsi="Times New Roman" w:eastAsia="宋体" w:cs="Times New Roman"/>
          <w:color w:val="auto"/>
          <w:spacing w:val="0"/>
          <w:w w:val="100"/>
          <w:kern w:val="0"/>
          <w:position w:val="0"/>
          <w:sz w:val="24"/>
          <w:highlight w:val="none"/>
          <w:u w:val="none" w:color="auto"/>
          <w:lang w:eastAsia="zh-CN"/>
        </w:rPr>
        <w:t>本项目位于岳阳市</w:t>
      </w:r>
      <w:r>
        <w:rPr>
          <w:rFonts w:hint="default" w:ascii="Times New Roman" w:hAnsi="Times New Roman" w:eastAsia="宋体" w:cs="Times New Roman"/>
          <w:color w:val="auto"/>
          <w:spacing w:val="0"/>
          <w:w w:val="100"/>
          <w:kern w:val="0"/>
          <w:position w:val="0"/>
          <w:sz w:val="24"/>
          <w:highlight w:val="none"/>
          <w:u w:val="none" w:color="auto"/>
        </w:rPr>
        <w:t>生态保护红线</w:t>
      </w:r>
      <w:r>
        <w:rPr>
          <w:rFonts w:hint="default" w:ascii="Times New Roman" w:hAnsi="Times New Roman" w:eastAsia="宋体" w:cs="Times New Roman"/>
          <w:color w:val="auto"/>
          <w:spacing w:val="0"/>
          <w:w w:val="100"/>
          <w:kern w:val="0"/>
          <w:position w:val="0"/>
          <w:sz w:val="24"/>
          <w:highlight w:val="none"/>
          <w:u w:val="none" w:color="auto"/>
          <w:lang w:eastAsia="zh-CN"/>
        </w:rPr>
        <w:t>范围内，</w:t>
      </w:r>
      <w:r>
        <w:rPr>
          <w:rFonts w:hint="default" w:ascii="Times New Roman" w:hAnsi="Times New Roman" w:eastAsia="宋体" w:cs="Times New Roman"/>
          <w:color w:val="auto"/>
          <w:spacing w:val="0"/>
          <w:w w:val="100"/>
          <w:kern w:val="0"/>
          <w:position w:val="0"/>
          <w:sz w:val="24"/>
          <w:highlight w:val="none"/>
          <w:u w:val="none" w:color="auto"/>
          <w:lang w:val="en-US" w:eastAsia="zh-CN"/>
        </w:rPr>
        <w:t xml:space="preserve">该工程属于“对生态功能不造成破坏的有限人为活动”中“6、必须且无法避让、符合县级以上国土空间规划的线性基础设施、通讯和防洪、供水设施建设和船舶航行、航道疏浚清淤等活动；已有的合法水利、交通运输等设施运行维护改造”类，项目不涉及新增建设用地，符合《自然资源部 生态环境部 国家林业和草原局关于加强生态保护红线管理的通知（试行）》（自然资发〔2022〕142号）要求。 </w:t>
      </w:r>
    </w:p>
    <w:p w14:paraId="48B4D6B6">
      <w:pPr>
        <w:pageBreakBefore w:val="0"/>
        <w:kinsoku w:val="0"/>
        <w:wordWrap w:val="0"/>
        <w:overflowPunct/>
        <w:topLinePunct/>
        <w:autoSpaceDE/>
        <w:autoSpaceDN/>
        <w:bidi w:val="0"/>
        <w:adjustRightInd w:val="0"/>
        <w:spacing w:line="500" w:lineRule="exact"/>
        <w:ind w:firstLine="480" w:firstLineChars="200"/>
        <w:rPr>
          <w:rFonts w:hint="eastAsia"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本项目符合生态保护红线相关管理办法的规定</w:t>
      </w:r>
      <w:r>
        <w:rPr>
          <w:rFonts w:hint="eastAsia"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项目的建设不会突破项目所在地的环境质量底线</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不会突破区域资源利用上线</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项目建设符合</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岳阳市生态环境准入及管控要求</w:t>
      </w:r>
      <w:r>
        <w:rPr>
          <w:rFonts w:hint="default" w:ascii="Times New Roman" w:hAnsi="Times New Roman" w:eastAsia="宋体" w:cs="Times New Roman"/>
          <w:caps w:val="0"/>
          <w:smallCaps w:val="0"/>
          <w:color w:val="auto"/>
          <w:spacing w:val="0"/>
          <w:w w:val="100"/>
          <w:kern w:val="0"/>
          <w:position w:val="0"/>
          <w:sz w:val="24"/>
          <w:szCs w:val="24"/>
          <w:u w:val="none" w:color="auto"/>
        </w:rPr>
        <w:t>清单的要求</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。因此项目符合“三线一单”管控要求。</w:t>
      </w:r>
    </w:p>
    <w:p w14:paraId="14FB8D95">
      <w:pPr>
        <w:pStyle w:val="3"/>
        <w:bidi w:val="0"/>
        <w:rPr>
          <w:rFonts w:hint="default"/>
          <w:lang w:val="en-US" w:eastAsia="zh-CN"/>
        </w:rPr>
      </w:pPr>
      <w:bookmarkStart w:id="378" w:name="_Toc17895"/>
      <w:r>
        <w:rPr>
          <w:rFonts w:hint="default"/>
          <w:lang w:val="en-US" w:eastAsia="zh-CN"/>
        </w:rPr>
        <w:t>选址合理性分析</w:t>
      </w:r>
      <w:bookmarkEnd w:id="378"/>
    </w:p>
    <w:p w14:paraId="740BBFF6">
      <w:pPr>
        <w:keepNext w:val="0"/>
        <w:keepLines w:val="0"/>
        <w:pageBreakBefore w:val="0"/>
        <w:widowControl w:val="0"/>
        <w:overflowPunct/>
        <w:autoSpaceDE/>
        <w:autoSpaceDN/>
        <w:bidi w:val="0"/>
        <w:snapToGrid/>
        <w:spacing w:line="360" w:lineRule="auto"/>
        <w:ind w:left="0" w:right="0" w:firstLine="509"/>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eastAsia" w:ascii="Times New Roman" w:hAnsi="Times New Roman" w:eastAsia="宋体" w:cs="Times New Roman"/>
          <w:color w:val="auto"/>
          <w:spacing w:val="0"/>
          <w:w w:val="100"/>
          <w:position w:val="0"/>
          <w:sz w:val="24"/>
          <w:szCs w:val="24"/>
          <w:u w:val="none" w:color="auto"/>
          <w:lang w:val="en-US" w:eastAsia="zh-CN"/>
        </w:rPr>
        <w:t>主体工程选址合理性：</w:t>
      </w:r>
      <w:r>
        <w:rPr>
          <w:rFonts w:hint="default" w:ascii="Times New Roman" w:hAnsi="Times New Roman" w:eastAsia="宋体" w:cs="Times New Roman"/>
          <w:color w:val="auto"/>
          <w:spacing w:val="0"/>
          <w:w w:val="100"/>
          <w:position w:val="0"/>
          <w:sz w:val="24"/>
          <w:szCs w:val="24"/>
          <w:u w:val="none" w:color="auto"/>
          <w:lang w:val="en-US" w:eastAsia="zh-CN"/>
        </w:rPr>
        <w:t>本工程在原址基础上进行建设，不改变水库的特性，不改变原水库坝前坝下水文情势，不新增淹没占地</w:t>
      </w:r>
      <w:r>
        <w:rPr>
          <w:rFonts w:hint="eastAsia" w:ascii="Times New Roman" w:hAnsi="Times New Roman" w:eastAsia="宋体" w:cs="Times New Roman"/>
          <w:color w:val="auto"/>
          <w:spacing w:val="0"/>
          <w:w w:val="100"/>
          <w:position w:val="0"/>
          <w:sz w:val="24"/>
          <w:szCs w:val="24"/>
          <w:u w:val="none" w:color="auto"/>
          <w:lang w:val="en-US" w:eastAsia="zh-CN"/>
        </w:rPr>
        <w:t>。</w:t>
      </w:r>
      <w:r>
        <w:rPr>
          <w:rFonts w:hint="default" w:ascii="Times New Roman" w:hAnsi="Times New Roman" w:eastAsia="宋体" w:cs="Times New Roman"/>
          <w:color w:val="auto"/>
          <w:spacing w:val="0"/>
          <w:w w:val="100"/>
          <w:position w:val="0"/>
          <w:sz w:val="24"/>
          <w:szCs w:val="24"/>
          <w:u w:val="none" w:color="auto"/>
          <w:lang w:val="en-US" w:eastAsia="zh-CN"/>
        </w:rPr>
        <w:t>工程建设涉及了岳阳市生态保护红线、华容县东山镇东山水库饮用水水源保护区、湖南华容桃花山省级森林公园和华容县生态公益林等环境敏感区，但由于本项目在已有工程原址上进行加固，具有不可避让性，且项目不新增用地，同时与相应环境敏感区的定位以及管理要求是相符的，因此在征得环境敏感区主管部门同意，且切实落实环评报告书提出的各项环境保护相关措施的基础上，本工程选址合理。</w:t>
      </w:r>
    </w:p>
    <w:p w14:paraId="08D9E18E">
      <w:pPr>
        <w:keepNext w:val="0"/>
        <w:keepLines w:val="0"/>
        <w:pageBreakBefore w:val="0"/>
        <w:widowControl w:val="0"/>
        <w:overflowPunct/>
        <w:autoSpaceDE/>
        <w:autoSpaceDN/>
        <w:bidi w:val="0"/>
        <w:snapToGrid/>
        <w:spacing w:line="360" w:lineRule="auto"/>
        <w:ind w:left="0" w:right="0" w:firstLine="509"/>
        <w:textAlignment w:val="auto"/>
        <w:rPr>
          <w:rFonts w:hint="default" w:ascii="Times New Roman" w:hAnsi="Times New Roman" w:eastAsia="宋体" w:cs="Times New Roman"/>
          <w:color w:val="auto"/>
          <w:spacing w:val="0"/>
          <w:w w:val="100"/>
          <w:position w:val="0"/>
          <w:sz w:val="24"/>
          <w:szCs w:val="24"/>
          <w:u w:val="none" w:color="auto"/>
          <w:lang w:val="en-US" w:eastAsia="zh-CN"/>
        </w:rPr>
      </w:pPr>
      <w:r>
        <w:rPr>
          <w:rFonts w:hint="default" w:ascii="Times New Roman" w:hAnsi="Times New Roman" w:eastAsia="宋体" w:cs="Times New Roman"/>
          <w:color w:val="auto"/>
          <w:spacing w:val="0"/>
          <w:w w:val="100"/>
          <w:position w:val="0"/>
          <w:sz w:val="24"/>
          <w:szCs w:val="24"/>
          <w:u w:val="none" w:color="auto"/>
          <w:lang w:val="en-US" w:eastAsia="zh-CN"/>
        </w:rPr>
        <w:t>临时堆土场合理性分析</w:t>
      </w:r>
      <w:r>
        <w:rPr>
          <w:rFonts w:hint="eastAsia" w:ascii="Times New Roman" w:hAnsi="Times New Roman" w:eastAsia="宋体" w:cs="Times New Roman"/>
          <w:color w:val="auto"/>
          <w:spacing w:val="0"/>
          <w:w w:val="100"/>
          <w:position w:val="0"/>
          <w:sz w:val="24"/>
          <w:szCs w:val="24"/>
          <w:u w:val="none" w:color="auto"/>
          <w:lang w:val="en-US" w:eastAsia="zh-CN"/>
        </w:rPr>
        <w:t>：</w:t>
      </w:r>
      <w:r>
        <w:rPr>
          <w:rFonts w:hint="default" w:ascii="Times New Roman" w:hAnsi="Times New Roman" w:eastAsia="宋体" w:cs="Times New Roman"/>
          <w:color w:val="auto"/>
          <w:spacing w:val="0"/>
          <w:w w:val="100"/>
          <w:position w:val="0"/>
          <w:sz w:val="24"/>
          <w:szCs w:val="24"/>
          <w:u w:val="none" w:color="auto"/>
          <w:lang w:val="en-US" w:eastAsia="zh-CN"/>
        </w:rPr>
        <w:t>临时堆土场改设在大坝下游</w:t>
      </w:r>
      <w:r>
        <w:rPr>
          <w:rFonts w:hint="eastAsia" w:ascii="Times New Roman" w:hAnsi="Times New Roman" w:eastAsia="宋体" w:cs="Times New Roman"/>
          <w:color w:val="auto"/>
          <w:spacing w:val="0"/>
          <w:w w:val="100"/>
          <w:position w:val="0"/>
          <w:sz w:val="24"/>
          <w:szCs w:val="24"/>
          <w:u w:val="none" w:color="auto"/>
          <w:lang w:val="en-US" w:eastAsia="zh-CN"/>
        </w:rPr>
        <w:t>，</w:t>
      </w:r>
      <w:r>
        <w:rPr>
          <w:rFonts w:hint="default" w:ascii="Times New Roman" w:hAnsi="Times New Roman" w:eastAsia="宋体" w:cs="Times New Roman"/>
          <w:color w:val="auto"/>
          <w:spacing w:val="0"/>
          <w:w w:val="100"/>
          <w:position w:val="0"/>
          <w:sz w:val="24"/>
          <w:szCs w:val="24"/>
          <w:u w:val="none" w:color="auto"/>
          <w:lang w:val="en-US" w:eastAsia="zh-CN"/>
        </w:rPr>
        <w:t>经过优化后的临时堆土场不再涉及环境敏感区。项目拟对临时堆土场进行密目网覆盖，定期洒水降尘，本工程施工结束后，将对临时堆土场占地撒草籽进行植被恢复，对项目周边环境影响较小。因此，优化后的临时堆土场选址合理。</w:t>
      </w:r>
    </w:p>
    <w:p w14:paraId="428F0D78">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leftChars="0" w:firstLine="42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eastAsia" w:ascii="Times New Roman" w:hAnsi="Times New Roman" w:cs="Times New Roman"/>
          <w:lang w:val="en-US" w:eastAsia="zh-CN"/>
        </w:rPr>
        <w:t xml:space="preserve"> </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施工</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临建设施</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合理性分析：</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施工</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临建设施</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不涉及饮用水水源保护区、省级森林公园、生态红线、生态公益林和永久基本农田等环境敏感区。施工结束后，将采用工程措施结合植物措施对场地进行恢复，消除不利影响。因此，本工程</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施工</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临建设施</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选址从环境上分析是合理的。</w:t>
      </w:r>
    </w:p>
    <w:p w14:paraId="2A01514A">
      <w:pPr>
        <w:keepNext w:val="0"/>
        <w:keepLines w:val="0"/>
        <w:pageBreakBefore w:val="0"/>
        <w:widowControl w:val="0"/>
        <w:numPr>
          <w:ilvl w:val="0"/>
          <w:numId w:val="0"/>
        </w:numPr>
        <w:kinsoku w:val="0"/>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弃渣场</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合理性分析：</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根据</w:t>
      </w:r>
      <w:r>
        <w:rPr>
          <w:rFonts w:hint="eastAsia"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与</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敏感区关系识别，</w:t>
      </w:r>
      <w:r>
        <w:rPr>
          <w:rFonts w:hint="eastAsia"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原设计的</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弃渣场涉及占用永久基本农田，与永久基本农田的管理要求不符。本次评价要求重新选择弃渣场位置，建议将弃渣场调整至大坝左坝下游（临时堆土场北侧）。</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经过优化调整后的弃渣场不再涉及环境敏感区。施工结束后，将采用工程措施结合植物措施对场地进行恢复，消除不利影响。因此，本工程调整后的弃渣场选址从环境上分析是合理的。</w:t>
      </w:r>
    </w:p>
    <w:p w14:paraId="7FF4B279">
      <w:pPr>
        <w:pStyle w:val="3"/>
        <w:bidi w:val="0"/>
        <w:rPr>
          <w:rFonts w:hint="default"/>
          <w:lang w:val="en-US" w:eastAsia="zh-CN"/>
        </w:rPr>
      </w:pPr>
      <w:bookmarkStart w:id="379" w:name="_Toc2303"/>
      <w:r>
        <w:rPr>
          <w:rFonts w:hint="default"/>
          <w:lang w:val="en-US" w:eastAsia="zh-CN"/>
        </w:rPr>
        <w:t>环境质量现状</w:t>
      </w:r>
      <w:bookmarkEnd w:id="379"/>
    </w:p>
    <w:p w14:paraId="7BC12D0F">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1</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环境空气质量现状</w:t>
      </w:r>
    </w:p>
    <w:p w14:paraId="353A8004">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olor w:val="auto"/>
          <w:spacing w:val="0"/>
          <w:w w:val="100"/>
          <w:kern w:val="0"/>
          <w:position w:val="0"/>
          <w:sz w:val="24"/>
          <w:u w:val="none" w:color="auto"/>
          <w:lang w:val="en-US" w:eastAsia="zh-CN"/>
        </w:rPr>
      </w:pPr>
      <w:r>
        <w:rPr>
          <w:rFonts w:hint="default" w:ascii="Times New Roman" w:hAnsi="Times New Roman" w:eastAsia="宋体" w:cs="Times New Roman"/>
          <w:color w:val="auto"/>
          <w:spacing w:val="0"/>
          <w:w w:val="100"/>
          <w:kern w:val="0"/>
          <w:position w:val="0"/>
          <w:sz w:val="24"/>
          <w:u w:val="none" w:color="auto"/>
          <w:lang w:val="en-US" w:eastAsia="zh-CN"/>
        </w:rPr>
        <w:t>2023年度华容县SO</w:t>
      </w:r>
      <w:r>
        <w:rPr>
          <w:rFonts w:hint="default" w:ascii="Times New Roman" w:hAnsi="Times New Roman" w:eastAsia="宋体" w:cs="Times New Roman"/>
          <w:color w:val="auto"/>
          <w:spacing w:val="0"/>
          <w:w w:val="100"/>
          <w:kern w:val="0"/>
          <w:position w:val="0"/>
          <w:sz w:val="24"/>
          <w:u w:val="none" w:color="auto"/>
          <w:vertAlign w:val="subscript"/>
          <w:lang w:val="en-US" w:eastAsia="zh-CN"/>
        </w:rPr>
        <w:t>2</w:t>
      </w:r>
      <w:r>
        <w:rPr>
          <w:rFonts w:hint="default" w:ascii="Times New Roman" w:hAnsi="Times New Roman" w:eastAsia="宋体" w:cs="Times New Roman"/>
          <w:color w:val="auto"/>
          <w:spacing w:val="0"/>
          <w:w w:val="100"/>
          <w:kern w:val="0"/>
          <w:position w:val="0"/>
          <w:sz w:val="24"/>
          <w:u w:val="none" w:color="auto"/>
          <w:lang w:val="en-US" w:eastAsia="zh-CN"/>
        </w:rPr>
        <w:t>、NO</w:t>
      </w:r>
      <w:r>
        <w:rPr>
          <w:rFonts w:hint="default" w:ascii="Times New Roman" w:hAnsi="Times New Roman" w:eastAsia="宋体" w:cs="Times New Roman"/>
          <w:color w:val="auto"/>
          <w:spacing w:val="0"/>
          <w:w w:val="100"/>
          <w:kern w:val="0"/>
          <w:position w:val="0"/>
          <w:sz w:val="24"/>
          <w:u w:val="none" w:color="auto"/>
          <w:vertAlign w:val="subscript"/>
          <w:lang w:val="en-US" w:eastAsia="zh-CN"/>
        </w:rPr>
        <w:t>2</w:t>
      </w:r>
      <w:r>
        <w:rPr>
          <w:rFonts w:hint="default" w:ascii="Times New Roman" w:hAnsi="Times New Roman" w:eastAsia="宋体" w:cs="Times New Roman"/>
          <w:color w:val="auto"/>
          <w:spacing w:val="0"/>
          <w:w w:val="100"/>
          <w:kern w:val="0"/>
          <w:position w:val="0"/>
          <w:sz w:val="24"/>
          <w:u w:val="none" w:color="auto"/>
          <w:lang w:val="en-US" w:eastAsia="zh-CN"/>
        </w:rPr>
        <w:t>、PM</w:t>
      </w:r>
      <w:r>
        <w:rPr>
          <w:rFonts w:hint="default" w:ascii="Times New Roman" w:hAnsi="Times New Roman" w:eastAsia="宋体" w:cs="Times New Roman"/>
          <w:color w:val="auto"/>
          <w:spacing w:val="0"/>
          <w:w w:val="100"/>
          <w:kern w:val="0"/>
          <w:position w:val="0"/>
          <w:sz w:val="24"/>
          <w:u w:val="none" w:color="auto"/>
          <w:vertAlign w:val="subscript"/>
          <w:lang w:val="en-US" w:eastAsia="zh-CN"/>
        </w:rPr>
        <w:t>10</w:t>
      </w:r>
      <w:r>
        <w:rPr>
          <w:rFonts w:hint="default" w:ascii="Times New Roman" w:hAnsi="Times New Roman" w:eastAsia="宋体" w:cs="Times New Roman"/>
          <w:color w:val="auto"/>
          <w:spacing w:val="0"/>
          <w:w w:val="100"/>
          <w:kern w:val="0"/>
          <w:position w:val="0"/>
          <w:sz w:val="24"/>
          <w:u w:val="none" w:color="auto"/>
          <w:lang w:val="en-US" w:eastAsia="zh-CN"/>
        </w:rPr>
        <w:t>、PM</w:t>
      </w:r>
      <w:r>
        <w:rPr>
          <w:rFonts w:hint="default" w:ascii="Times New Roman" w:hAnsi="Times New Roman" w:eastAsia="宋体" w:cs="Times New Roman"/>
          <w:color w:val="auto"/>
          <w:spacing w:val="0"/>
          <w:w w:val="100"/>
          <w:kern w:val="0"/>
          <w:position w:val="0"/>
          <w:sz w:val="24"/>
          <w:u w:val="none" w:color="auto"/>
          <w:vertAlign w:val="subscript"/>
          <w:lang w:val="en-US" w:eastAsia="zh-CN"/>
        </w:rPr>
        <w:t>2.5</w:t>
      </w:r>
      <w:r>
        <w:rPr>
          <w:rFonts w:hint="default" w:ascii="Times New Roman" w:hAnsi="Times New Roman" w:eastAsia="宋体" w:cs="Times New Roman"/>
          <w:color w:val="auto"/>
          <w:spacing w:val="0"/>
          <w:w w:val="100"/>
          <w:kern w:val="0"/>
          <w:position w:val="0"/>
          <w:sz w:val="24"/>
          <w:u w:val="none" w:color="auto"/>
          <w:lang w:val="en-US" w:eastAsia="zh-CN"/>
        </w:rPr>
        <w:t>的年均浓度，以及CO第95百分位数24小时平均浓度、O</w:t>
      </w:r>
      <w:r>
        <w:rPr>
          <w:rFonts w:hint="default" w:ascii="Times New Roman" w:hAnsi="Times New Roman" w:eastAsia="宋体" w:cs="Times New Roman"/>
          <w:color w:val="auto"/>
          <w:spacing w:val="0"/>
          <w:w w:val="100"/>
          <w:kern w:val="0"/>
          <w:position w:val="0"/>
          <w:sz w:val="24"/>
          <w:u w:val="none" w:color="auto"/>
          <w:vertAlign w:val="subscript"/>
          <w:lang w:val="en-US" w:eastAsia="zh-CN"/>
        </w:rPr>
        <w:t>3</w:t>
      </w:r>
      <w:r>
        <w:rPr>
          <w:rFonts w:hint="default" w:ascii="Times New Roman" w:hAnsi="Times New Roman" w:eastAsia="宋体" w:cs="Times New Roman"/>
          <w:color w:val="auto"/>
          <w:spacing w:val="0"/>
          <w:w w:val="100"/>
          <w:kern w:val="0"/>
          <w:position w:val="0"/>
          <w:sz w:val="24"/>
          <w:u w:val="none" w:color="auto"/>
          <w:lang w:val="en-US" w:eastAsia="zh-CN"/>
        </w:rPr>
        <w:t>第90百分位数最大8小时平均浓度均能满足《环境空气质量标准》（GB3095-2012）及修改单中的二级标准要求，属于环境空气质量达标区。</w:t>
      </w:r>
    </w:p>
    <w:p w14:paraId="2429A0B6">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rPr>
      </w:pPr>
      <w:r>
        <w:rPr>
          <w:rFonts w:hint="default" w:ascii="Times New Roman" w:hAnsi="Times New Roman" w:eastAsia="宋体" w:cs="Times New Roman"/>
          <w:color w:val="auto"/>
          <w:spacing w:val="0"/>
          <w:w w:val="100"/>
          <w:position w:val="0"/>
          <w:sz w:val="24"/>
          <w:u w:val="none" w:color="auto"/>
        </w:rPr>
        <w:t>项目所在区域</w:t>
      </w:r>
      <w:r>
        <w:rPr>
          <w:rFonts w:hint="default" w:ascii="Times New Roman" w:hAnsi="Times New Roman" w:eastAsia="宋体" w:cs="Times New Roman"/>
          <w:color w:val="auto"/>
          <w:spacing w:val="0"/>
          <w:w w:val="100"/>
          <w:kern w:val="0"/>
          <w:position w:val="0"/>
          <w:sz w:val="24"/>
          <w:u w:val="none" w:color="auto"/>
        </w:rPr>
        <w:t>TSP满足《环境空气质量标准》（GB3095-2012）中二级标准要求。</w:t>
      </w:r>
      <w:r>
        <w:rPr>
          <w:rFonts w:hint="eastAsia" w:ascii="Times New Roman" w:hAnsi="Times New Roman" w:eastAsia="宋体" w:cs="Times New Roman"/>
          <w:color w:val="auto"/>
          <w:spacing w:val="0"/>
          <w:w w:val="100"/>
          <w:kern w:val="0"/>
          <w:position w:val="0"/>
          <w:sz w:val="24"/>
          <w:u w:val="none" w:color="auto"/>
          <w:lang w:val="en-US" w:eastAsia="zh-CN"/>
        </w:rPr>
        <w:t xml:space="preserve"> </w:t>
      </w:r>
    </w:p>
    <w:p w14:paraId="1D08428C">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2</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地表水环境质量现状</w:t>
      </w:r>
    </w:p>
    <w:p w14:paraId="6CAA8C62">
      <w:pPr>
        <w:keepNext w:val="0"/>
        <w:keepLines w:val="0"/>
        <w:pageBreakBefore w:val="0"/>
        <w:widowControl w:val="0"/>
        <w:overflowPunct/>
        <w:autoSpaceDE/>
        <w:autoSpaceDN/>
        <w:bidi w:val="0"/>
        <w:snapToGrid/>
        <w:spacing w:line="360" w:lineRule="auto"/>
        <w:ind w:left="0" w:right="0" w:firstLine="48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本项目为水库除险加固工程，为进一步了解区域地表水环境质量现状，本次环评委托</w:t>
      </w:r>
      <w:r>
        <w:rPr>
          <w:rFonts w:hint="default" w:ascii="Times New Roman" w:hAnsi="Times New Roman" w:eastAsia="宋体" w:cs="Times New Roman"/>
          <w:color w:val="auto"/>
          <w:spacing w:val="0"/>
          <w:w w:val="100"/>
          <w:position w:val="0"/>
          <w:sz w:val="24"/>
          <w:szCs w:val="24"/>
          <w:u w:val="none" w:color="auto"/>
          <w:lang w:eastAsia="zh-CN"/>
        </w:rPr>
        <w:t>湖南乾诚检测有限公司</w:t>
      </w:r>
      <w:r>
        <w:rPr>
          <w:rFonts w:hint="default" w:ascii="Times New Roman" w:hAnsi="Times New Roman" w:eastAsia="宋体" w:cs="Times New Roman"/>
          <w:color w:val="auto"/>
          <w:spacing w:val="0"/>
          <w:w w:val="100"/>
          <w:position w:val="0"/>
          <w:sz w:val="24"/>
          <w:szCs w:val="24"/>
          <w:u w:val="none" w:color="auto"/>
        </w:rPr>
        <w:t>对区域地表水环境质量现状进行监测</w:t>
      </w:r>
      <w:r>
        <w:rPr>
          <w:rFonts w:hint="default" w:ascii="Times New Roman" w:hAnsi="Times New Roman" w:eastAsia="宋体" w:cs="Times New Roman"/>
          <w:color w:val="auto"/>
          <w:spacing w:val="0"/>
          <w:w w:val="10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rPr>
        <w:t>根据监测结果可知，</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W1、W2、W3各监测点位水质满足</w:t>
      </w:r>
      <w:r>
        <w:rPr>
          <w:rFonts w:hint="default" w:ascii="Times New Roman" w:hAnsi="Times New Roman" w:eastAsia="宋体" w:cs="Times New Roman"/>
          <w:caps w:val="0"/>
          <w:smallCaps w:val="0"/>
          <w:color w:val="auto"/>
          <w:spacing w:val="0"/>
          <w:w w:val="100"/>
          <w:kern w:val="0"/>
          <w:position w:val="0"/>
          <w:sz w:val="24"/>
          <w:szCs w:val="24"/>
          <w:u w:val="none" w:color="auto"/>
        </w:rPr>
        <w:t>《地表水环境质量标准》（GB3838-2002）Ⅲ类标准</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要求，W4取水口断面满足</w:t>
      </w:r>
      <w:r>
        <w:rPr>
          <w:rFonts w:hint="default" w:ascii="Times New Roman" w:hAnsi="Times New Roman" w:eastAsia="宋体" w:cs="Times New Roman"/>
          <w:caps w:val="0"/>
          <w:smallCaps w:val="0"/>
          <w:color w:val="auto"/>
          <w:spacing w:val="0"/>
          <w:w w:val="100"/>
          <w:kern w:val="0"/>
          <w:position w:val="0"/>
          <w:sz w:val="24"/>
          <w:szCs w:val="24"/>
          <w:u w:val="none" w:color="auto"/>
        </w:rPr>
        <w:t>《地表水环境质量标准》（GB3838-2002）</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II</w:t>
      </w:r>
      <w:r>
        <w:rPr>
          <w:rFonts w:hint="default" w:ascii="Times New Roman" w:hAnsi="Times New Roman" w:eastAsia="宋体" w:cs="Times New Roman"/>
          <w:caps w:val="0"/>
          <w:smallCaps w:val="0"/>
          <w:color w:val="auto"/>
          <w:spacing w:val="0"/>
          <w:w w:val="100"/>
          <w:kern w:val="0"/>
          <w:position w:val="0"/>
          <w:sz w:val="24"/>
          <w:szCs w:val="24"/>
          <w:u w:val="none" w:color="auto"/>
        </w:rPr>
        <w:t>类标准</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限值要求</w:t>
      </w:r>
      <w:r>
        <w:rPr>
          <w:rFonts w:hint="default" w:ascii="Times New Roman" w:hAnsi="Times New Roman" w:eastAsia="宋体" w:cs="Times New Roman"/>
          <w:color w:val="auto"/>
          <w:spacing w:val="0"/>
          <w:w w:val="100"/>
          <w:position w:val="0"/>
          <w:sz w:val="24"/>
          <w:szCs w:val="24"/>
          <w:u w:val="none" w:color="auto"/>
        </w:rPr>
        <w:t>。</w:t>
      </w:r>
    </w:p>
    <w:p w14:paraId="1DC4B9F4">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3</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地下水环境现状</w:t>
      </w:r>
    </w:p>
    <w:p w14:paraId="57B562EB">
      <w:pPr>
        <w:keepNext w:val="0"/>
        <w:keepLines w:val="0"/>
        <w:pageBreakBefore w:val="0"/>
        <w:widowControl w:val="0"/>
        <w:overflowPunct/>
        <w:autoSpaceDE/>
        <w:autoSpaceDN/>
        <w:bidi w:val="0"/>
        <w:snapToGrid/>
        <w:spacing w:line="360" w:lineRule="auto"/>
        <w:ind w:left="0" w:right="0" w:firstLine="509"/>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由区域地下水环境现状监测数据可知，各地下水监测点</w:t>
      </w:r>
      <w:r>
        <w:rPr>
          <w:rFonts w:hint="eastAsia" w:ascii="Times New Roman" w:hAnsi="Times New Roman" w:eastAsia="宋体" w:cs="Times New Roman"/>
          <w:color w:val="auto"/>
          <w:spacing w:val="0"/>
          <w:w w:val="100"/>
          <w:position w:val="0"/>
          <w:sz w:val="24"/>
          <w:szCs w:val="24"/>
          <w:u w:val="none" w:color="auto"/>
          <w:lang w:eastAsia="zh-CN"/>
        </w:rPr>
        <w:t>位</w:t>
      </w:r>
      <w:r>
        <w:rPr>
          <w:rFonts w:hint="default" w:ascii="Times New Roman" w:hAnsi="Times New Roman" w:eastAsia="宋体" w:cs="Times New Roman"/>
          <w:color w:val="auto"/>
          <w:spacing w:val="0"/>
          <w:w w:val="100"/>
          <w:position w:val="0"/>
          <w:sz w:val="24"/>
          <w:szCs w:val="24"/>
          <w:u w:val="none" w:color="auto"/>
        </w:rPr>
        <w:t>的水质均能满足《地下水环境质量标准》(</w:t>
      </w:r>
      <w:r>
        <w:rPr>
          <w:rFonts w:hint="default" w:ascii="Times New Roman" w:hAnsi="Times New Roman" w:eastAsia="Times New Roman" w:cs="Times New Roman"/>
          <w:color w:val="auto"/>
          <w:spacing w:val="0"/>
          <w:w w:val="100"/>
          <w:position w:val="0"/>
          <w:sz w:val="24"/>
          <w:szCs w:val="24"/>
          <w:u w:val="none" w:color="auto"/>
        </w:rPr>
        <w:t>GB/T14848-2017</w:t>
      </w:r>
      <w:r>
        <w:rPr>
          <w:rFonts w:hint="default" w:ascii="Times New Roman" w:hAnsi="Times New Roman" w:eastAsia="宋体" w:cs="Times New Roman"/>
          <w:color w:val="auto"/>
          <w:spacing w:val="0"/>
          <w:w w:val="100"/>
          <w:position w:val="0"/>
          <w:sz w:val="24"/>
          <w:szCs w:val="24"/>
          <w:u w:val="none" w:color="auto"/>
        </w:rPr>
        <w:t>)Ⅲ类水质标准。</w:t>
      </w:r>
    </w:p>
    <w:p w14:paraId="09D9B3F7">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4</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声环境现状</w:t>
      </w:r>
    </w:p>
    <w:p w14:paraId="53290DEF">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为了解项目所在区域声环境质量现状，本次环评委托</w:t>
      </w:r>
      <w:r>
        <w:rPr>
          <w:rFonts w:hint="default" w:ascii="Times New Roman" w:hAnsi="Times New Roman" w:eastAsia="宋体" w:cs="Times New Roman"/>
          <w:color w:val="auto"/>
          <w:spacing w:val="0"/>
          <w:w w:val="100"/>
          <w:position w:val="0"/>
          <w:sz w:val="24"/>
          <w:szCs w:val="24"/>
          <w:u w:val="none" w:color="auto"/>
          <w:lang w:eastAsia="zh-CN"/>
        </w:rPr>
        <w:t>湖南乾诚检测有限公司</w:t>
      </w:r>
      <w:r>
        <w:rPr>
          <w:rFonts w:hint="default" w:ascii="Times New Roman" w:hAnsi="Times New Roman" w:eastAsia="宋体" w:cs="Times New Roman"/>
          <w:color w:val="auto"/>
          <w:spacing w:val="0"/>
          <w:w w:val="100"/>
          <w:position w:val="0"/>
          <w:sz w:val="24"/>
          <w:szCs w:val="24"/>
          <w:u w:val="none" w:color="auto"/>
        </w:rPr>
        <w:t>对区域</w:t>
      </w:r>
      <w:r>
        <w:rPr>
          <w:rFonts w:hint="default" w:ascii="Times New Roman" w:hAnsi="Times New Roman" w:eastAsia="宋体" w:cs="Times New Roman"/>
          <w:color w:val="auto"/>
          <w:spacing w:val="0"/>
          <w:w w:val="100"/>
          <w:position w:val="0"/>
          <w:sz w:val="24"/>
          <w:szCs w:val="24"/>
          <w:u w:val="none" w:color="auto"/>
          <w:lang w:eastAsia="zh-CN"/>
        </w:rPr>
        <w:t>声</w:t>
      </w:r>
      <w:r>
        <w:rPr>
          <w:rFonts w:hint="default" w:ascii="Times New Roman" w:hAnsi="Times New Roman" w:eastAsia="宋体" w:cs="Times New Roman"/>
          <w:color w:val="auto"/>
          <w:spacing w:val="0"/>
          <w:w w:val="100"/>
          <w:position w:val="0"/>
          <w:sz w:val="24"/>
          <w:szCs w:val="24"/>
          <w:u w:val="none" w:color="auto"/>
        </w:rPr>
        <w:t>环境质量现状进行监测</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。根据监测结果可知，</w:t>
      </w:r>
      <w:r>
        <w:rPr>
          <w:rFonts w:hint="default" w:ascii="Times New Roman" w:hAnsi="Times New Roman" w:eastAsia="宋体" w:cs="Times New Roman"/>
          <w:caps w:val="0"/>
          <w:smallCaps w:val="0"/>
          <w:color w:val="auto"/>
          <w:spacing w:val="0"/>
          <w:w w:val="100"/>
          <w:kern w:val="0"/>
          <w:position w:val="0"/>
          <w:sz w:val="24"/>
          <w:szCs w:val="24"/>
          <w:u w:val="none" w:color="auto"/>
        </w:rPr>
        <w:t>项目</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各监测点位</w:t>
      </w:r>
      <w:r>
        <w:rPr>
          <w:rFonts w:hint="default" w:ascii="Times New Roman" w:hAnsi="Times New Roman" w:eastAsia="宋体" w:cs="Times New Roman"/>
          <w:caps w:val="0"/>
          <w:smallCaps w:val="0"/>
          <w:color w:val="auto"/>
          <w:spacing w:val="0"/>
          <w:w w:val="100"/>
          <w:kern w:val="0"/>
          <w:position w:val="0"/>
          <w:sz w:val="24"/>
          <w:szCs w:val="24"/>
          <w:u w:val="none" w:color="auto"/>
        </w:rPr>
        <w:t>昼间、夜间噪声监测值均满足《声环境质量标准》（GB3096-2008）1类标准限值要求</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29E9C6BA">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5</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土壤环境质量现状</w:t>
      </w:r>
    </w:p>
    <w:p w14:paraId="788C37D3">
      <w:pPr>
        <w:adjustRightInd w:val="0"/>
        <w:snapToGrid w:val="0"/>
        <w:spacing w:line="360" w:lineRule="auto"/>
        <w:ind w:firstLine="480" w:firstLineChars="200"/>
        <w:rPr>
          <w:rFonts w:hint="default" w:ascii="Times New Roman" w:hAnsi="Times New Roman" w:eastAsia="宋体" w:cs="Times New Roman"/>
          <w:caps w:val="0"/>
          <w:smallCaps w:val="0"/>
          <w:color w:val="FF0000"/>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从监测结果可看出</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olor w:val="auto"/>
          <w:spacing w:val="0"/>
          <w:w w:val="100"/>
          <w:position w:val="0"/>
          <w:sz w:val="24"/>
          <w:szCs w:val="24"/>
          <w:u w:val="none" w:color="auto"/>
          <w:lang w:eastAsia="zh-CN"/>
        </w:rPr>
        <w:t>项目大坝</w:t>
      </w:r>
      <w:r>
        <w:rPr>
          <w:rFonts w:hint="default" w:ascii="Times New Roman" w:hAnsi="Times New Roman" w:eastAsia="宋体" w:cs="Times New Roman"/>
          <w:color w:val="auto"/>
          <w:sz w:val="24"/>
          <w:highlight w:val="none"/>
          <w:u w:val="none" w:color="auto"/>
          <w:lang w:eastAsia="zh-CN"/>
        </w:rPr>
        <w:t>土壤各项监测因子均满足《土壤环境质量</w:t>
      </w:r>
      <w:r>
        <w:rPr>
          <w:rFonts w:hint="default" w:ascii="Times New Roman" w:hAnsi="Times New Roman" w:eastAsia="宋体" w:cs="Times New Roman"/>
          <w:color w:val="auto"/>
          <w:sz w:val="24"/>
          <w:highlight w:val="none"/>
          <w:u w:val="none" w:color="auto"/>
          <w:lang w:val="en-US" w:eastAsia="zh-CN"/>
        </w:rPr>
        <w:t xml:space="preserve"> </w:t>
      </w:r>
      <w:r>
        <w:rPr>
          <w:rFonts w:hint="default" w:ascii="Times New Roman" w:hAnsi="Times New Roman" w:eastAsia="宋体" w:cs="Times New Roman"/>
          <w:color w:val="auto"/>
          <w:sz w:val="24"/>
          <w:highlight w:val="none"/>
          <w:u w:val="none" w:color="auto"/>
          <w:lang w:eastAsia="zh-CN"/>
        </w:rPr>
        <w:t>建设用地土壤污染风险管控标准（试行）》GB 36600-2018表</w:t>
      </w:r>
      <w:r>
        <w:rPr>
          <w:rFonts w:hint="default" w:ascii="Times New Roman" w:hAnsi="Times New Roman" w:eastAsia="宋体" w:cs="Times New Roman"/>
          <w:color w:val="auto"/>
          <w:sz w:val="24"/>
          <w:highlight w:val="none"/>
          <w:u w:val="none" w:color="auto"/>
          <w:lang w:val="en-US" w:eastAsia="zh-CN"/>
        </w:rPr>
        <w:t>1</w:t>
      </w:r>
      <w:r>
        <w:rPr>
          <w:rFonts w:hint="default" w:ascii="Times New Roman" w:hAnsi="Times New Roman" w:eastAsia="宋体" w:cs="Times New Roman"/>
          <w:color w:val="auto"/>
          <w:sz w:val="24"/>
          <w:highlight w:val="none"/>
          <w:u w:val="none" w:color="auto"/>
          <w:lang w:eastAsia="zh-CN"/>
        </w:rPr>
        <w:t>第二类用地筛选值要求。</w:t>
      </w:r>
      <w:r>
        <w:rPr>
          <w:rFonts w:hint="default" w:ascii="Times New Roman" w:hAnsi="Times New Roman" w:eastAsia="宋体" w:cs="Times New Roman"/>
          <w:color w:val="auto"/>
          <w:sz w:val="24"/>
          <w:highlight w:val="none"/>
          <w:u w:val="none" w:color="auto"/>
          <w:lang w:val="en-US" w:eastAsia="zh-CN"/>
        </w:rPr>
        <w:t>周边林地、农田和底泥监测因子可达到</w:t>
      </w:r>
      <w:r>
        <w:rPr>
          <w:rFonts w:hint="default" w:ascii="Times New Roman" w:hAnsi="Times New Roman" w:eastAsia="宋体" w:cs="Times New Roman"/>
          <w:b w:val="0"/>
          <w:bCs/>
          <w:caps w:val="0"/>
          <w:smallCaps w:val="0"/>
          <w:color w:val="auto"/>
          <w:spacing w:val="0"/>
          <w:w w:val="100"/>
          <w:position w:val="0"/>
          <w:sz w:val="24"/>
          <w:szCs w:val="24"/>
          <w:u w:val="none" w:color="auto"/>
        </w:rPr>
        <w:t>《土壤环境质量</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 xml:space="preserve"> </w:t>
      </w:r>
      <w:r>
        <w:rPr>
          <w:rFonts w:hint="default" w:ascii="Times New Roman" w:hAnsi="Times New Roman" w:eastAsia="宋体" w:cs="Times New Roman"/>
          <w:b w:val="0"/>
          <w:bCs/>
          <w:caps w:val="0"/>
          <w:smallCaps w:val="0"/>
          <w:color w:val="auto"/>
          <w:spacing w:val="0"/>
          <w:w w:val="100"/>
          <w:position w:val="0"/>
          <w:sz w:val="24"/>
          <w:szCs w:val="24"/>
          <w:u w:val="none" w:color="auto"/>
        </w:rPr>
        <w:t>农用地土壤污染风险管控标准》（GB15618-2018）中表1农用地土壤污染风险筛选值</w:t>
      </w:r>
      <w:r>
        <w:rPr>
          <w:rFonts w:hint="default" w:ascii="Times New Roman" w:hAnsi="Times New Roman" w:eastAsia="宋体" w:cs="Times New Roman"/>
          <w:b w:val="0"/>
          <w:bCs/>
          <w:caps w:val="0"/>
          <w:smallCaps w:val="0"/>
          <w:color w:val="auto"/>
          <w:spacing w:val="0"/>
          <w:w w:val="100"/>
          <w:position w:val="0"/>
          <w:sz w:val="24"/>
          <w:szCs w:val="24"/>
          <w:u w:val="none" w:color="auto"/>
          <w:lang w:val="en-US" w:eastAsia="zh-CN"/>
        </w:rPr>
        <w:t>要求</w:t>
      </w:r>
      <w:r>
        <w:rPr>
          <w:rFonts w:hint="default" w:ascii="Times New Roman" w:hAnsi="Times New Roman" w:eastAsia="宋体" w:cs="Times New Roman"/>
          <w:b w:val="0"/>
          <w:bCs/>
          <w:caps w:val="0"/>
          <w:smallCaps w:val="0"/>
          <w:color w:val="auto"/>
          <w:spacing w:val="0"/>
          <w:w w:val="100"/>
          <w:position w:val="0"/>
          <w:sz w:val="24"/>
          <w:szCs w:val="24"/>
          <w:u w:val="none" w:color="auto"/>
          <w:lang w:eastAsia="zh-CN"/>
        </w:rPr>
        <w:t>。</w:t>
      </w:r>
    </w:p>
    <w:p w14:paraId="6ACBDC4F">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6</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生态环境现状</w:t>
      </w:r>
    </w:p>
    <w:p w14:paraId="54FDE4C4">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rPr>
        <w:t>根据调查，本工程涉及湖南</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华容桃花山省级森林公园</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和生态保护红线</w:t>
      </w:r>
      <w:r>
        <w:rPr>
          <w:rFonts w:hint="eastAsia" w:ascii="Times New Roman" w:hAnsi="Times New Roman" w:eastAsia="宋体" w:cs="Times New Roman"/>
          <w:caps w:val="0"/>
          <w:smallCaps w:val="0"/>
          <w:color w:val="auto"/>
          <w:spacing w:val="0"/>
          <w:w w:val="100"/>
          <w:kern w:val="0"/>
          <w:position w:val="0"/>
          <w:sz w:val="24"/>
          <w:szCs w:val="24"/>
          <w:u w:val="none" w:color="auto"/>
        </w:rPr>
        <w:t>，地区的植物区系属亚热带常绿阔叶林区域—中亚热带常绿阔叶林地带—中亚热带典型常绿阔叶林北部植被亚地带—</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湘北植被区—</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洞庭湖平原及湖泊</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植被小区</w:t>
      </w:r>
      <w:r>
        <w:rPr>
          <w:rFonts w:hint="eastAsia" w:ascii="Times New Roman" w:hAnsi="Times New Roman" w:eastAsia="宋体" w:cs="Times New Roman"/>
          <w:caps w:val="0"/>
          <w:smallCaps w:val="0"/>
          <w:color w:val="auto"/>
          <w:spacing w:val="0"/>
          <w:w w:val="100"/>
          <w:kern w:val="0"/>
          <w:position w:val="0"/>
          <w:sz w:val="24"/>
          <w:szCs w:val="24"/>
          <w:u w:val="none" w:color="auto"/>
        </w:rPr>
        <w:t>，评价区植被有</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2</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个植被型组、</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4</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个植被型及</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10</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个群系</w:t>
      </w:r>
      <w:r>
        <w:rPr>
          <w:rFonts w:hint="eastAsia" w:ascii="Times New Roman" w:hAnsi="Times New Roman" w:eastAsia="宋体" w:cs="Times New Roman"/>
          <w:caps w:val="0"/>
          <w:smallCaps w:val="0"/>
          <w:color w:val="auto"/>
          <w:spacing w:val="0"/>
          <w:w w:val="100"/>
          <w:kern w:val="0"/>
          <w:position w:val="0"/>
          <w:sz w:val="24"/>
          <w:szCs w:val="24"/>
          <w:u w:val="none" w:color="auto"/>
        </w:rPr>
        <w:t>；动物区划属于东洋界—华中区—东部丘陵平原亚区—</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长江沿岸平原省</w:t>
      </w:r>
      <w:r>
        <w:rPr>
          <w:rFonts w:hint="eastAsia" w:ascii="Times New Roman" w:hAnsi="Times New Roman" w:eastAsia="宋体" w:cs="Times New Roman"/>
          <w:caps w:val="0"/>
          <w:smallCaps w:val="0"/>
          <w:color w:val="auto"/>
          <w:spacing w:val="0"/>
          <w:w w:val="100"/>
          <w:kern w:val="0"/>
          <w:position w:val="0"/>
          <w:sz w:val="24"/>
          <w:szCs w:val="24"/>
          <w:u w:val="none" w:color="auto"/>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农田湿地动物群</w:t>
      </w:r>
      <w:r>
        <w:rPr>
          <w:rFonts w:hint="eastAsia" w:ascii="Times New Roman" w:hAnsi="Times New Roman" w:eastAsia="宋体" w:cs="Times New Roman"/>
          <w:caps w:val="0"/>
          <w:smallCaps w:val="0"/>
          <w:color w:val="auto"/>
          <w:spacing w:val="0"/>
          <w:w w:val="100"/>
          <w:kern w:val="0"/>
          <w:position w:val="0"/>
          <w:sz w:val="24"/>
          <w:szCs w:val="24"/>
          <w:u w:val="none" w:color="auto"/>
        </w:rPr>
        <w:t>。评价区有陆生脊椎动物4纲19目54科93种，评价区范围内陆生脊椎动物中，</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未</w:t>
      </w:r>
      <w:r>
        <w:rPr>
          <w:rFonts w:hint="eastAsia" w:ascii="Times New Roman" w:hAnsi="Times New Roman" w:eastAsia="宋体" w:cs="Times New Roman"/>
          <w:caps w:val="0"/>
          <w:smallCaps w:val="0"/>
          <w:color w:val="auto"/>
          <w:spacing w:val="0"/>
          <w:w w:val="100"/>
          <w:kern w:val="0"/>
          <w:position w:val="0"/>
          <w:sz w:val="24"/>
          <w:szCs w:val="24"/>
          <w:u w:val="none" w:color="auto"/>
        </w:rPr>
        <w:t>发现国家级重点保护野生动物</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记录有湖南省重点保护野生动物34种</w:t>
      </w:r>
      <w:r>
        <w:rPr>
          <w:rFonts w:hint="eastAsia" w:ascii="Times New Roman" w:hAnsi="Times New Roman" w:eastAsia="宋体" w:cs="Times New Roman"/>
          <w:caps w:val="0"/>
          <w:smallCaps w:val="0"/>
          <w:color w:val="auto"/>
          <w:spacing w:val="0"/>
          <w:w w:val="100"/>
          <w:kern w:val="0"/>
          <w:position w:val="0"/>
          <w:sz w:val="24"/>
          <w:szCs w:val="24"/>
          <w:u w:val="none" w:color="auto"/>
        </w:rPr>
        <w:t>。</w:t>
      </w:r>
    </w:p>
    <w:p w14:paraId="063DA90F">
      <w:pPr>
        <w:pStyle w:val="3"/>
        <w:bidi w:val="0"/>
        <w:rPr>
          <w:rFonts w:hint="default"/>
          <w:lang w:val="en-US" w:eastAsia="zh-CN"/>
        </w:rPr>
      </w:pPr>
      <w:bookmarkStart w:id="380" w:name="_Toc10607"/>
      <w:r>
        <w:rPr>
          <w:rFonts w:hint="default"/>
          <w:lang w:val="en-US" w:eastAsia="zh-CN"/>
        </w:rPr>
        <w:t>环境影响及保护措施</w:t>
      </w:r>
      <w:bookmarkEnd w:id="380"/>
    </w:p>
    <w:p w14:paraId="60442567">
      <w:pPr>
        <w:keepNext w:val="0"/>
        <w:keepLines w:val="0"/>
        <w:pageBreakBefore w:val="0"/>
        <w:widowControl w:val="0"/>
        <w:kinsoku w:val="0"/>
        <w:wordWrap w:val="0"/>
        <w:overflowPunct/>
        <w:topLinePunct/>
        <w:autoSpaceDE/>
        <w:autoSpaceDN/>
        <w:bidi w:val="0"/>
        <w:adjustRightInd w:val="0"/>
        <w:snapToGrid/>
        <w:spacing w:line="360" w:lineRule="auto"/>
        <w:ind w:left="0" w:right="0" w:firstLine="482" w:firstLineChars="200"/>
        <w:textAlignment w:val="auto"/>
        <w:rPr>
          <w:rFonts w:hint="eastAsia" w:ascii="Times New Roman" w:hAnsi="Times New Roman" w:eastAsia="宋体" w:cs="Times New Roman"/>
          <w:b/>
          <w:bCs/>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b/>
          <w:bCs/>
          <w:caps w:val="0"/>
          <w:smallCaps w:val="0"/>
          <w:color w:val="auto"/>
          <w:spacing w:val="0"/>
          <w:w w:val="100"/>
          <w:kern w:val="0"/>
          <w:position w:val="0"/>
          <w:sz w:val="24"/>
          <w:szCs w:val="24"/>
          <w:u w:val="none" w:color="auto"/>
          <w:lang w:val="en-US" w:eastAsia="zh-CN"/>
        </w:rPr>
        <w:t>1、现有工程环境影响回顾性评价</w:t>
      </w:r>
    </w:p>
    <w:p w14:paraId="60807221">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eastAsia" w:ascii="Times New Roman" w:hAnsi="Times New Roman" w:eastAsia="宋体" w:cs="Times New Roman"/>
          <w:caps w:val="0"/>
          <w:smallCaps w:val="0"/>
          <w:color w:val="FF0000"/>
          <w:spacing w:val="0"/>
          <w:w w:val="100"/>
          <w:kern w:val="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（1）</w:t>
      </w:r>
      <w:r>
        <w:rPr>
          <w:rFonts w:hint="default" w:ascii="Times New Roman" w:hAnsi="Times New Roman" w:eastAsia="宋体" w:cs="Times New Roman"/>
          <w:b w:val="0"/>
          <w:bCs w:val="0"/>
          <w:sz w:val="24"/>
          <w:szCs w:val="24"/>
          <w:lang w:val="en-US" w:eastAsia="zh-CN"/>
        </w:rPr>
        <w:t>水质影响回顾分析</w:t>
      </w:r>
    </w:p>
    <w:p w14:paraId="27A738ED">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根据2024年5月8日-5月10日对库区水环境质量现状监测结果，水库西侧库尾断面坝址上游约870m断面、水库西南侧库尾断面坝址上游约680m断面、水库库区中心断面坝址上游约500m断面水质均能满足《地表水环境质量标准》（GB3838-2002）中III类水质标准要求，水库坝前取水口断面坝址上游约50m断面水质能满足《地表水环境质量标准》（GB3838-2002）中II类水质标准要求。</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现有</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工程建设后对库区水质影响不大。</w:t>
      </w:r>
    </w:p>
    <w:p w14:paraId="5F6B0D6B">
      <w:pPr>
        <w:widowControl w:val="0"/>
        <w:spacing w:before="0" w:after="0" w:afterLines="0" w:line="360" w:lineRule="auto"/>
        <w:ind w:right="0" w:firstLine="480" w:firstLineChars="200"/>
        <w:jc w:val="both"/>
        <w:rPr>
          <w:rFonts w:hint="default" w:ascii="Times New Roman" w:hAnsi="Times New Roman" w:eastAsia="宋体" w:cs="Times New Roman"/>
          <w:color w:val="auto"/>
          <w:kern w:val="2"/>
          <w:sz w:val="24"/>
          <w:szCs w:val="24"/>
          <w:u w:val="none"/>
          <w:lang w:val="en-US" w:eastAsia="zh-CN" w:bidi="ar-SA"/>
        </w:rPr>
      </w:pPr>
      <w:r>
        <w:rPr>
          <w:rFonts w:hint="default" w:ascii="Times New Roman" w:hAnsi="Times New Roman" w:eastAsia="宋体" w:cs="Times New Roman"/>
          <w:color w:val="auto"/>
          <w:kern w:val="2"/>
          <w:sz w:val="24"/>
          <w:szCs w:val="24"/>
          <w:u w:val="none"/>
          <w:lang w:val="en-US" w:eastAsia="zh-CN" w:bidi="ar-SA"/>
        </w:rPr>
        <w:t>根据计算结果可知，东山水库成库后富营养化程度属</w:t>
      </w:r>
      <w:r>
        <w:rPr>
          <w:rFonts w:hint="eastAsia" w:ascii="Times New Roman" w:hAnsi="Times New Roman" w:eastAsia="宋体" w:cs="Times New Roman"/>
          <w:color w:val="auto"/>
          <w:kern w:val="2"/>
          <w:sz w:val="24"/>
          <w:szCs w:val="24"/>
          <w:u w:val="none"/>
          <w:lang w:val="en-US" w:eastAsia="zh-CN" w:bidi="ar-SA"/>
        </w:rPr>
        <w:t>贫</w:t>
      </w:r>
      <w:r>
        <w:rPr>
          <w:rFonts w:hint="default" w:ascii="Times New Roman" w:hAnsi="Times New Roman" w:eastAsia="宋体" w:cs="Times New Roman"/>
          <w:color w:val="auto"/>
          <w:kern w:val="2"/>
          <w:sz w:val="24"/>
          <w:szCs w:val="24"/>
          <w:u w:val="none"/>
          <w:lang w:val="en-US" w:eastAsia="zh-CN" w:bidi="ar-SA"/>
        </w:rPr>
        <w:t>营养级，建设项目总体水质</w:t>
      </w:r>
      <w:r>
        <w:rPr>
          <w:rFonts w:hint="eastAsia" w:ascii="Times New Roman" w:hAnsi="Times New Roman" w:eastAsia="宋体" w:cs="Times New Roman"/>
          <w:color w:val="auto"/>
          <w:kern w:val="2"/>
          <w:sz w:val="24"/>
          <w:szCs w:val="24"/>
          <w:u w:val="none"/>
          <w:lang w:val="en-US" w:eastAsia="zh-CN" w:bidi="ar-SA"/>
        </w:rPr>
        <w:t>基本</w:t>
      </w:r>
      <w:r>
        <w:rPr>
          <w:rFonts w:hint="default" w:ascii="Times New Roman" w:hAnsi="Times New Roman" w:eastAsia="宋体" w:cs="Times New Roman"/>
          <w:color w:val="auto"/>
          <w:kern w:val="2"/>
          <w:sz w:val="24"/>
          <w:szCs w:val="24"/>
          <w:u w:val="none"/>
          <w:lang w:val="en-US" w:eastAsia="zh-CN" w:bidi="ar-SA"/>
        </w:rPr>
        <w:t>不会向富营养化状态转化。</w:t>
      </w:r>
    </w:p>
    <w:p w14:paraId="73C75D79">
      <w:pPr>
        <w:spacing w:line="360" w:lineRule="auto"/>
        <w:ind w:firstLine="480" w:firstLineChars="200"/>
        <w:rPr>
          <w:rFonts w:hint="default" w:ascii="Times New Roman" w:hAnsi="Times New Roman" w:eastAsia="宋体" w:cs="Times New Roman"/>
          <w:color w:val="auto"/>
          <w:sz w:val="24"/>
          <w:u w:val="none"/>
          <w:lang w:val="en-US" w:eastAsia="zh-CN"/>
        </w:rPr>
      </w:pPr>
      <w:r>
        <w:rPr>
          <w:rFonts w:hint="default" w:ascii="Times New Roman" w:hAnsi="Times New Roman" w:eastAsia="宋体" w:cs="Times New Roman"/>
          <w:color w:val="auto"/>
          <w:sz w:val="24"/>
          <w:u w:val="none"/>
          <w:lang w:val="en-US" w:eastAsia="zh-CN"/>
        </w:rPr>
        <w:t>根据现有收集资料，东山水库建成后下游大荆湖水质能满足《地表水环境质量标准》（GB3838-2002）III类标准限值要求。</w:t>
      </w:r>
    </w:p>
    <w:p w14:paraId="3E57F444">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（2）水文情势影响</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回顾</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分析</w:t>
      </w:r>
    </w:p>
    <w:p w14:paraId="3E70E1A9">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东山水库建成后，坝前水位抬升，河面水域面积变大，坝前水深增加，库区水体流速从库尾到坝前逐渐减小，水体流态趋缓。</w:t>
      </w:r>
      <w:r>
        <w:rPr>
          <w:rFonts w:hint="default" w:ascii="Times New Roman" w:hAnsi="Times New Roman" w:eastAsia="宋体" w:cs="Times New Roman"/>
          <w:color w:val="auto"/>
          <w:sz w:val="24"/>
          <w:szCs w:val="24"/>
          <w:lang w:eastAsia="zh-CN"/>
        </w:rPr>
        <w:t>东山水库</w:t>
      </w:r>
      <w:r>
        <w:rPr>
          <w:rFonts w:hint="default" w:ascii="Times New Roman" w:hAnsi="Times New Roman" w:eastAsia="宋体" w:cs="Times New Roman"/>
          <w:color w:val="auto"/>
          <w:kern w:val="0"/>
          <w:sz w:val="24"/>
          <w:szCs w:val="24"/>
          <w:lang w:val="en-US" w:eastAsia="zh-CN" w:bidi="ar"/>
        </w:rPr>
        <w:t>库区因河段内流速减缓而引起的泥沙淤积不严重，未见明显淤积现象，对水库下游河道泥沙影响较小</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东山水库出库流量基本可满足水库生态流量的管控要求，水库大坝蓄水有利于保障下游供水</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水库调节库容小，水库水体温度仍基本保持天然径流状况，</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垂向分布大致相同，不存在水温分层现象</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p>
    <w:p w14:paraId="13C001AF">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eastAsia" w:ascii="Times New Roman" w:hAnsi="Times New Roman" w:eastAsia="宋体" w:cs="Times New Roman"/>
          <w:caps w:val="0"/>
          <w:smallCaps w:val="0"/>
          <w:color w:val="auto"/>
          <w:spacing w:val="0"/>
          <w:w w:val="100"/>
          <w:kern w:val="0"/>
          <w:position w:val="0"/>
          <w:sz w:val="24"/>
          <w:szCs w:val="24"/>
          <w:u w:val="none" w:color="auto"/>
          <w:lang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3</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）大气环境影响回顾分析</w:t>
      </w:r>
    </w:p>
    <w:p w14:paraId="6AEFFB18">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水库营运期废</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气</w:t>
      </w:r>
      <w:r>
        <w:rPr>
          <w:rFonts w:hint="default" w:ascii="Times New Roman" w:hAnsi="Times New Roman" w:eastAsia="宋体" w:cs="Times New Roman"/>
          <w:caps w:val="0"/>
          <w:smallCaps w:val="0"/>
          <w:color w:val="auto"/>
          <w:spacing w:val="0"/>
          <w:w w:val="100"/>
          <w:kern w:val="0"/>
          <w:position w:val="0"/>
          <w:sz w:val="24"/>
          <w:szCs w:val="24"/>
          <w:u w:val="none" w:color="auto"/>
        </w:rPr>
        <w:t>影响主要是水库管理人员</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食堂油烟</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经抽油烟机引至楼顶排放。废气产生量小，未对大气环境造成较大影响。</w:t>
      </w:r>
    </w:p>
    <w:p w14:paraId="753261BA">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eastAsia" w:ascii="Times New Roman" w:hAnsi="Times New Roman" w:eastAsia="宋体" w:cs="Times New Roman"/>
          <w:caps w:val="0"/>
          <w:smallCaps w:val="0"/>
          <w:color w:val="auto"/>
          <w:spacing w:val="0"/>
          <w:w w:val="100"/>
          <w:kern w:val="0"/>
          <w:position w:val="0"/>
          <w:sz w:val="24"/>
          <w:szCs w:val="24"/>
          <w:u w:val="none" w:color="auto"/>
          <w:lang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4</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）声环境影响回顾分析</w:t>
      </w:r>
    </w:p>
    <w:p w14:paraId="6533DF53">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水库营运期间主要是水泵、设备机房运行产生的噪声，经隔音、减震后噪声影响较小</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，通过现状监测结果可知，项目区域声环境</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能</w:t>
      </w:r>
      <w:r>
        <w:rPr>
          <w:rFonts w:hint="default" w:ascii="Times New Roman" w:hAnsi="Times New Roman" w:eastAsia="宋体" w:cs="Times New Roman"/>
          <w:caps w:val="0"/>
          <w:smallCaps w:val="0"/>
          <w:color w:val="auto"/>
          <w:spacing w:val="0"/>
          <w:w w:val="100"/>
          <w:kern w:val="0"/>
          <w:position w:val="0"/>
          <w:sz w:val="24"/>
          <w:szCs w:val="24"/>
          <w:u w:val="none" w:color="auto"/>
        </w:rPr>
        <w:t>满足《声环境质量标准》（GB3096-2008）1类标准限值要求</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296409A5">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eastAsia" w:ascii="Times New Roman" w:hAnsi="Times New Roman" w:eastAsia="宋体" w:cs="Times New Roman"/>
          <w:caps w:val="0"/>
          <w:smallCaps w:val="0"/>
          <w:color w:val="auto"/>
          <w:spacing w:val="0"/>
          <w:w w:val="100"/>
          <w:kern w:val="0"/>
          <w:position w:val="0"/>
          <w:sz w:val="24"/>
          <w:szCs w:val="24"/>
          <w:u w:val="none" w:color="auto"/>
          <w:lang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）固体废物影响回顾分析</w:t>
      </w:r>
    </w:p>
    <w:p w14:paraId="6847EB2C">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水库营运期间产生的固体废物主要是水库管理人员产生的生活垃圾</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集中收集后定期由环卫部门清</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理。</w:t>
      </w:r>
    </w:p>
    <w:p w14:paraId="7695C475">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eastAsia" w:ascii="Times New Roman" w:hAnsi="Times New Roman" w:eastAsia="宋体" w:cs="Times New Roman"/>
          <w:caps w:val="0"/>
          <w:smallCaps w:val="0"/>
          <w:color w:val="auto"/>
          <w:spacing w:val="0"/>
          <w:w w:val="100"/>
          <w:kern w:val="0"/>
          <w:position w:val="0"/>
          <w:sz w:val="24"/>
          <w:szCs w:val="24"/>
          <w:u w:val="none" w:color="auto"/>
          <w:lang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6</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）生态环境影响回顾分析</w:t>
      </w:r>
    </w:p>
    <w:p w14:paraId="784397B6">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区域野生动物已趋于稳定，水库运行对区域野生动物多样性未产生根本性影响，水库区域无外来物种入侵现状。</w:t>
      </w:r>
    </w:p>
    <w:p w14:paraId="41C84AB9">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东山水库经过50年的运行，河段的水文情势逐步趋于相对稳定状态。</w:t>
      </w:r>
      <w:r>
        <w:rPr>
          <w:rFonts w:hint="default" w:ascii="Times New Roman" w:hAnsi="Times New Roman" w:eastAsia="宋体" w:cs="Times New Roman"/>
          <w:color w:val="auto"/>
          <w:spacing w:val="0"/>
          <w:w w:val="100"/>
          <w:position w:val="0"/>
          <w:sz w:val="24"/>
          <w:szCs w:val="24"/>
          <w:u w:val="none" w:color="auto"/>
          <w:lang w:val="en-US" w:eastAsia="zh-CN"/>
        </w:rPr>
        <w:t>水生生物</w:t>
      </w:r>
      <w:r>
        <w:rPr>
          <w:rFonts w:hint="default" w:ascii="Times New Roman" w:hAnsi="Times New Roman" w:eastAsia="浠垮畫" w:cs="Times New Roman"/>
          <w:color w:val="auto"/>
          <w:kern w:val="0"/>
          <w:sz w:val="24"/>
          <w:szCs w:val="24"/>
          <w:lang w:val="en-US" w:eastAsia="zh-CN" w:bidi="ar"/>
        </w:rPr>
        <w:t>逐步适应生境变化，</w:t>
      </w:r>
      <w:r>
        <w:rPr>
          <w:rFonts w:hint="default" w:ascii="Times New Roman" w:hAnsi="Times New Roman" w:eastAsia="宋体" w:cs="Times New Roman"/>
          <w:color w:val="auto"/>
          <w:spacing w:val="0"/>
          <w:w w:val="100"/>
          <w:position w:val="0"/>
          <w:sz w:val="24"/>
          <w:szCs w:val="24"/>
          <w:u w:val="none" w:color="auto"/>
          <w:lang w:val="en-US" w:eastAsia="zh-CN"/>
        </w:rPr>
        <w:t>鱼类种群逐步趋于稳定。库区水体流速减缓、甚至静止，喜流水生活鱼类、产漂流性卵鱼类分布减少，适应静缓流水生活的定居性鱼类种群壮大，同时饵料生物组成的变化对鱼类结构产生间接影响，总体上库区鱼类多样性有所下降，种群结构趋于简单。</w:t>
      </w:r>
    </w:p>
    <w:p w14:paraId="38157CF4">
      <w:pPr>
        <w:pageBreakBefore w:val="0"/>
        <w:kinsoku w:val="0"/>
        <w:wordWrap w:val="0"/>
        <w:overflowPunct/>
        <w:topLinePunct/>
        <w:autoSpaceDE/>
        <w:autoSpaceDN/>
        <w:bidi w:val="0"/>
        <w:adjustRightInd w:val="0"/>
        <w:spacing w:line="360" w:lineRule="auto"/>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水库坝下主要为经济鱼类，鱼类种类较单一，无珍稀保护级别的鱼类及当地特有的土著鱼类，未发现长距离洄游鱼类，也未发现有重要的鱼类“三场”。大坝设置有输水隧洞，下游生态用水由水库管理人员按需放水，由输水隧洞向下游河道供水。</w:t>
      </w:r>
    </w:p>
    <w:p w14:paraId="67888381">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水库建成运行多年，区域生态系统已趋于稳定，植被恢复良好，水库建设和运行对区域生态环境影响可以接受。</w:t>
      </w:r>
    </w:p>
    <w:p w14:paraId="3B0327B4">
      <w:pPr>
        <w:keepNext w:val="0"/>
        <w:keepLines w:val="0"/>
        <w:pageBreakBefore w:val="0"/>
        <w:widowControl w:val="0"/>
        <w:kinsoku w:val="0"/>
        <w:wordWrap w:val="0"/>
        <w:overflowPunct/>
        <w:topLinePunct/>
        <w:autoSpaceDE/>
        <w:autoSpaceDN/>
        <w:bidi w:val="0"/>
        <w:adjustRightInd w:val="0"/>
        <w:snapToGrid/>
        <w:spacing w:line="360" w:lineRule="auto"/>
        <w:ind w:left="0" w:right="0"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rPr>
      </w:pPr>
      <w:r>
        <w:rPr>
          <w:rFonts w:hint="eastAsia" w:ascii="Times New Roman" w:hAnsi="Times New Roman" w:eastAsia="宋体" w:cs="Times New Roman"/>
          <w:b/>
          <w:bCs/>
          <w:caps w:val="0"/>
          <w:smallCaps w:val="0"/>
          <w:color w:val="auto"/>
          <w:spacing w:val="0"/>
          <w:w w:val="100"/>
          <w:kern w:val="0"/>
          <w:position w:val="0"/>
          <w:sz w:val="24"/>
          <w:szCs w:val="24"/>
          <w:u w:val="none" w:color="auto"/>
          <w:lang w:val="en-US" w:eastAsia="zh-CN"/>
        </w:rPr>
        <w:t>2、施工期环境影响及保护措施</w:t>
      </w:r>
    </w:p>
    <w:p w14:paraId="594253D7">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（1）环境空气</w:t>
      </w:r>
    </w:p>
    <w:p w14:paraId="7384034E">
      <w:pPr>
        <w:pageBreakBefore w:val="0"/>
        <w:kinsoku w:val="0"/>
        <w:wordWrap w:val="0"/>
        <w:overflowPunct/>
        <w:topLinePunct/>
        <w:autoSpaceDE/>
        <w:autoSpaceDN/>
        <w:bidi w:val="0"/>
        <w:spacing w:line="500" w:lineRule="exact"/>
        <w:ind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结合敏感点和施工区域的位置关系，本工程施工对局部区域的环境空气造成了影响，但影响的居民人数较少</w:t>
      </w:r>
      <w:r>
        <w:rPr>
          <w:rFonts w:hint="default" w:ascii="Times New Roman" w:hAnsi="Times New Roman" w:eastAsia="宋体" w:cs="Times New Roman"/>
          <w:caps w:val="0"/>
          <w:smallCaps w:val="0"/>
          <w:color w:val="auto"/>
          <w:spacing w:val="0"/>
          <w:w w:val="100"/>
          <w:position w:val="0"/>
          <w:sz w:val="24"/>
          <w:szCs w:val="24"/>
          <w:u w:val="none" w:color="auto"/>
          <w:lang w:eastAsia="zh-CN"/>
        </w:rPr>
        <w:t>，</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其中影响较大的居民点为管理所东北侧约15m处及大坝下游约20m处的仙鹅寺村居民点，</w:t>
      </w:r>
      <w:r>
        <w:rPr>
          <w:rFonts w:hint="default" w:ascii="Times New Roman" w:hAnsi="Times New Roman" w:eastAsia="宋体" w:cs="Times New Roman"/>
          <w:caps w:val="0"/>
          <w:smallCaps w:val="0"/>
          <w:color w:val="auto"/>
          <w:spacing w:val="0"/>
          <w:w w:val="100"/>
          <w:position w:val="0"/>
          <w:sz w:val="24"/>
          <w:szCs w:val="24"/>
          <w:u w:val="none" w:color="auto"/>
        </w:rPr>
        <w:t>局部时段将受扬尘影响较大。工程施工时间较短，且当地扩散条件较好，因此扬尘的影响具有区域有限、时间短的特点。</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施工期应做好施工扬尘的防护措施，如采取边界围挡、裸露地面覆盖、物料遮盖、施工场地洒水降尘、保证路面清洁干净、车辆冲洗等措施后，施工扬尘的去除率可达90%，可进一步减轻扬尘对周边环境影响。</w:t>
      </w:r>
    </w:p>
    <w:p w14:paraId="64FF39AE">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olor w:val="000000"/>
          <w:kern w:val="2"/>
          <w:sz w:val="24"/>
          <w:szCs w:val="24"/>
          <w:u w:val="none" w:color="auto"/>
          <w:lang w:val="en-US" w:eastAsia="zh-CN" w:bidi="ar-SA"/>
        </w:rPr>
        <w:t>本工程交通运输扬尘主要影响施工道路周边仙鹅寺村居民点以及运输道路沿线居民点等敏感目标。道路扬尘对周边环境空气质量和敏感目标有不利影响，但影响程度有限。</w:t>
      </w:r>
      <w:r>
        <w:rPr>
          <w:rFonts w:hint="default" w:ascii="Times New Roman" w:hAnsi="Times New Roman" w:eastAsia="宋体" w:cs="Times New Roman"/>
          <w:caps w:val="0"/>
          <w:smallCaps w:val="0"/>
          <w:color w:val="auto"/>
          <w:spacing w:val="0"/>
          <w:w w:val="100"/>
          <w:position w:val="0"/>
          <w:sz w:val="24"/>
          <w:szCs w:val="24"/>
          <w:u w:val="none" w:color="auto"/>
        </w:rPr>
        <w:t>项目应对施工便道进行硬化处理，保持运输路面状况较好，物料运输车辆采用封闭车辆或加盖帆布，不超重装载，避免运输过程产生物料遗撒，减少扬尘产生；要求驾驶员在运输过程中做到文明驾驶，途经村庄时要减速慢行，以减少扬尘的产生量。同时在，运输道路上设专人定期清扫泥尘，配置洒水车及时洒水降尘。采取以上措施后，可有效</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减小</w:t>
      </w:r>
      <w:r>
        <w:rPr>
          <w:rFonts w:hint="default" w:ascii="Times New Roman" w:hAnsi="Times New Roman" w:eastAsia="宋体" w:cs="Times New Roman"/>
          <w:caps w:val="0"/>
          <w:smallCaps w:val="0"/>
          <w:color w:val="auto"/>
          <w:spacing w:val="0"/>
          <w:w w:val="100"/>
          <w:position w:val="0"/>
          <w:sz w:val="24"/>
          <w:szCs w:val="24"/>
          <w:u w:val="none" w:color="auto"/>
        </w:rPr>
        <w:t>运输</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扬尘对</w:t>
      </w:r>
      <w:r>
        <w:rPr>
          <w:rFonts w:hint="default" w:ascii="Times New Roman" w:hAnsi="Times New Roman" w:eastAsia="宋体" w:cs="Times New Roman"/>
          <w:caps w:val="0"/>
          <w:smallCaps w:val="0"/>
          <w:color w:val="auto"/>
          <w:spacing w:val="0"/>
          <w:w w:val="100"/>
          <w:position w:val="0"/>
          <w:sz w:val="24"/>
          <w:szCs w:val="24"/>
          <w:u w:val="none" w:color="auto"/>
        </w:rPr>
        <w:t>道路沿线居民的影响。</w:t>
      </w:r>
    </w:p>
    <w:p w14:paraId="1EC31FC8">
      <w:pPr>
        <w:spacing w:line="360" w:lineRule="auto"/>
        <w:ind w:left="-63" w:firstLine="480" w:firstLineChars="200"/>
        <w:rPr>
          <w:rFonts w:hint="default" w:ascii="Times New Roman" w:hAnsi="Times New Roman" w:eastAsia="宋体" w:cs="Times New Roman"/>
          <w:caps w:val="0"/>
          <w:smallCaps w:val="0"/>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position w:val="0"/>
          <w:sz w:val="24"/>
          <w:szCs w:val="24"/>
          <w:u w:val="none" w:color="auto"/>
        </w:rPr>
        <w:t>由于施工范围较</w:t>
      </w:r>
      <w:r>
        <w:rPr>
          <w:rFonts w:hint="default" w:ascii="Times New Roman" w:hAnsi="Times New Roman" w:eastAsia="宋体" w:cs="Times New Roman"/>
          <w:caps w:val="0"/>
          <w:smallCaps w:val="0"/>
          <w:color w:val="auto"/>
          <w:spacing w:val="0"/>
          <w:w w:val="100"/>
          <w:position w:val="0"/>
          <w:sz w:val="24"/>
          <w:szCs w:val="24"/>
          <w:u w:val="none" w:color="auto"/>
          <w:lang w:eastAsia="zh-CN"/>
        </w:rPr>
        <w:t>小</w:t>
      </w:r>
      <w:r>
        <w:rPr>
          <w:rFonts w:hint="default" w:ascii="Times New Roman" w:hAnsi="Times New Roman" w:eastAsia="宋体" w:cs="Times New Roman"/>
          <w:caps w:val="0"/>
          <w:smallCaps w:val="0"/>
          <w:color w:val="auto"/>
          <w:spacing w:val="0"/>
          <w:w w:val="100"/>
          <w:position w:val="0"/>
          <w:sz w:val="24"/>
          <w:szCs w:val="24"/>
          <w:u w:val="none" w:color="auto"/>
        </w:rPr>
        <w:t>，施工项目较为</w:t>
      </w:r>
      <w:r>
        <w:rPr>
          <w:rFonts w:hint="default" w:ascii="Times New Roman" w:hAnsi="Times New Roman" w:eastAsia="宋体" w:cs="Times New Roman"/>
          <w:caps w:val="0"/>
          <w:smallCaps w:val="0"/>
          <w:color w:val="auto"/>
          <w:spacing w:val="0"/>
          <w:w w:val="100"/>
          <w:position w:val="0"/>
          <w:sz w:val="24"/>
          <w:szCs w:val="24"/>
          <w:u w:val="none" w:color="auto"/>
          <w:lang w:eastAsia="zh-CN"/>
        </w:rPr>
        <w:t>集中</w:t>
      </w:r>
      <w:r>
        <w:rPr>
          <w:rFonts w:hint="default" w:ascii="Times New Roman" w:hAnsi="Times New Roman" w:eastAsia="宋体" w:cs="Times New Roman"/>
          <w:caps w:val="0"/>
          <w:smallCaps w:val="0"/>
          <w:color w:val="auto"/>
          <w:spacing w:val="0"/>
          <w:w w:val="100"/>
          <w:position w:val="0"/>
          <w:sz w:val="24"/>
          <w:szCs w:val="24"/>
          <w:u w:val="none" w:color="auto"/>
        </w:rPr>
        <w:t>，机械废气多为流动性、间歇性、无组织排放，污染源呈面源分布，污染物排放分散且强度不大</w:t>
      </w:r>
      <w:r>
        <w:rPr>
          <w:rFonts w:hint="default" w:ascii="Times New Roman" w:hAnsi="Times New Roman" w:eastAsia="宋体" w:cs="Times New Roman"/>
          <w:caps w:val="0"/>
          <w:smallCaps w:val="0"/>
          <w:color w:val="auto"/>
          <w:spacing w:val="0"/>
          <w:w w:val="100"/>
          <w:position w:val="0"/>
          <w:sz w:val="24"/>
          <w:szCs w:val="24"/>
          <w:u w:val="none" w:color="auto"/>
          <w:lang w:eastAsia="zh-CN"/>
        </w:rPr>
        <w:t>；</w:t>
      </w:r>
      <w:r>
        <w:rPr>
          <w:rFonts w:hint="default" w:ascii="Times New Roman" w:hAnsi="Times New Roman" w:eastAsia="宋体" w:cs="Times New Roman"/>
          <w:caps w:val="0"/>
          <w:smallCaps w:val="0"/>
          <w:color w:val="auto"/>
          <w:spacing w:val="0"/>
          <w:w w:val="100"/>
          <w:position w:val="0"/>
          <w:sz w:val="24"/>
          <w:szCs w:val="24"/>
          <w:u w:val="none" w:color="auto"/>
          <w:lang w:val="en-US" w:eastAsia="zh-CN"/>
        </w:rPr>
        <w:t>同时项目</w:t>
      </w:r>
      <w:r>
        <w:rPr>
          <w:rFonts w:hint="default" w:ascii="Times New Roman" w:hAnsi="Times New Roman" w:eastAsia="宋体" w:cs="Times New Roman"/>
          <w:caps w:val="0"/>
          <w:smallCaps w:val="0"/>
          <w:color w:val="auto"/>
          <w:spacing w:val="0"/>
          <w:w w:val="100"/>
          <w:position w:val="0"/>
          <w:sz w:val="24"/>
          <w:szCs w:val="24"/>
          <w:u w:val="none" w:color="auto"/>
        </w:rPr>
        <w:t>位于农村地区，现状无大型污染源，施工区域地势开阔、污染物扩散条件好</w:t>
      </w:r>
      <w:r>
        <w:rPr>
          <w:rFonts w:hint="default" w:ascii="Times New Roman" w:hAnsi="Times New Roman" w:eastAsia="宋体" w:cs="Times New Roman"/>
          <w:caps w:val="0"/>
          <w:smallCaps w:val="0"/>
          <w:color w:val="auto"/>
          <w:spacing w:val="0"/>
          <w:w w:val="100"/>
          <w:position w:val="0"/>
          <w:sz w:val="24"/>
          <w:szCs w:val="24"/>
          <w:u w:val="none" w:color="auto"/>
          <w:lang w:eastAsia="zh-CN"/>
        </w:rPr>
        <w:t>。</w:t>
      </w:r>
      <w:r>
        <w:rPr>
          <w:rFonts w:hint="default" w:ascii="Times New Roman" w:hAnsi="Times New Roman" w:eastAsia="宋体" w:cs="Times New Roman"/>
          <w:caps w:val="0"/>
          <w:smallCaps w:val="0"/>
          <w:color w:val="auto"/>
          <w:spacing w:val="0"/>
          <w:w w:val="100"/>
          <w:position w:val="0"/>
          <w:sz w:val="24"/>
          <w:szCs w:val="24"/>
          <w:u w:val="none" w:color="auto"/>
        </w:rPr>
        <w:t>燃油废气产生后在短时间内即扩散，对施工区域周边环境空气的影响程度有限，施工区周边的敏感点受燃油废气的影响较小。</w:t>
      </w:r>
    </w:p>
    <w:p w14:paraId="336CD4F4">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（2）地表水</w:t>
      </w:r>
    </w:p>
    <w:p w14:paraId="6B3779F2">
      <w:pPr>
        <w:keepNext w:val="0"/>
        <w:keepLines w:val="0"/>
        <w:pageBreakBefore w:val="0"/>
        <w:widowControl w:val="0"/>
        <w:overflowPunct/>
        <w:autoSpaceDE/>
        <w:autoSpaceDN/>
        <w:bidi w:val="0"/>
        <w:snapToGrid/>
        <w:spacing w:line="360" w:lineRule="auto"/>
        <w:ind w:left="0" w:firstLine="480" w:firstLineChars="200"/>
        <w:textAlignment w:val="auto"/>
        <w:rPr>
          <w:rFonts w:hint="default" w:ascii="Times New Roman" w:hAnsi="Times New Roman" w:eastAsia="宋体" w:cs="Times New Roman"/>
          <w:color w:val="auto"/>
          <w:spacing w:val="0"/>
          <w:w w:val="100"/>
          <w:kern w:val="2"/>
          <w:position w:val="0"/>
          <w:sz w:val="24"/>
          <w:szCs w:val="24"/>
          <w:u w:val="none" w:color="auto"/>
          <w:lang w:val="en-US" w:eastAsia="zh-CN" w:bidi="ar-SA"/>
        </w:rPr>
      </w:pPr>
      <w:r>
        <w:rPr>
          <w:rFonts w:hint="default" w:ascii="Times New Roman" w:hAnsi="Times New Roman" w:eastAsia="宋体" w:cs="Times New Roman"/>
          <w:color w:val="auto"/>
          <w:spacing w:val="0"/>
          <w:w w:val="100"/>
          <w:kern w:val="2"/>
          <w:position w:val="0"/>
          <w:sz w:val="24"/>
          <w:szCs w:val="24"/>
          <w:u w:val="none" w:color="auto"/>
          <w:lang w:val="en-US" w:eastAsia="zh-CN" w:bidi="ar-SA"/>
        </w:rPr>
        <w:t>输水隧洞和暗涵等项目施工时，将输水隧洞下闸，保证下游无水。因此与正常运行工况相比，该施工工段会短暂影响下泄流量，导致下游水量减少，流速减慢，或影响下游农田灌溉用水。考虑输水隧洞和暗涵等项目施工安排在枯水期，基本无灌溉需求，且工期较短，对水库水文情势和下游灌溉影响较小。</w:t>
      </w:r>
    </w:p>
    <w:p w14:paraId="420DDB4F">
      <w:pPr>
        <w:keepNext w:val="0"/>
        <w:keepLines w:val="0"/>
        <w:pageBreakBefore w:val="0"/>
        <w:widowControl w:val="0"/>
        <w:tabs>
          <w:tab w:val="left" w:pos="135"/>
        </w:tabs>
        <w:overflowPunct/>
        <w:autoSpaceDE/>
        <w:autoSpaceDN/>
        <w:bidi w:val="0"/>
        <w:snapToGrid/>
        <w:spacing w:line="360" w:lineRule="auto"/>
        <w:ind w:left="0" w:right="0" w:firstLine="48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混凝土拌和系统冲洗废水经絮凝、中和沉淀处理后回用，不外排，对周围水环境影响较小。</w:t>
      </w:r>
    </w:p>
    <w:p w14:paraId="7DFE97AF">
      <w:pPr>
        <w:keepNext w:val="0"/>
        <w:keepLines w:val="0"/>
        <w:pageBreakBefore w:val="0"/>
        <w:widowControl w:val="0"/>
        <w:tabs>
          <w:tab w:val="left" w:pos="135"/>
        </w:tabs>
        <w:overflowPunct/>
        <w:autoSpaceDE/>
        <w:autoSpaceDN/>
        <w:bidi w:val="0"/>
        <w:snapToGrid/>
        <w:spacing w:line="360" w:lineRule="auto"/>
        <w:ind w:left="0" w:right="0" w:firstLine="48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施工机械设备冲洗废水经处理后回用</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对水环境影响较小。</w:t>
      </w:r>
    </w:p>
    <w:p w14:paraId="02A58D07">
      <w:pPr>
        <w:keepNext w:val="0"/>
        <w:keepLines w:val="0"/>
        <w:pageBreakBefore w:val="0"/>
        <w:widowControl w:val="0"/>
        <w:tabs>
          <w:tab w:val="left" w:pos="135"/>
        </w:tabs>
        <w:overflowPunct/>
        <w:autoSpaceDE/>
        <w:autoSpaceDN/>
        <w:bidi w:val="0"/>
        <w:snapToGrid/>
        <w:spacing w:line="360" w:lineRule="auto"/>
        <w:ind w:left="0" w:right="0" w:firstLine="48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灌浆施工场地设置截排水沟，出口处设置集水集浆池后回用，严禁施工废水流入饮用水源保护区</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施工结束后，灌浆废水在</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制浆池内沉淀、风干，</w:t>
      </w:r>
      <w:r>
        <w:rPr>
          <w:rFonts w:hint="default" w:ascii="Times New Roman" w:hAnsi="Times New Roman" w:eastAsia="宋体" w:cs="Times New Roman"/>
          <w:caps w:val="0"/>
          <w:smallCaps w:val="0"/>
          <w:color w:val="auto"/>
          <w:spacing w:val="0"/>
          <w:w w:val="100"/>
          <w:kern w:val="0"/>
          <w:position w:val="0"/>
          <w:sz w:val="24"/>
          <w:szCs w:val="24"/>
          <w:u w:val="none" w:color="auto"/>
        </w:rPr>
        <w:t>污泥</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清掏后</w:t>
      </w:r>
      <w:r>
        <w:rPr>
          <w:rFonts w:hint="default" w:ascii="Times New Roman" w:hAnsi="Times New Roman" w:eastAsia="宋体" w:cs="Times New Roman"/>
          <w:caps w:val="0"/>
          <w:smallCaps w:val="0"/>
          <w:color w:val="auto"/>
          <w:spacing w:val="0"/>
          <w:w w:val="100"/>
          <w:kern w:val="0"/>
          <w:position w:val="0"/>
          <w:sz w:val="24"/>
          <w:szCs w:val="24"/>
          <w:u w:val="none" w:color="auto"/>
        </w:rPr>
        <w:t>运至</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砖厂</w:t>
      </w:r>
      <w:r>
        <w:rPr>
          <w:rFonts w:hint="default" w:ascii="Times New Roman" w:hAnsi="Times New Roman" w:eastAsia="宋体" w:cs="Times New Roman"/>
          <w:caps w:val="0"/>
          <w:smallCaps w:val="0"/>
          <w:color w:val="auto"/>
          <w:spacing w:val="0"/>
          <w:w w:val="100"/>
          <w:kern w:val="0"/>
          <w:position w:val="0"/>
          <w:sz w:val="24"/>
          <w:szCs w:val="24"/>
          <w:u w:val="none" w:color="auto"/>
        </w:rPr>
        <w:t>处理</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bidi="ar-SA"/>
        </w:rPr>
        <w:t>不外排，对</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水环境影响较小</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0F7752D9">
      <w:pPr>
        <w:keepNext w:val="0"/>
        <w:keepLines w:val="0"/>
        <w:pageBreakBefore w:val="0"/>
        <w:widowControl w:val="0"/>
        <w:tabs>
          <w:tab w:val="left" w:pos="135"/>
        </w:tabs>
        <w:overflowPunct/>
        <w:autoSpaceDE/>
        <w:autoSpaceDN/>
        <w:bidi w:val="0"/>
        <w:snapToGrid/>
        <w:spacing w:line="360" w:lineRule="auto"/>
        <w:ind w:left="0" w:right="0" w:firstLine="48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基坑废水</w:t>
      </w:r>
      <w:r>
        <w:rPr>
          <w:rFonts w:hint="default" w:ascii="Times New Roman" w:hAnsi="Times New Roman" w:eastAsia="宋体" w:cs="Times New Roman"/>
          <w:color w:val="auto"/>
          <w:spacing w:val="0"/>
          <w:w w:val="100"/>
          <w:position w:val="0"/>
          <w:sz w:val="24"/>
          <w:szCs w:val="24"/>
          <w:u w:val="none" w:color="auto"/>
          <w:lang w:eastAsia="zh-CN"/>
        </w:rPr>
        <w:t>通过修建沉淀池对废水进行收集沉淀</w:t>
      </w:r>
      <w:r>
        <w:rPr>
          <w:rFonts w:hint="eastAsia" w:ascii="Times New Roman" w:hAnsi="Times New Roman" w:eastAsia="宋体" w:cs="Times New Roman"/>
          <w:color w:val="auto"/>
          <w:spacing w:val="0"/>
          <w:w w:val="100"/>
          <w:position w:val="0"/>
          <w:sz w:val="24"/>
          <w:szCs w:val="24"/>
          <w:u w:val="none" w:color="auto"/>
          <w:lang w:eastAsia="zh-CN"/>
        </w:rPr>
        <w:t>后</w:t>
      </w:r>
      <w:r>
        <w:rPr>
          <w:rFonts w:hint="default" w:ascii="Times New Roman" w:hAnsi="Times New Roman" w:eastAsia="宋体" w:cs="Times New Roman"/>
          <w:color w:val="auto"/>
          <w:spacing w:val="0"/>
          <w:w w:val="100"/>
          <w:position w:val="0"/>
          <w:sz w:val="24"/>
          <w:szCs w:val="24"/>
          <w:u w:val="none" w:color="auto"/>
        </w:rPr>
        <w:t>回用于施工道路和施工区内洒水降尘、车辆清洗等，不外排，避免对周边水体产生影响。</w:t>
      </w:r>
    </w:p>
    <w:p w14:paraId="45A799B1">
      <w:pPr>
        <w:keepNext w:val="0"/>
        <w:keepLines w:val="0"/>
        <w:pageBreakBefore w:val="0"/>
        <w:widowControl w:val="0"/>
        <w:tabs>
          <w:tab w:val="left" w:pos="135"/>
        </w:tabs>
        <w:overflowPunct/>
        <w:autoSpaceDE/>
        <w:autoSpaceDN/>
        <w:bidi w:val="0"/>
        <w:snapToGrid/>
        <w:spacing w:line="360" w:lineRule="auto"/>
        <w:ind w:left="0" w:right="0" w:firstLine="480"/>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val="en-US" w:eastAsia="zh-CN"/>
        </w:rPr>
        <w:t>项目施工现场不设置施工营地，也无工地食堂和工地宿舍，施工人员分散租用附近民房，生活污水利用周边已有的生活设施进行处理。因此，本项目施工生活污水不会对周边水体产生较大影响。</w:t>
      </w:r>
    </w:p>
    <w:p w14:paraId="3F936538">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（3）地下水</w:t>
      </w:r>
    </w:p>
    <w:p w14:paraId="16C59430">
      <w:pPr>
        <w:keepNext w:val="0"/>
        <w:keepLines w:val="0"/>
        <w:pageBreakBefore w:val="0"/>
        <w:widowControl w:val="0"/>
        <w:kinsoku/>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lang w:val="en-US" w:eastAsia="zh-CN"/>
        </w:rPr>
        <w:t>区域</w:t>
      </w:r>
      <w:r>
        <w:rPr>
          <w:rFonts w:hint="default" w:ascii="Times New Roman" w:hAnsi="Times New Roman" w:eastAsia="宋体" w:cs="Times New Roman"/>
          <w:color w:val="auto"/>
          <w:spacing w:val="0"/>
          <w:w w:val="100"/>
          <w:position w:val="0"/>
          <w:sz w:val="24"/>
          <w:szCs w:val="24"/>
          <w:u w:val="none" w:color="auto"/>
        </w:rPr>
        <w:t>地下水埋深较浅，</w:t>
      </w:r>
      <w:r>
        <w:rPr>
          <w:rFonts w:hint="default" w:ascii="Times New Roman" w:hAnsi="Times New Roman" w:eastAsia="宋体" w:cs="Times New Roman"/>
          <w:color w:val="auto"/>
          <w:spacing w:val="0"/>
          <w:w w:val="100"/>
          <w:position w:val="0"/>
          <w:sz w:val="24"/>
          <w:szCs w:val="24"/>
          <w:u w:val="none" w:color="auto"/>
          <w:lang w:val="en-US" w:eastAsia="zh-CN"/>
        </w:rPr>
        <w:t>施工期控制水位降至50m不会影响库区地下水的补径排条件，对地下水水位影响较小。</w:t>
      </w:r>
      <w:r>
        <w:rPr>
          <w:rFonts w:hint="default" w:ascii="Times New Roman" w:hAnsi="Times New Roman" w:eastAsia="宋体" w:cs="Times New Roman"/>
          <w:caps w:val="0"/>
          <w:smallCaps w:val="0"/>
          <w:color w:val="auto"/>
          <w:spacing w:val="0"/>
          <w:w w:val="100"/>
          <w:kern w:val="0"/>
          <w:position w:val="0"/>
          <w:sz w:val="24"/>
          <w:szCs w:val="24"/>
          <w:u w:val="none" w:color="auto"/>
        </w:rPr>
        <w:t>工程施工期生产废水通过沉淀、隔油等措施处理后回用于施工工艺</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不外排</w:t>
      </w:r>
      <w:r>
        <w:rPr>
          <w:rFonts w:hint="default" w:ascii="Times New Roman" w:hAnsi="Times New Roman" w:eastAsia="宋体" w:cs="Times New Roman"/>
          <w:caps w:val="0"/>
          <w:smallCaps w:val="0"/>
          <w:color w:val="auto"/>
          <w:spacing w:val="0"/>
          <w:w w:val="100"/>
          <w:kern w:val="0"/>
          <w:position w:val="0"/>
          <w:sz w:val="24"/>
          <w:szCs w:val="24"/>
          <w:u w:val="none" w:color="auto"/>
        </w:rPr>
        <w:t>，对区域地下水水质影响不大</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。坝体</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渗透性较弱，施工涉及少量帷幕灌浆对地下水质影响较小。</w:t>
      </w:r>
    </w:p>
    <w:p w14:paraId="6FDE2077">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（4）声环境</w:t>
      </w:r>
    </w:p>
    <w:p w14:paraId="73EDA2CC">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施工期噪声污染源主要由施工作业机械产生和施工车辆运输交通噪声。通过</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优先采用低噪声设备、绿化吸声、临时隔声屏障、距离衰减、合理安排施工时间，合理布置施工机械</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等措施</w:t>
      </w:r>
      <w:r>
        <w:rPr>
          <w:rFonts w:hint="default" w:ascii="Times New Roman" w:hAnsi="Times New Roman" w:eastAsia="宋体" w:cs="Times New Roman"/>
          <w:caps w:val="0"/>
          <w:smallCaps w:val="0"/>
          <w:color w:val="auto"/>
          <w:spacing w:val="0"/>
          <w:w w:val="100"/>
          <w:kern w:val="0"/>
          <w:position w:val="0"/>
          <w:sz w:val="24"/>
          <w:szCs w:val="24"/>
          <w:u w:val="none" w:color="auto"/>
        </w:rPr>
        <w:t>，可减少施工噪声对周围环境的影响。运输车辆在经过集镇和沿线居民集中居住点时，应限速禁鸣，减轻物料运输车辆的噪声影响。</w:t>
      </w:r>
    </w:p>
    <w:p w14:paraId="71D3F336">
      <w:pPr>
        <w:pageBreakBefore w:val="0"/>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（5）固体废物</w:t>
      </w:r>
    </w:p>
    <w:p w14:paraId="03F838F6">
      <w:pPr>
        <w:pageBreakBefore w:val="0"/>
        <w:numPr>
          <w:ilvl w:val="0"/>
          <w:numId w:val="0"/>
        </w:numPr>
        <w:kinsoku w:val="0"/>
        <w:wordWrap w:val="0"/>
        <w:overflowPunct/>
        <w:topLinePunct/>
        <w:autoSpaceDE/>
        <w:autoSpaceDN/>
        <w:bidi w:val="0"/>
        <w:adjustRightInd w:val="0"/>
        <w:spacing w:line="500" w:lineRule="exact"/>
        <w:ind w:firstLine="480" w:firstLineChars="200"/>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施工期固体废物主要是弃土</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、建筑垃圾、拆除的报废设备、</w:t>
      </w:r>
      <w:r>
        <w:rPr>
          <w:rFonts w:hint="default" w:ascii="Times New Roman" w:hAnsi="Times New Roman" w:eastAsia="宋体" w:cs="Times New Roman"/>
          <w:color w:val="auto"/>
          <w:spacing w:val="0"/>
          <w:w w:val="100"/>
          <w:position w:val="0"/>
          <w:sz w:val="24"/>
          <w:szCs w:val="24"/>
          <w:u w:val="none" w:color="auto"/>
          <w:lang w:val="en-US" w:eastAsia="zh-CN"/>
        </w:rPr>
        <w:t>沉淀池收集的污泥</w:t>
      </w:r>
      <w:r>
        <w:rPr>
          <w:rFonts w:hint="eastAsia" w:ascii="Times New Roman" w:hAnsi="Times New Roman" w:eastAsia="宋体" w:cs="Times New Roman"/>
          <w:color w:val="auto"/>
          <w:spacing w:val="0"/>
          <w:w w:val="10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施工人员生活垃圾</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、隔油池收集</w:t>
      </w:r>
      <w:r>
        <w:rPr>
          <w:rFonts w:hint="default" w:ascii="Times New Roman" w:hAnsi="Times New Roman" w:eastAsia="宋体" w:cs="Times New Roman"/>
          <w:color w:val="auto"/>
          <w:spacing w:val="0"/>
          <w:w w:val="100"/>
          <w:position w:val="0"/>
          <w:sz w:val="24"/>
          <w:szCs w:val="24"/>
          <w:u w:val="none" w:color="auto"/>
          <w:lang w:eastAsia="zh-CN"/>
        </w:rPr>
        <w:t>废油</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等</w:t>
      </w:r>
      <w:r>
        <w:rPr>
          <w:rFonts w:hint="default" w:ascii="Times New Roman" w:hAnsi="Times New Roman" w:eastAsia="宋体" w:cs="Times New Roman"/>
          <w:caps w:val="0"/>
          <w:smallCaps w:val="0"/>
          <w:color w:val="auto"/>
          <w:spacing w:val="0"/>
          <w:w w:val="100"/>
          <w:kern w:val="0"/>
          <w:position w:val="0"/>
          <w:sz w:val="24"/>
          <w:szCs w:val="24"/>
          <w:u w:val="none" w:color="auto"/>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项目弃方全部运至大坝下游的弃渣场，施工弃渣严禁向水库和河道内倾倒</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olor w:val="auto"/>
          <w:spacing w:val="0"/>
          <w:w w:val="100"/>
          <w:position w:val="0"/>
          <w:sz w:val="24"/>
          <w:szCs w:val="24"/>
          <w:u w:val="none" w:color="auto"/>
        </w:rPr>
        <w:t>工程对金属结构及设备拆除后</w:t>
      </w:r>
      <w:r>
        <w:rPr>
          <w:rFonts w:hint="default" w:ascii="Times New Roman" w:hAnsi="Times New Roman" w:eastAsia="宋体" w:cs="Times New Roman"/>
          <w:color w:val="auto"/>
          <w:spacing w:val="0"/>
          <w:w w:val="100"/>
          <w:position w:val="0"/>
          <w:sz w:val="24"/>
          <w:szCs w:val="24"/>
          <w:u w:val="none" w:color="auto"/>
          <w:lang w:eastAsia="zh-CN"/>
        </w:rPr>
        <w:t>外售</w:t>
      </w:r>
      <w:r>
        <w:rPr>
          <w:rFonts w:hint="default" w:ascii="Times New Roman" w:hAnsi="Times New Roman" w:eastAsia="宋体" w:cs="Times New Roman"/>
          <w:color w:val="auto"/>
          <w:spacing w:val="0"/>
          <w:w w:val="100"/>
          <w:position w:val="0"/>
          <w:sz w:val="24"/>
          <w:szCs w:val="24"/>
          <w:u w:val="none" w:color="auto"/>
        </w:rPr>
        <w:t>进行资源回收</w:t>
      </w:r>
      <w:r>
        <w:rPr>
          <w:rFonts w:hint="default" w:ascii="Times New Roman" w:hAnsi="Times New Roman" w:eastAsia="宋体" w:cs="Times New Roman"/>
          <w:color w:val="auto"/>
          <w:spacing w:val="0"/>
          <w:w w:val="100"/>
          <w:position w:val="0"/>
          <w:sz w:val="24"/>
          <w:szCs w:val="24"/>
          <w:u w:val="none" w:color="auto"/>
          <w:lang w:eastAsia="zh-CN"/>
        </w:rPr>
        <w:t>利用</w:t>
      </w:r>
      <w:r>
        <w:rPr>
          <w:rFonts w:hint="eastAsia" w:ascii="Times New Roman" w:hAnsi="Times New Roman" w:eastAsia="宋体" w:cs="Times New Roman"/>
          <w:color w:val="auto"/>
          <w:spacing w:val="0"/>
          <w:w w:val="100"/>
          <w:position w:val="0"/>
          <w:sz w:val="24"/>
          <w:szCs w:val="24"/>
          <w:u w:val="none" w:color="auto"/>
          <w:lang w:eastAsia="zh-CN"/>
        </w:rPr>
        <w:t>，不会对周边环境造成明显不利影响；</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建筑垃圾</w:t>
      </w:r>
      <w:r>
        <w:rPr>
          <w:rFonts w:hint="default" w:ascii="Times New Roman" w:hAnsi="Times New Roman" w:eastAsia="宋体" w:cs="Times New Roman"/>
          <w:color w:val="auto"/>
          <w:spacing w:val="0"/>
          <w:w w:val="100"/>
          <w:position w:val="0"/>
          <w:sz w:val="24"/>
          <w:szCs w:val="24"/>
          <w:u w:val="none" w:color="auto"/>
          <w:lang w:val="en-US" w:eastAsia="zh-CN"/>
        </w:rPr>
        <w:t>收集后运至弃渣场堆存</w:t>
      </w:r>
      <w:r>
        <w:rPr>
          <w:rFonts w:hint="eastAsia" w:ascii="Times New Roman" w:hAnsi="Times New Roman" w:eastAsia="宋体" w:cs="Times New Roman"/>
          <w:color w:val="auto"/>
          <w:spacing w:val="0"/>
          <w:w w:val="100"/>
          <w:position w:val="0"/>
          <w:sz w:val="24"/>
          <w:szCs w:val="24"/>
          <w:u w:val="none" w:color="auto"/>
          <w:lang w:val="en-US" w:eastAsia="zh-CN"/>
        </w:rPr>
        <w:t>；</w:t>
      </w:r>
      <w:r>
        <w:rPr>
          <w:rFonts w:hint="eastAsia" w:ascii="Times New Roman" w:hAnsi="Times New Roman" w:eastAsia="宋体" w:cs="Times New Roman"/>
          <w:color w:val="auto"/>
          <w:sz w:val="24"/>
          <w:szCs w:val="24"/>
          <w:lang w:val="en-US" w:eastAsia="zh-CN"/>
        </w:rPr>
        <w:t>各</w:t>
      </w:r>
      <w:r>
        <w:rPr>
          <w:rFonts w:hint="eastAsia" w:ascii="宋体" w:hAnsi="宋体" w:eastAsia="宋体" w:cs="宋体"/>
          <w:color w:val="auto"/>
          <w:kern w:val="0"/>
          <w:sz w:val="24"/>
          <w:szCs w:val="24"/>
          <w:lang w:val="en-US" w:eastAsia="zh-CN" w:bidi="ar"/>
        </w:rPr>
        <w:t>沉淀池收集的污泥定期人工清理，经收集后外售砖厂制砖；</w:t>
      </w:r>
      <w:r>
        <w:rPr>
          <w:rFonts w:hint="default" w:ascii="Times New Roman" w:hAnsi="Times New Roman" w:eastAsia="宋体" w:cs="Times New Roman"/>
          <w:caps w:val="0"/>
          <w:smallCaps w:val="0"/>
          <w:color w:val="auto"/>
          <w:spacing w:val="0"/>
          <w:w w:val="100"/>
          <w:kern w:val="0"/>
          <w:position w:val="0"/>
          <w:sz w:val="24"/>
          <w:szCs w:val="24"/>
          <w:u w:val="none" w:color="auto"/>
        </w:rPr>
        <w:t>施工场地设置垃圾</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桶</w:t>
      </w:r>
      <w:r>
        <w:rPr>
          <w:rFonts w:hint="default" w:ascii="Times New Roman" w:hAnsi="Times New Roman" w:eastAsia="宋体" w:cs="Times New Roman"/>
          <w:caps w:val="0"/>
          <w:smallCaps w:val="0"/>
          <w:color w:val="auto"/>
          <w:spacing w:val="0"/>
          <w:w w:val="100"/>
          <w:kern w:val="0"/>
          <w:position w:val="0"/>
          <w:sz w:val="24"/>
          <w:szCs w:val="24"/>
          <w:u w:val="none" w:color="auto"/>
        </w:rPr>
        <w:t>，生活垃圾集中收集，定时清运处理</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废油</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经收集后交由</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有资质的单位接收处理并妥善处置</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。各类固废妥善收集处理处置后</w:t>
      </w:r>
      <w:r>
        <w:rPr>
          <w:rFonts w:hint="default" w:ascii="Times New Roman" w:hAnsi="Times New Roman" w:eastAsia="宋体" w:cs="Times New Roman"/>
          <w:caps w:val="0"/>
          <w:smallCaps w:val="0"/>
          <w:color w:val="auto"/>
          <w:spacing w:val="0"/>
          <w:w w:val="100"/>
          <w:kern w:val="0"/>
          <w:position w:val="0"/>
          <w:sz w:val="24"/>
          <w:szCs w:val="24"/>
          <w:u w:val="none" w:color="auto"/>
        </w:rPr>
        <w:t>对周边环境影响不大。</w:t>
      </w:r>
    </w:p>
    <w:p w14:paraId="50EAF43D">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（6）生态</w:t>
      </w:r>
    </w:p>
    <w:p w14:paraId="64C143FC">
      <w:pPr>
        <w:pageBreakBefore w:val="0"/>
        <w:numPr>
          <w:ilvl w:val="0"/>
          <w:numId w:val="0"/>
        </w:numPr>
        <w:kinsoku w:val="0"/>
        <w:wordWrap w:val="0"/>
        <w:overflowPunct/>
        <w:topLinePunct/>
        <w:autoSpaceDE/>
        <w:autoSpaceDN/>
        <w:bidi w:val="0"/>
        <w:adjustRightInd w:val="0"/>
        <w:spacing w:line="360" w:lineRule="auto"/>
        <w:ind w:firstLine="480" w:firstLineChars="200"/>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本工程对生态环境的影响主要表现为：工程占地、人为干扰、施工活动及施工活动产生的废水、扬尘等对动植物及其生境的影响。总体而言，工程建设对区域动植物的影响均较小。本工程在设计、施工及运营中，如采取本报告提出的减缓、避让、恢复、保护和加强管理等积极有效的保护措施，可将工程施工带来的负面影响减轻到生物、生态能够承载的程度。</w:t>
      </w:r>
    </w:p>
    <w:p w14:paraId="7DC9DA10">
      <w:pPr>
        <w:keepNext w:val="0"/>
        <w:keepLines w:val="0"/>
        <w:pageBreakBefore w:val="0"/>
        <w:widowControl w:val="0"/>
        <w:kinsoku w:val="0"/>
        <w:wordWrap w:val="0"/>
        <w:overflowPunct/>
        <w:topLinePunct/>
        <w:autoSpaceDE/>
        <w:autoSpaceDN/>
        <w:bidi w:val="0"/>
        <w:adjustRightInd w:val="0"/>
        <w:snapToGrid/>
        <w:spacing w:line="360" w:lineRule="auto"/>
        <w:ind w:left="0" w:right="0"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b/>
          <w:bCs/>
          <w:caps w:val="0"/>
          <w:smallCaps w:val="0"/>
          <w:color w:val="auto"/>
          <w:spacing w:val="0"/>
          <w:w w:val="100"/>
          <w:kern w:val="0"/>
          <w:position w:val="0"/>
          <w:sz w:val="24"/>
          <w:szCs w:val="24"/>
          <w:u w:val="none" w:color="auto"/>
          <w:lang w:val="en-US" w:eastAsia="zh-CN"/>
        </w:rPr>
        <w:t>3、</w:t>
      </w: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营运期环境影响及保护措施</w:t>
      </w:r>
    </w:p>
    <w:p w14:paraId="26275C46">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（1）空气环境</w:t>
      </w:r>
    </w:p>
    <w:p w14:paraId="1B36482F">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水库为生态影响型项目，营运期无</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生产</w:t>
      </w:r>
      <w:r>
        <w:rPr>
          <w:rFonts w:hint="default" w:ascii="Times New Roman" w:hAnsi="Times New Roman" w:eastAsia="宋体" w:cs="Times New Roman"/>
          <w:caps w:val="0"/>
          <w:smallCaps w:val="0"/>
          <w:color w:val="auto"/>
          <w:spacing w:val="0"/>
          <w:w w:val="100"/>
          <w:kern w:val="0"/>
          <w:position w:val="0"/>
          <w:sz w:val="24"/>
          <w:szCs w:val="24"/>
          <w:u w:val="none" w:color="auto"/>
        </w:rPr>
        <w:t>废气影响</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运行期不新增工程管理人员，水库管理人员日常生活产生的少量油烟废气经油烟净化器处理达标后排放，对环境影响较小</w:t>
      </w:r>
      <w:r>
        <w:rPr>
          <w:rFonts w:hint="default" w:ascii="Times New Roman" w:hAnsi="Times New Roman" w:eastAsia="宋体" w:cs="Times New Roman"/>
          <w:caps w:val="0"/>
          <w:smallCaps w:val="0"/>
          <w:color w:val="auto"/>
          <w:spacing w:val="0"/>
          <w:w w:val="100"/>
          <w:kern w:val="0"/>
          <w:position w:val="0"/>
          <w:sz w:val="24"/>
          <w:szCs w:val="24"/>
          <w:u w:val="none" w:color="auto"/>
        </w:rPr>
        <w:t>。</w:t>
      </w:r>
    </w:p>
    <w:p w14:paraId="3FC65F45">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（2）地表水</w:t>
      </w:r>
    </w:p>
    <w:p w14:paraId="7DD477CB">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FF0000"/>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本项目主体工程在原址基础上进行除险加固，不改变水库设计正常蓄水位，不进行增容，不改变水库流量、水位等工程特性，除险加固工程后防洪调度运用原则与现状调度运用原则基本一致，因而</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本项目</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运行期对库区、上下游水文情势无明显影响。</w:t>
      </w:r>
    </w:p>
    <w:p w14:paraId="74B4C4E9">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FF0000"/>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项目不新增劳动定员，不新增生活污水。</w:t>
      </w:r>
      <w:r>
        <w:rPr>
          <w:rFonts w:hint="default" w:ascii="Times New Roman" w:hAnsi="Times New Roman" w:eastAsia="宋体" w:cs="Times New Roman"/>
          <w:caps w:val="0"/>
          <w:smallCaps w:val="0"/>
          <w:color w:val="auto"/>
          <w:spacing w:val="0"/>
          <w:w w:val="100"/>
          <w:kern w:val="0"/>
          <w:position w:val="0"/>
          <w:sz w:val="24"/>
          <w:szCs w:val="24"/>
          <w:u w:val="none" w:color="auto"/>
        </w:rPr>
        <w:t>生活污水经化粪池处理后</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经污水管网排入大坝下游</w:t>
      </w:r>
      <w:r>
        <w:rPr>
          <w:rFonts w:hint="default" w:ascii="Times New Roman" w:hAnsi="Times New Roman" w:eastAsia="宋体" w:cs="Times New Roman"/>
          <w:caps w:val="0"/>
          <w:smallCaps w:val="0"/>
          <w:color w:val="auto"/>
          <w:spacing w:val="0"/>
          <w:w w:val="100"/>
          <w:kern w:val="0"/>
          <w:position w:val="0"/>
          <w:sz w:val="24"/>
          <w:szCs w:val="24"/>
          <w:u w:val="none" w:color="auto"/>
        </w:rPr>
        <w:t>，严禁向水库内倾倒生活垃圾和排放生活污水。水库已运行</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5</w:t>
      </w:r>
      <w:r>
        <w:rPr>
          <w:rFonts w:hint="default" w:ascii="Times New Roman" w:hAnsi="Times New Roman" w:eastAsia="宋体" w:cs="Times New Roman"/>
          <w:caps w:val="0"/>
          <w:smallCaps w:val="0"/>
          <w:color w:val="auto"/>
          <w:spacing w:val="0"/>
          <w:w w:val="100"/>
          <w:kern w:val="0"/>
          <w:position w:val="0"/>
          <w:sz w:val="24"/>
          <w:szCs w:val="24"/>
          <w:u w:val="none" w:color="auto"/>
        </w:rPr>
        <w:t>0</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余</w:t>
      </w:r>
      <w:r>
        <w:rPr>
          <w:rFonts w:hint="default" w:ascii="Times New Roman" w:hAnsi="Times New Roman" w:eastAsia="宋体" w:cs="Times New Roman"/>
          <w:caps w:val="0"/>
          <w:smallCaps w:val="0"/>
          <w:color w:val="auto"/>
          <w:spacing w:val="0"/>
          <w:w w:val="100"/>
          <w:kern w:val="0"/>
          <w:position w:val="0"/>
          <w:sz w:val="24"/>
          <w:szCs w:val="24"/>
          <w:u w:val="none" w:color="auto"/>
        </w:rPr>
        <w:t>年，</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本项目实施后</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运行期库区水质情况不会有明显变化，库区水体富营养化的程度不会增加</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发生富营养化的几率较小</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p>
    <w:p w14:paraId="03775096">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（3）地下水</w:t>
      </w:r>
    </w:p>
    <w:p w14:paraId="4A326D8D">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eastAsia="zh-CN"/>
        </w:rPr>
      </w:pP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本项目</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管理人员生活污水处理设施和排水管道采取可靠的防渗防漏措施</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后</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避免</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对地下水水质造成</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污染</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p>
    <w:p w14:paraId="02083EE8">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本</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次</w:t>
      </w:r>
      <w:r>
        <w:rPr>
          <w:rFonts w:hint="default" w:ascii="Times New Roman" w:hAnsi="Times New Roman" w:eastAsia="宋体" w:cs="Times New Roman"/>
          <w:caps w:val="0"/>
          <w:smallCaps w:val="0"/>
          <w:color w:val="auto"/>
          <w:spacing w:val="0"/>
          <w:w w:val="100"/>
          <w:kern w:val="0"/>
          <w:position w:val="0"/>
          <w:sz w:val="24"/>
          <w:szCs w:val="24"/>
          <w:u w:val="none" w:color="auto"/>
        </w:rPr>
        <w:t>除险加固</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完成</w:t>
      </w:r>
      <w:r>
        <w:rPr>
          <w:rFonts w:hint="default" w:ascii="Times New Roman" w:hAnsi="Times New Roman" w:eastAsia="宋体" w:cs="Times New Roman"/>
          <w:caps w:val="0"/>
          <w:smallCaps w:val="0"/>
          <w:color w:val="auto"/>
          <w:spacing w:val="0"/>
          <w:w w:val="100"/>
          <w:kern w:val="0"/>
          <w:position w:val="0"/>
          <w:sz w:val="24"/>
          <w:szCs w:val="24"/>
          <w:u w:val="none" w:color="auto"/>
        </w:rPr>
        <w:t>后</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，水库</w:t>
      </w:r>
      <w:r>
        <w:rPr>
          <w:rFonts w:hint="default" w:ascii="Times New Roman" w:hAnsi="Times New Roman" w:eastAsia="宋体" w:cs="Times New Roman"/>
          <w:caps w:val="0"/>
          <w:smallCaps w:val="0"/>
          <w:color w:val="auto"/>
          <w:spacing w:val="0"/>
          <w:w w:val="100"/>
          <w:kern w:val="0"/>
          <w:position w:val="0"/>
          <w:sz w:val="24"/>
          <w:szCs w:val="24"/>
          <w:u w:val="none" w:color="auto"/>
        </w:rPr>
        <w:t>设计蓄水位不变，设计库容不发生变化</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。水库运行多年，水库蓄水对当地地下水的补给作用相对稳定，且项目所在区域地下水的补给来源主要为大气降水。因此东山水库除险加固工程实施后，不会对本项目区域</w:t>
      </w:r>
      <w:r>
        <w:rPr>
          <w:rFonts w:hint="default" w:ascii="Times New Roman" w:hAnsi="Times New Roman" w:eastAsia="宋体" w:cs="Times New Roman"/>
          <w:caps w:val="0"/>
          <w:smallCaps w:val="0"/>
          <w:color w:val="auto"/>
          <w:spacing w:val="0"/>
          <w:w w:val="100"/>
          <w:kern w:val="0"/>
          <w:position w:val="0"/>
          <w:sz w:val="24"/>
          <w:szCs w:val="24"/>
          <w:u w:val="none" w:color="auto"/>
        </w:rPr>
        <w:t>地下水流场或地下水水位</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产生影响。</w:t>
      </w:r>
    </w:p>
    <w:p w14:paraId="26338B90">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（4）声环境</w:t>
      </w:r>
    </w:p>
    <w:p w14:paraId="169E143F">
      <w:pPr>
        <w:keepNext w:val="0"/>
        <w:keepLines w:val="0"/>
        <w:pageBreakBefore w:val="0"/>
        <w:widowControl w:val="0"/>
        <w:overflowPunct/>
        <w:autoSpaceDE/>
        <w:autoSpaceDN/>
        <w:bidi w:val="0"/>
        <w:adjustRightInd/>
        <w:snapToGrid/>
        <w:spacing w:line="360" w:lineRule="auto"/>
        <w:ind w:left="0" w:right="0" w:firstLine="479"/>
        <w:textAlignment w:val="auto"/>
        <w:rPr>
          <w:rFonts w:hint="default" w:ascii="Times New Roman" w:hAnsi="Times New Roman" w:eastAsia="宋体" w:cs="Times New Roman"/>
          <w:caps w:val="0"/>
          <w:smallCaps w:val="0"/>
          <w:color w:val="FF0000"/>
          <w:spacing w:val="0"/>
          <w:w w:val="100"/>
          <w:kern w:val="0"/>
          <w:position w:val="0"/>
          <w:sz w:val="24"/>
          <w:szCs w:val="24"/>
          <w:u w:val="none" w:color="auto"/>
        </w:rPr>
      </w:pPr>
      <w:r>
        <w:rPr>
          <w:rFonts w:hint="default" w:ascii="Times New Roman" w:hAnsi="Times New Roman" w:eastAsia="宋体" w:cs="Times New Roman"/>
          <w:color w:val="auto"/>
          <w:spacing w:val="0"/>
          <w:w w:val="100"/>
          <w:position w:val="0"/>
          <w:sz w:val="24"/>
          <w:szCs w:val="24"/>
          <w:u w:val="none" w:color="auto"/>
        </w:rPr>
        <w:t>工程属非污染生态影响项目，水库除险加固建设完成后，运行期噪声影响主要仍为除险加固前的启闭机等运转过程中产生的噪声，不新增噪声污染源，与工程建设前无重大变化</w:t>
      </w:r>
      <w:r>
        <w:rPr>
          <w:rFonts w:hint="eastAsia" w:ascii="Times New Roman" w:hAnsi="Times New Roman" w:eastAsia="宋体" w:cs="Times New Roman"/>
          <w:color w:val="auto"/>
          <w:spacing w:val="0"/>
          <w:w w:val="100"/>
          <w:position w:val="0"/>
          <w:sz w:val="24"/>
          <w:szCs w:val="24"/>
          <w:u w:val="none" w:color="auto"/>
          <w:lang w:eastAsia="zh-CN"/>
        </w:rPr>
        <w:t>，不会对周边声环境造成较大不利影响</w:t>
      </w:r>
      <w:r>
        <w:rPr>
          <w:rFonts w:hint="default" w:ascii="Times New Roman" w:hAnsi="Times New Roman" w:eastAsia="宋体" w:cs="Times New Roman"/>
          <w:color w:val="auto"/>
          <w:spacing w:val="0"/>
          <w:w w:val="100"/>
          <w:position w:val="0"/>
          <w:sz w:val="24"/>
          <w:szCs w:val="24"/>
          <w:u w:val="none" w:color="auto"/>
        </w:rPr>
        <w:t>。</w:t>
      </w:r>
    </w:p>
    <w:p w14:paraId="2608B5B4">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（5）固体废物</w:t>
      </w:r>
    </w:p>
    <w:p w14:paraId="7AE47182">
      <w:pPr>
        <w:keepNext w:val="0"/>
        <w:keepLines w:val="0"/>
        <w:pageBreakBefore w:val="0"/>
        <w:widowControl w:val="0"/>
        <w:overflowPunct/>
        <w:autoSpaceDE/>
        <w:autoSpaceDN/>
        <w:bidi w:val="0"/>
        <w:adjustRightInd/>
        <w:snapToGrid/>
        <w:spacing w:line="360" w:lineRule="auto"/>
        <w:ind w:left="0" w:right="0" w:firstLine="479"/>
        <w:textAlignment w:val="auto"/>
        <w:rPr>
          <w:rFonts w:hint="default" w:ascii="Times New Roman" w:hAnsi="Times New Roman" w:eastAsia="宋体" w:cs="Times New Roman"/>
          <w:color w:val="auto"/>
          <w:spacing w:val="0"/>
          <w:w w:val="10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水库管理所</w:t>
      </w:r>
      <w:r>
        <w:rPr>
          <w:rFonts w:hint="default" w:ascii="Times New Roman" w:hAnsi="Times New Roman" w:eastAsia="宋体" w:cs="Times New Roman"/>
          <w:caps w:val="0"/>
          <w:smallCaps w:val="0"/>
          <w:color w:val="auto"/>
          <w:spacing w:val="0"/>
          <w:w w:val="100"/>
          <w:kern w:val="0"/>
          <w:position w:val="0"/>
          <w:sz w:val="24"/>
          <w:szCs w:val="24"/>
          <w:u w:val="none" w:color="auto"/>
        </w:rPr>
        <w:t>设置生活垃圾收集桶，定时将收集的生活垃圾清运处理</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olor w:val="auto"/>
          <w:spacing w:val="0"/>
          <w:w w:val="100"/>
          <w:position w:val="0"/>
          <w:sz w:val="24"/>
          <w:szCs w:val="24"/>
          <w:u w:val="none" w:color="auto"/>
          <w:lang w:val="en-US" w:eastAsia="zh-CN"/>
        </w:rPr>
        <w:t>运营期产生的生活垃圾不会对区域环境产生不利影响。</w:t>
      </w:r>
    </w:p>
    <w:p w14:paraId="2FAEC5D0">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（6）土壤环境</w:t>
      </w:r>
    </w:p>
    <w:p w14:paraId="557A9A49">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pPr>
      <w:bookmarkStart w:id="381" w:name="bookmark1044"/>
      <w:bookmarkStart w:id="382" w:name="bookmark1045"/>
      <w:r>
        <w:rPr>
          <w:rFonts w:hint="default" w:ascii="Times New Roman" w:hAnsi="Times New Roman" w:eastAsia="宋体" w:cs="Times New Roman"/>
          <w:caps w:val="0"/>
          <w:smallCaps w:val="0"/>
          <w:color w:val="auto"/>
          <w:spacing w:val="0"/>
          <w:w w:val="100"/>
          <w:kern w:val="0"/>
          <w:position w:val="0"/>
          <w:sz w:val="24"/>
          <w:szCs w:val="24"/>
          <w:u w:val="none" w:color="auto"/>
        </w:rPr>
        <w:t>根据本次现状监测，</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评价范围内的土壤</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无</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酸化</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或</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碱化</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，呈轻度</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盐化</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项目周边土壤各</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因子</w:t>
      </w:r>
      <w:r>
        <w:rPr>
          <w:rFonts w:hint="default" w:ascii="Times New Roman" w:hAnsi="Times New Roman" w:eastAsia="宋体" w:cs="Times New Roman"/>
          <w:caps w:val="0"/>
          <w:smallCaps w:val="0"/>
          <w:color w:val="auto"/>
          <w:spacing w:val="0"/>
          <w:w w:val="100"/>
          <w:kern w:val="0"/>
          <w:position w:val="0"/>
          <w:sz w:val="24"/>
          <w:szCs w:val="24"/>
          <w:u w:val="none" w:color="auto"/>
        </w:rPr>
        <w:t>均满足《土壤环境质量标准  农用地土壤污染风险管控标准》（GB15618-2018）中限值要求。</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水库监测点位</w:t>
      </w:r>
      <w:r>
        <w:rPr>
          <w:rFonts w:hint="default" w:ascii="Times New Roman" w:hAnsi="Times New Roman" w:eastAsia="宋体" w:cs="Times New Roman"/>
          <w:caps w:val="0"/>
          <w:smallCaps w:val="0"/>
          <w:color w:val="auto"/>
          <w:spacing w:val="0"/>
          <w:w w:val="100"/>
          <w:kern w:val="0"/>
          <w:position w:val="0"/>
          <w:sz w:val="24"/>
          <w:szCs w:val="24"/>
          <w:u w:val="none" w:color="auto"/>
        </w:rPr>
        <w:t>指标均</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达到</w:t>
      </w:r>
      <w:r>
        <w:rPr>
          <w:rFonts w:hint="default" w:ascii="Times New Roman" w:hAnsi="Times New Roman" w:eastAsia="宋体" w:cs="Times New Roman"/>
          <w:caps w:val="0"/>
          <w:smallCaps w:val="0"/>
          <w:color w:val="auto"/>
          <w:spacing w:val="0"/>
          <w:w w:val="100"/>
          <w:kern w:val="0"/>
          <w:position w:val="0"/>
          <w:sz w:val="24"/>
          <w:szCs w:val="24"/>
          <w:u w:val="none" w:color="auto"/>
        </w:rPr>
        <w:t>《土壤环境质量标准  建设用地土壤污染风险管控标准（试行）》（GB36600-2018）第二类用地筛选值。</w:t>
      </w:r>
    </w:p>
    <w:p w14:paraId="73D4BAE3">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项目对土壤环境的影响主要是生态影响，主要表现在水位发生变化</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，可能造成土壤盐碱化</w:t>
      </w:r>
      <w:r>
        <w:rPr>
          <w:rFonts w:hint="default" w:ascii="Times New Roman" w:hAnsi="Times New Roman" w:eastAsia="宋体" w:cs="Times New Roman"/>
          <w:caps w:val="0"/>
          <w:smallCaps w:val="0"/>
          <w:color w:val="auto"/>
          <w:spacing w:val="0"/>
          <w:w w:val="100"/>
          <w:kern w:val="0"/>
          <w:position w:val="0"/>
          <w:sz w:val="24"/>
          <w:szCs w:val="24"/>
          <w:u w:val="none" w:color="auto"/>
        </w:rPr>
        <w:t>。项目已运行多年</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库区范围的土地利用现状没有发生大的改变，库岸两边仍然以种植农作物以及经济林木</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、天然林、公益林</w:t>
      </w:r>
      <w:r>
        <w:rPr>
          <w:rFonts w:hint="default" w:ascii="Times New Roman" w:hAnsi="Times New Roman" w:eastAsia="宋体" w:cs="Times New Roman"/>
          <w:caps w:val="0"/>
          <w:smallCaps w:val="0"/>
          <w:color w:val="auto"/>
          <w:spacing w:val="0"/>
          <w:w w:val="100"/>
          <w:kern w:val="0"/>
          <w:position w:val="0"/>
          <w:sz w:val="24"/>
          <w:szCs w:val="24"/>
          <w:u w:val="none" w:color="auto"/>
        </w:rPr>
        <w:t>为主，植被覆盖率无大的改变，因此不会造成</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库区</w:t>
      </w:r>
      <w:r>
        <w:rPr>
          <w:rFonts w:hint="default" w:ascii="Times New Roman" w:hAnsi="Times New Roman" w:eastAsia="宋体" w:cs="Times New Roman"/>
          <w:caps w:val="0"/>
          <w:smallCaps w:val="0"/>
          <w:color w:val="auto"/>
          <w:spacing w:val="0"/>
          <w:w w:val="100"/>
          <w:kern w:val="0"/>
          <w:position w:val="0"/>
          <w:sz w:val="24"/>
          <w:szCs w:val="24"/>
          <w:u w:val="none" w:color="auto"/>
        </w:rPr>
        <w:t>盐渍化。在枯水季节调查期间，在库区范围内未发现水草丛生的沼泽化现象，不会造成河流沼泽化</w:t>
      </w:r>
      <w:r>
        <w:rPr>
          <w:rFonts w:hint="default"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default" w:ascii="Times New Roman" w:hAnsi="Times New Roman" w:eastAsia="宋体" w:cs="Times New Roman"/>
          <w:caps w:val="0"/>
          <w:smallCaps w:val="0"/>
          <w:color w:val="auto"/>
          <w:spacing w:val="0"/>
          <w:w w:val="100"/>
          <w:kern w:val="0"/>
          <w:position w:val="0"/>
          <w:sz w:val="24"/>
          <w:szCs w:val="24"/>
          <w:u w:val="none" w:color="auto"/>
        </w:rPr>
        <w:t>不会导致地下水位的大幅提高而产生土地浸没、引起沼泽化、</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加剧</w:t>
      </w:r>
      <w:r>
        <w:rPr>
          <w:rFonts w:hint="default" w:ascii="Times New Roman" w:hAnsi="Times New Roman" w:eastAsia="宋体" w:cs="Times New Roman"/>
          <w:caps w:val="0"/>
          <w:smallCaps w:val="0"/>
          <w:color w:val="auto"/>
          <w:spacing w:val="0"/>
          <w:w w:val="100"/>
          <w:kern w:val="0"/>
          <w:position w:val="0"/>
          <w:sz w:val="24"/>
          <w:szCs w:val="24"/>
          <w:u w:val="none" w:color="auto"/>
        </w:rPr>
        <w:t>盐碱化等土壤环境问题，不改变原有土壤生态功能。</w:t>
      </w:r>
    </w:p>
    <w:p w14:paraId="1DC4A149">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eastAsia" w:ascii="Times New Roman" w:hAnsi="Times New Roman" w:eastAsia="宋体" w:cs="Times New Roman"/>
          <w:caps w:val="0"/>
          <w:smallCaps w:val="0"/>
          <w:color w:val="auto"/>
          <w:spacing w:val="0"/>
          <w:w w:val="100"/>
          <w:kern w:val="0"/>
          <w:position w:val="0"/>
          <w:sz w:val="24"/>
          <w:szCs w:val="24"/>
          <w:u w:val="none" w:color="auto"/>
          <w:lang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7</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）生态</w:t>
      </w:r>
    </w:p>
    <w:p w14:paraId="6130A525">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工程建成后，评价区内自然景观体系的生物量及生产力不会发生明显的变化，大坝加</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固</w:t>
      </w:r>
      <w:r>
        <w:rPr>
          <w:rFonts w:hint="default" w:ascii="Times New Roman" w:hAnsi="Times New Roman" w:eastAsia="宋体" w:cs="Times New Roman"/>
          <w:caps w:val="0"/>
          <w:smallCaps w:val="0"/>
          <w:color w:val="auto"/>
          <w:spacing w:val="0"/>
          <w:w w:val="100"/>
          <w:kern w:val="0"/>
          <w:position w:val="0"/>
          <w:sz w:val="24"/>
          <w:szCs w:val="24"/>
          <w:u w:val="none" w:color="auto"/>
        </w:rPr>
        <w:t>工程结束后，坝体及坝体周边基本恢复为原有生态类型。</w:t>
      </w:r>
      <w:r>
        <w:rPr>
          <w:rFonts w:hint="eastAsia" w:ascii="Times New Roman" w:hAnsi="Times New Roman" w:eastAsia="宋体" w:cs="Times New Roman"/>
          <w:caps w:val="0"/>
          <w:smallCaps w:val="0"/>
          <w:color w:val="auto"/>
          <w:spacing w:val="0"/>
          <w:w w:val="100"/>
          <w:kern w:val="0"/>
          <w:position w:val="0"/>
          <w:sz w:val="24"/>
          <w:szCs w:val="24"/>
          <w:u w:val="none" w:color="auto"/>
          <w:lang w:eastAsia="zh-CN"/>
        </w:rPr>
        <w:t>随着</w:t>
      </w:r>
      <w:r>
        <w:rPr>
          <w:rFonts w:hint="default" w:ascii="Times New Roman" w:hAnsi="Times New Roman" w:eastAsia="宋体" w:cs="Times New Roman"/>
          <w:caps w:val="0"/>
          <w:smallCaps w:val="0"/>
          <w:color w:val="auto"/>
          <w:spacing w:val="0"/>
          <w:w w:val="100"/>
          <w:kern w:val="0"/>
          <w:position w:val="0"/>
          <w:sz w:val="24"/>
          <w:szCs w:val="24"/>
          <w:u w:val="none" w:color="auto"/>
        </w:rPr>
        <w:t>人类活动的减少，原有施工中迁移的陆生动物将会逐渐回到原有的栖息地进行生活与觅食，陆生动物将会逐渐增多，恢复原有生境，基本不会对陆生动物造成影响。</w:t>
      </w:r>
    </w:p>
    <w:p w14:paraId="01B63317">
      <w:pPr>
        <w:keepNext w:val="0"/>
        <w:keepLines w:val="0"/>
        <w:pageBreakBefore w:val="0"/>
        <w:widowControl w:val="0"/>
        <w:kinsoku w:val="0"/>
        <w:wordWrap w:val="0"/>
        <w:overflowPunct/>
        <w:topLinePunct/>
        <w:autoSpaceDE/>
        <w:autoSpaceDN/>
        <w:bidi w:val="0"/>
        <w:adjustRightInd w:val="0"/>
        <w:snapToGrid/>
        <w:spacing w:line="360" w:lineRule="auto"/>
        <w:ind w:left="0" w:right="0"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东山</w:t>
      </w:r>
      <w:r>
        <w:rPr>
          <w:rFonts w:hint="default" w:ascii="Times New Roman" w:hAnsi="Times New Roman" w:eastAsia="宋体" w:cs="Times New Roman"/>
          <w:caps w:val="0"/>
          <w:smallCaps w:val="0"/>
          <w:color w:val="auto"/>
          <w:spacing w:val="0"/>
          <w:w w:val="100"/>
          <w:kern w:val="0"/>
          <w:position w:val="0"/>
          <w:sz w:val="24"/>
          <w:szCs w:val="24"/>
          <w:u w:val="none" w:color="auto"/>
          <w:lang w:val="en-US" w:eastAsia="zh-CN"/>
        </w:rPr>
        <w:t>水库</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已运行多年，水生动植物已经适应了水库的运行规律，本项目运行期不改变以往水库运行规律，不产生新的生态影响。因此，本工程运行期对水生生态环境不会造成影响。</w:t>
      </w:r>
    </w:p>
    <w:p w14:paraId="4791D765">
      <w:pPr>
        <w:keepNext w:val="0"/>
        <w:keepLines w:val="0"/>
        <w:pageBreakBefore w:val="0"/>
        <w:widowControl w:val="0"/>
        <w:kinsoku w:val="0"/>
        <w:wordWrap w:val="0"/>
        <w:overflowPunct/>
        <w:topLinePunct/>
        <w:autoSpaceDE/>
        <w:autoSpaceDN/>
        <w:bidi w:val="0"/>
        <w:adjustRightInd w:val="0"/>
        <w:snapToGrid/>
        <w:spacing w:line="360" w:lineRule="auto"/>
        <w:ind w:left="0" w:right="0" w:firstLine="482" w:firstLineChars="200"/>
        <w:textAlignment w:val="auto"/>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b/>
          <w:bCs/>
          <w:caps w:val="0"/>
          <w:smallCaps w:val="0"/>
          <w:color w:val="auto"/>
          <w:spacing w:val="0"/>
          <w:w w:val="100"/>
          <w:kern w:val="0"/>
          <w:position w:val="0"/>
          <w:sz w:val="24"/>
          <w:szCs w:val="24"/>
          <w:u w:val="none" w:color="auto"/>
          <w:lang w:val="en-US" w:eastAsia="zh-CN"/>
        </w:rPr>
        <w:t>4、</w:t>
      </w:r>
      <w:r>
        <w:rPr>
          <w:rFonts w:hint="default" w:ascii="Times New Roman" w:hAnsi="Times New Roman" w:eastAsia="宋体" w:cs="Times New Roman"/>
          <w:b/>
          <w:bCs/>
          <w:caps w:val="0"/>
          <w:smallCaps w:val="0"/>
          <w:color w:val="auto"/>
          <w:spacing w:val="0"/>
          <w:w w:val="100"/>
          <w:kern w:val="0"/>
          <w:position w:val="0"/>
          <w:sz w:val="24"/>
          <w:szCs w:val="24"/>
          <w:u w:val="none" w:color="auto"/>
          <w:lang w:val="en-US" w:eastAsia="zh-CN"/>
        </w:rPr>
        <w:t>环境风险</w:t>
      </w:r>
      <w:bookmarkEnd w:id="381"/>
      <w:bookmarkEnd w:id="382"/>
    </w:p>
    <w:p w14:paraId="21C6125F">
      <w:pPr>
        <w:keepNext w:val="0"/>
        <w:keepLines w:val="0"/>
        <w:pageBreakBefore w:val="0"/>
        <w:widowControl w:val="0"/>
        <w:overflowPunct/>
        <w:autoSpaceDE/>
        <w:autoSpaceDN/>
        <w:bidi w:val="0"/>
        <w:adjustRightInd/>
        <w:snapToGrid/>
        <w:spacing w:line="360" w:lineRule="auto"/>
        <w:ind w:left="0" w:right="0" w:firstLine="479"/>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eastAsia" w:ascii="Times New Roman" w:hAnsi="Times New Roman" w:eastAsia="宋体" w:cs="Times New Roman"/>
          <w:caps w:val="0"/>
          <w:smallCaps w:val="0"/>
          <w:color w:val="auto"/>
          <w:spacing w:val="0"/>
          <w:w w:val="100"/>
          <w:position w:val="0"/>
          <w:sz w:val="24"/>
          <w:szCs w:val="24"/>
          <w:u w:val="none" w:color="auto"/>
          <w:lang w:val="en-US" w:eastAsia="zh-CN"/>
        </w:rPr>
        <w:t>本项目风险物质主要为柴油、废机油，环境风险潜势为Ⅰ。本工程根据工程施</w:t>
      </w: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 xml:space="preserve">工及运行特点、周围环境特点以及工程与周围环境之间的关系，施工期主要的环境风险为溢油污染风险、废水事故性排放、危险废物泄漏和火灾、爆炸次生污染事故；运行期主要的环境风险为溢油污染事故。经过风险分析和评价得出结论：项目事故风险水平较低，在进一步采取安全防范措施和事故应急措施后，基本满足国家有关环境保护和安全法规、标准的要求。 </w:t>
      </w:r>
    </w:p>
    <w:p w14:paraId="75F50562">
      <w:pPr>
        <w:keepNext w:val="0"/>
        <w:keepLines w:val="0"/>
        <w:pageBreakBefore w:val="0"/>
        <w:widowControl w:val="0"/>
        <w:overflowPunct/>
        <w:autoSpaceDE/>
        <w:autoSpaceDN/>
        <w:bidi w:val="0"/>
        <w:adjustRightInd/>
        <w:snapToGrid/>
        <w:spacing w:line="360" w:lineRule="auto"/>
        <w:ind w:left="0" w:right="0" w:firstLine="479"/>
        <w:textAlignment w:val="auto"/>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pPr>
      <w:r>
        <w:rPr>
          <w:rFonts w:hint="eastAsia" w:ascii="Times New Roman" w:hAnsi="Times New Roman" w:eastAsia="宋体" w:cs="Times New Roman"/>
          <w:caps w:val="0"/>
          <w:smallCaps w:val="0"/>
          <w:color w:val="auto"/>
          <w:spacing w:val="0"/>
          <w:w w:val="100"/>
          <w:kern w:val="0"/>
          <w:position w:val="0"/>
          <w:sz w:val="24"/>
          <w:szCs w:val="24"/>
          <w:u w:val="none" w:color="auto"/>
          <w:lang w:val="en-US" w:eastAsia="zh-CN"/>
        </w:rPr>
        <w:t>建设单位需按照要求制定相应的环境风险事故防范措施和事故应急预案，当发生风险事故时立即启动事故应急预案，确保事故不扩大，不会对周边环境造成较大危害。在严格采取安全防护和风险防范措施的条件下，保障工程安全施工、安全运行，风险处于环境可接受的水平。</w:t>
      </w:r>
    </w:p>
    <w:p w14:paraId="7FE28CE5">
      <w:pPr>
        <w:pStyle w:val="3"/>
        <w:bidi w:val="0"/>
        <w:rPr>
          <w:rFonts w:hint="default"/>
          <w:lang w:val="en-US" w:eastAsia="zh-CN"/>
        </w:rPr>
      </w:pPr>
      <w:bookmarkStart w:id="383" w:name="_Toc7975"/>
      <w:r>
        <w:rPr>
          <w:rFonts w:hint="default"/>
          <w:lang w:val="en-US" w:eastAsia="zh-CN"/>
        </w:rPr>
        <w:t>环境影响经济损益</w:t>
      </w:r>
      <w:bookmarkEnd w:id="383"/>
    </w:p>
    <w:p w14:paraId="478B71A6">
      <w:pPr>
        <w:keepNext w:val="0"/>
        <w:keepLines w:val="0"/>
        <w:pageBreakBefore w:val="0"/>
        <w:widowControl w:val="0"/>
        <w:overflowPunct/>
        <w:autoSpaceDE/>
        <w:autoSpaceDN/>
        <w:bidi w:val="0"/>
        <w:adjustRightInd/>
        <w:snapToGrid/>
        <w:spacing w:line="360" w:lineRule="auto"/>
        <w:ind w:left="0" w:right="0" w:firstLine="480"/>
        <w:textAlignment w:val="auto"/>
        <w:rPr>
          <w:rFonts w:hint="default" w:ascii="Times New Roman" w:hAnsi="Times New Roman" w:eastAsia="宋体" w:cs="Times New Roman"/>
          <w:caps w:val="0"/>
          <w:smallCaps w:val="0"/>
          <w:color w:val="auto"/>
          <w:spacing w:val="0"/>
          <w:w w:val="100"/>
          <w:position w:val="0"/>
          <w:sz w:val="24"/>
          <w:szCs w:val="28"/>
          <w:u w:val="none" w:color="auto"/>
          <w:lang w:val="en-US" w:eastAsia="zh-CN"/>
        </w:rPr>
      </w:pP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本工程的实施对当地的环境会产生短期的不利影响，但可通过适当的环境保护措施可</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尽量</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减</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小对环境的影响</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；同时项目的实施具有显著的经济效益、社会效益，水库工程建成后大大改善了当地</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灌溉、</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供水</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、防洪</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条件，</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为下游</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 xml:space="preserve">工农业生产和人民生命财产提供可靠保障，对该地区的生态环境的良性循环和社会经济的发展将起积极的促进作用。综合来说，项目产生的环境效益大于环境损失，因此从环境影响经济损益角度分析，工程建设是可行的。 </w:t>
      </w:r>
    </w:p>
    <w:p w14:paraId="7F503724">
      <w:pPr>
        <w:pStyle w:val="3"/>
        <w:bidi w:val="0"/>
        <w:rPr>
          <w:rFonts w:hint="default"/>
          <w:lang w:val="en-US" w:eastAsia="zh-CN"/>
        </w:rPr>
      </w:pPr>
      <w:bookmarkStart w:id="384" w:name="_Toc15441"/>
      <w:r>
        <w:rPr>
          <w:rFonts w:hint="default"/>
          <w:lang w:val="en-US" w:eastAsia="zh-CN"/>
        </w:rPr>
        <w:t>环境管理与监测</w:t>
      </w:r>
      <w:bookmarkEnd w:id="384"/>
    </w:p>
    <w:p w14:paraId="7A09B6E1">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u w:val="none" w:color="auto"/>
        </w:rPr>
      </w:pPr>
      <w:r>
        <w:rPr>
          <w:rFonts w:hint="default" w:ascii="Times New Roman" w:hAnsi="Times New Roman" w:eastAsia="宋体" w:cs="Times New Roman"/>
          <w:caps w:val="0"/>
          <w:smallCaps w:val="0"/>
          <w:color w:val="auto"/>
          <w:spacing w:val="0"/>
          <w:w w:val="100"/>
          <w:kern w:val="0"/>
          <w:position w:val="0"/>
          <w:sz w:val="24"/>
          <w:szCs w:val="24"/>
          <w:u w:val="none" w:color="auto"/>
        </w:rPr>
        <w:t>建设单位应加强该项目环境保护管理工作，设置专门的环保机构，配备专业的环保管理人员，负责工程建设和运行过程中的环境管理工作及监测计划。</w:t>
      </w:r>
    </w:p>
    <w:p w14:paraId="45553BE1">
      <w:pPr>
        <w:pStyle w:val="3"/>
        <w:bidi w:val="0"/>
      </w:pPr>
      <w:bookmarkStart w:id="385" w:name="_Toc8080"/>
      <w:r>
        <w:rPr>
          <w:lang w:val="en-US" w:eastAsia="zh-CN"/>
        </w:rPr>
        <w:t>公众参与</w:t>
      </w:r>
      <w:bookmarkEnd w:id="385"/>
      <w:r>
        <w:rPr>
          <w:lang w:val="en-US" w:eastAsia="zh-CN"/>
        </w:rPr>
        <w:t xml:space="preserve"> </w:t>
      </w:r>
    </w:p>
    <w:p w14:paraId="3AF7C1DC">
      <w:pPr>
        <w:keepNext w:val="0"/>
        <w:keepLines w:val="0"/>
        <w:pageBreakBefore w:val="0"/>
        <w:widowControl w:val="0"/>
        <w:overflowPunct/>
        <w:autoSpaceDE/>
        <w:autoSpaceDN/>
        <w:bidi w:val="0"/>
        <w:adjustRightInd/>
        <w:snapToGrid/>
        <w:spacing w:line="360" w:lineRule="auto"/>
        <w:ind w:left="0" w:right="0" w:firstLine="480"/>
        <w:textAlignment w:val="auto"/>
        <w:rPr>
          <w:rFonts w:hint="default" w:ascii="Times New Roman" w:hAnsi="Times New Roman" w:eastAsia="宋体" w:cs="Times New Roman"/>
          <w:caps w:val="0"/>
          <w:smallCaps w:val="0"/>
          <w:color w:val="auto"/>
          <w:spacing w:val="0"/>
          <w:w w:val="100"/>
          <w:position w:val="0"/>
          <w:sz w:val="24"/>
          <w:szCs w:val="28"/>
          <w:u w:val="none" w:color="auto"/>
          <w:lang w:val="en-US" w:eastAsia="zh-CN"/>
        </w:rPr>
      </w:pP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按照环境影响评价公众参与的相关要求，</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建设单位按要求</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开展了</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环境影响评价</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公众参与</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202</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4</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年</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4</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月</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16</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日在</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华容县人民政府</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网站进行了第一次公示，公开了建设项目、建设单位、环评单位等环境影响评价公众参与相关信息。建设单位于202</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4</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年7月</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23</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日在</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华容县人民政府</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网站进行了《</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华容县东山水库除险加固工程环境影响评价公众参与第二次网络公示</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》，公示有效期为10个工作日。期间分别于202</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4</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年7月</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23</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日和7月2</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4</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日在《</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岳阳晚</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报》进行了2次报纸公示，同步在</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仙鹅寺</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村居委会等公众较多的场所张贴公告，同时在建设单位办公地点（</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东山水库管理所</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）设置了纸质</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报告</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现场查阅点。《</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华容县东山</w:t>
      </w:r>
      <w:r>
        <w:rPr>
          <w:rFonts w:hint="default" w:ascii="Times New Roman" w:hAnsi="Times New Roman" w:eastAsia="宋体" w:cs="Times New Roman"/>
          <w:caps w:val="0"/>
          <w:smallCaps w:val="0"/>
          <w:color w:val="auto"/>
          <w:spacing w:val="0"/>
          <w:w w:val="100"/>
          <w:position w:val="0"/>
          <w:sz w:val="24"/>
          <w:szCs w:val="28"/>
          <w:u w:val="none" w:color="auto"/>
          <w:lang w:val="en-US" w:eastAsia="zh-CN"/>
        </w:rPr>
        <w:t>水库除险加固工程环境影响报告书（征求意见稿）》公示期间无公众前往建设单位查阅纸质版报告书，建设单位也未收到以书面、电话或网络等形式反馈的公众意见。</w:t>
      </w:r>
    </w:p>
    <w:p w14:paraId="1290CF1A">
      <w:pPr>
        <w:pStyle w:val="3"/>
        <w:bidi w:val="0"/>
        <w:rPr>
          <w:rFonts w:hint="default"/>
          <w:lang w:val="en-US" w:eastAsia="zh-CN"/>
        </w:rPr>
      </w:pPr>
      <w:bookmarkStart w:id="386" w:name="_Toc25744"/>
      <w:r>
        <w:rPr>
          <w:rFonts w:hint="default"/>
          <w:lang w:val="zh-CN" w:eastAsia="zh-CN"/>
        </w:rPr>
        <w:t>综合评价结论</w:t>
      </w:r>
      <w:bookmarkEnd w:id="386"/>
    </w:p>
    <w:p w14:paraId="0162B896">
      <w:pPr>
        <w:keepNext w:val="0"/>
        <w:keepLines w:val="0"/>
        <w:widowControl/>
        <w:suppressLineNumbers w:val="0"/>
        <w:spacing w:line="360" w:lineRule="auto"/>
        <w:ind w:firstLine="480" w:firstLineChars="200"/>
        <w:jc w:val="left"/>
        <w:rPr>
          <w:rFonts w:hint="default" w:ascii="Times New Roman" w:hAnsi="Times New Roman" w:eastAsia="宋体" w:cs="Times New Roman"/>
          <w:caps w:val="0"/>
          <w:smallCaps w:val="0"/>
          <w:color w:val="auto"/>
          <w:spacing w:val="0"/>
          <w:w w:val="100"/>
          <w:position w:val="0"/>
          <w:sz w:val="24"/>
          <w:szCs w:val="28"/>
          <w:u w:val="none" w:color="auto"/>
          <w:lang w:val="en-US" w:eastAsia="zh-CN"/>
        </w:rPr>
      </w:pPr>
      <w:r>
        <w:rPr>
          <w:rFonts w:hint="eastAsia" w:ascii="瀹嬩綋" w:hAnsi="瀹嬩綋" w:eastAsia="瀹嬩綋" w:cs="瀹嬩綋"/>
          <w:color w:val="000000"/>
          <w:kern w:val="0"/>
          <w:sz w:val="24"/>
          <w:szCs w:val="24"/>
          <w:lang w:val="en-US" w:eastAsia="zh-CN" w:bidi="ar"/>
        </w:rPr>
        <w:t>华容县东山</w:t>
      </w:r>
      <w:r>
        <w:rPr>
          <w:rFonts w:ascii="瀹嬩綋" w:hAnsi="瀹嬩綋" w:eastAsia="瀹嬩綋" w:cs="瀹嬩綋"/>
          <w:color w:val="000000"/>
          <w:kern w:val="0"/>
          <w:sz w:val="24"/>
          <w:szCs w:val="24"/>
          <w:lang w:val="en-US" w:eastAsia="zh-CN" w:bidi="ar"/>
        </w:rPr>
        <w:t>水库除险加固工程符合国家产业政策和相关规划要求。</w:t>
      </w: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 xml:space="preserve">本次除险加固工程基本是在原址基础上进行除险加固，不改变水库原功能和规模。本工程的实施，将使水库尽早根治各类工程隐患，发挥水库应有的效益，防洪体系得到完善，减免洪灾造成的损失以及对当地生态环境的破坏，保护当地人民生命财产安全，维护社会稳定。 </w:t>
      </w:r>
    </w:p>
    <w:p w14:paraId="4D1BCC65">
      <w:pPr>
        <w:keepNext w:val="0"/>
        <w:keepLines w:val="0"/>
        <w:pageBreakBefore w:val="0"/>
        <w:widowControl w:val="0"/>
        <w:overflowPunct/>
        <w:autoSpaceDE/>
        <w:autoSpaceDN/>
        <w:bidi w:val="0"/>
        <w:adjustRightInd/>
        <w:snapToGrid/>
        <w:spacing w:line="360" w:lineRule="auto"/>
        <w:ind w:left="0" w:right="0" w:firstLine="480"/>
        <w:textAlignment w:val="auto"/>
        <w:rPr>
          <w:rFonts w:hint="default" w:ascii="Times New Roman" w:hAnsi="Times New Roman" w:eastAsia="宋体" w:cs="Times New Roman"/>
          <w:caps w:val="0"/>
          <w:smallCaps w:val="0"/>
          <w:color w:val="auto"/>
          <w:spacing w:val="0"/>
          <w:w w:val="100"/>
          <w:position w:val="0"/>
          <w:sz w:val="24"/>
          <w:szCs w:val="28"/>
          <w:u w:val="none" w:color="auto"/>
          <w:lang w:val="en-US" w:eastAsia="zh-CN"/>
        </w:rPr>
      </w:pPr>
      <w:r>
        <w:rPr>
          <w:rFonts w:hint="eastAsia" w:ascii="Times New Roman" w:hAnsi="Times New Roman" w:eastAsia="宋体" w:cs="Times New Roman"/>
          <w:caps w:val="0"/>
          <w:smallCaps w:val="0"/>
          <w:color w:val="auto"/>
          <w:spacing w:val="0"/>
          <w:w w:val="100"/>
          <w:position w:val="0"/>
          <w:sz w:val="24"/>
          <w:szCs w:val="28"/>
          <w:u w:val="none" w:color="auto"/>
          <w:lang w:val="en-US" w:eastAsia="zh-CN"/>
        </w:rPr>
        <w:t>工程建设对环境的不利影响主要集中在施工期，通过加强环境管理和采取适当的环保治理措施后，不利影响基本可以消除或减缓。因此，在严格落实本报告书提出的各项环境保护措施和要求的基础上，从环境保护角度考虑，本工程的建设是可行的。</w:t>
      </w:r>
    </w:p>
    <w:p w14:paraId="7601D3E7">
      <w:pPr>
        <w:pStyle w:val="3"/>
        <w:bidi w:val="0"/>
        <w:rPr>
          <w:rFonts w:hint="default"/>
          <w:lang w:val="en-US" w:eastAsia="zh-CN"/>
        </w:rPr>
      </w:pPr>
      <w:bookmarkStart w:id="387" w:name="_Toc11395"/>
      <w:r>
        <w:rPr>
          <w:rFonts w:hint="default"/>
          <w:lang w:val="zh-CN" w:eastAsia="zh-CN"/>
        </w:rPr>
        <w:t>建议</w:t>
      </w:r>
      <w:bookmarkEnd w:id="387"/>
    </w:p>
    <w:p w14:paraId="6208FCAE">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rPr>
      </w:pPr>
      <w:r>
        <w:rPr>
          <w:rFonts w:hint="default" w:ascii="Times New Roman" w:hAnsi="Times New Roman" w:eastAsia="宋体" w:cs="Times New Roman"/>
          <w:color w:val="auto"/>
          <w:spacing w:val="0"/>
          <w:w w:val="100"/>
          <w:position w:val="0"/>
          <w:sz w:val="24"/>
          <w:szCs w:val="24"/>
          <w:highlight w:val="none"/>
          <w:u w:val="none" w:color="auto"/>
          <w:lang w:val="en-US" w:eastAsia="zh-CN"/>
        </w:rPr>
        <w:t>1、</w:t>
      </w:r>
      <w:r>
        <w:rPr>
          <w:rFonts w:hint="default" w:ascii="Times New Roman" w:hAnsi="Times New Roman" w:eastAsia="宋体" w:cs="Times New Roman"/>
          <w:color w:val="auto"/>
          <w:spacing w:val="0"/>
          <w:w w:val="100"/>
          <w:position w:val="0"/>
          <w:sz w:val="24"/>
          <w:szCs w:val="24"/>
          <w:highlight w:val="none"/>
          <w:u w:val="none" w:color="auto"/>
        </w:rPr>
        <w:t>建议加强施工人员环保知识教育，并配备专门的环境保护人员，负责施工期和运行期的环境保护工作，落实好环境保护措施，将工程对环境的影响减小至最低程度。</w:t>
      </w:r>
    </w:p>
    <w:p w14:paraId="03015958">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2、</w:t>
      </w:r>
      <w:r>
        <w:rPr>
          <w:rFonts w:hint="default" w:ascii="Times New Roman" w:hAnsi="Times New Roman" w:eastAsia="宋体" w:cs="Times New Roman"/>
          <w:color w:val="auto"/>
          <w:spacing w:val="0"/>
          <w:w w:val="100"/>
          <w:position w:val="0"/>
          <w:sz w:val="24"/>
          <w:szCs w:val="24"/>
          <w:highlight w:val="none"/>
          <w:u w:val="none" w:color="auto"/>
        </w:rPr>
        <w:t>环保投资要落实，要做到专款专用。</w:t>
      </w:r>
    </w:p>
    <w:p w14:paraId="69322985">
      <w:pPr>
        <w:keepNext w:val="0"/>
        <w:keepLines w:val="0"/>
        <w:pageBreakBefore w:val="0"/>
        <w:widowControl w:val="0"/>
        <w:kinsoku w:val="0"/>
        <w:wordWrap w:val="0"/>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b/>
          <w:caps w:val="0"/>
          <w:smallCaps w:val="0"/>
          <w:color w:val="auto"/>
          <w:spacing w:val="0"/>
          <w:w w:val="100"/>
          <w:kern w:val="0"/>
          <w:position w:val="0"/>
          <w:sz w:val="24"/>
          <w:szCs w:val="24"/>
          <w:u w:val="none" w:color="auto"/>
          <w:lang w:val="en-US" w:eastAsia="zh-CN"/>
        </w:rPr>
      </w:pPr>
      <w:r>
        <w:rPr>
          <w:rFonts w:hint="default" w:ascii="Times New Roman" w:hAnsi="Times New Roman" w:eastAsia="宋体" w:cs="Times New Roman"/>
          <w:caps w:val="0"/>
          <w:smallCaps w:val="0"/>
          <w:color w:val="auto"/>
          <w:spacing w:val="0"/>
          <w:w w:val="100"/>
          <w:kern w:val="0"/>
          <w:position w:val="0"/>
          <w:sz w:val="24"/>
          <w:szCs w:val="24"/>
          <w:highlight w:val="none"/>
          <w:u w:val="none" w:color="auto"/>
          <w:lang w:val="en-US" w:eastAsia="zh-CN"/>
        </w:rPr>
        <w:t>3、</w:t>
      </w:r>
      <w:r>
        <w:rPr>
          <w:rFonts w:hint="default" w:ascii="Times New Roman" w:hAnsi="Times New Roman" w:eastAsia="宋体" w:cs="Times New Roman"/>
          <w:caps w:val="0"/>
          <w:smallCaps w:val="0"/>
          <w:color w:val="auto"/>
          <w:spacing w:val="0"/>
          <w:w w:val="100"/>
          <w:kern w:val="0"/>
          <w:position w:val="0"/>
          <w:sz w:val="24"/>
          <w:szCs w:val="24"/>
          <w:highlight w:val="none"/>
          <w:u w:val="none" w:color="auto"/>
        </w:rPr>
        <w:t>加强工程营运期的管理，积极落实各项环保措施。</w:t>
      </w:r>
    </w:p>
    <w:p w14:paraId="57652D06">
      <w:pPr>
        <w:rPr>
          <w:rFonts w:ascii="Calibri" w:hAnsi="Calibri" w:eastAsia="宋体" w:cs="Times New Roman"/>
        </w:rPr>
      </w:pPr>
    </w:p>
    <w:p w14:paraId="1458051A">
      <w:pPr>
        <w:keepNext w:val="0"/>
        <w:keepLines w:val="0"/>
        <w:pageBreakBefore w:val="0"/>
        <w:widowControl w:val="0"/>
        <w:kinsoku w:val="0"/>
        <w:wordWrap w:val="0"/>
        <w:overflowPunct/>
        <w:topLinePunct/>
        <w:autoSpaceDE/>
        <w:autoSpaceDN/>
        <w:bidi w:val="0"/>
        <w:adjustRightInd w:val="0"/>
        <w:snapToGrid/>
        <w:spacing w:line="360" w:lineRule="auto"/>
        <w:ind w:firstLine="482" w:firstLineChars="200"/>
        <w:textAlignment w:val="auto"/>
        <w:rPr>
          <w:rFonts w:hint="default" w:ascii="Times New Roman" w:hAnsi="Times New Roman" w:eastAsia="宋体" w:cs="Times New Roman"/>
          <w:b/>
          <w:caps w:val="0"/>
          <w:smallCaps w:val="0"/>
          <w:color w:val="FF0000"/>
          <w:spacing w:val="0"/>
          <w:w w:val="100"/>
          <w:kern w:val="0"/>
          <w:position w:val="0"/>
          <w:sz w:val="24"/>
          <w:szCs w:val="24"/>
          <w:u w:val="none" w:color="auto"/>
          <w:lang w:val="en-US" w:eastAsia="zh-CN"/>
        </w:rPr>
      </w:pPr>
    </w:p>
    <w:sectPr>
      <w:headerReference r:id="rId21" w:type="default"/>
      <w:footerReference r:id="rId22" w:type="default"/>
      <w:footerReference r:id="rId23" w:type="even"/>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等线 Light">
    <w:altName w:val="宋体"/>
    <w:panose1 w:val="02010600030101010101"/>
    <w:charset w:val="86"/>
    <w:family w:val="auto"/>
    <w:pitch w:val="default"/>
    <w:sig w:usb0="00000000" w:usb1="00000000" w:usb2="00000016" w:usb3="00000000" w:csb0="0004000F" w:csb1="00000000"/>
  </w:font>
  <w:font w:name="新宋体-18030">
    <w:altName w:val="宋体"/>
    <w:panose1 w:val="00000000000000000000"/>
    <w:charset w:val="00"/>
    <w:family w:val="auto"/>
    <w:pitch w:val="default"/>
    <w:sig w:usb0="00000000" w:usb1="00000000" w:usb2="00000000" w:usb3="00000000" w:csb0="00040001"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SimSun,Bold">
    <w:altName w:val="宋体"/>
    <w:panose1 w:val="00000000000000000000"/>
    <w:charset w:val="86"/>
    <w:family w:val="auto"/>
    <w:pitch w:val="default"/>
    <w:sig w:usb0="00000000" w:usb1="00000000" w:usb2="00000000" w:usb3="00000000" w:csb0="00040000" w:csb1="00000000"/>
  </w:font>
  <w:font w:name="瀹嬩綋">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浠垮畫">
    <w:altName w:val="Segoe Print"/>
    <w:panose1 w:val="00000000000000000000"/>
    <w:charset w:val="00"/>
    <w:family w:val="auto"/>
    <w:pitch w:val="default"/>
    <w:sig w:usb0="00000000" w:usb1="00000000" w:usb2="00000000" w:usb3="00000000" w:csb0="00000000" w:csb1="00000000"/>
  </w:font>
  <w:font w:name="YuGothicUI-Regular">
    <w:altName w:val="MS Mincho"/>
    <w:panose1 w:val="00000000000000000000"/>
    <w:charset w:val="80"/>
    <w:family w:val="auto"/>
    <w:pitch w:val="default"/>
    <w:sig w:usb0="00000000" w:usb1="00000000" w:usb2="00000000" w:usb3="00000000" w:csb0="00020000" w:csb1="00000000"/>
  </w:font>
  <w:font w:name="MS Mincho">
    <w:panose1 w:val="02020609040205080304"/>
    <w:charset w:val="80"/>
    <w:family w:val="auto"/>
    <w:pitch w:val="default"/>
    <w:sig w:usb0="E00002FF" w:usb1="6AC7FDFB" w:usb2="00000012" w:usb3="00000000" w:csb0="4002009F" w:csb1="DFD70000"/>
  </w:font>
  <w:font w:name="TTBFo00">
    <w:altName w:val="Segoe Print"/>
    <w:panose1 w:val="00000000000000000000"/>
    <w:charset w:val="00"/>
    <w:family w:val="auto"/>
    <w:pitch w:val="default"/>
    <w:sig w:usb0="00000000" w:usb1="00000000" w:usb2="00000000" w:usb3="00000000" w:csb0="00000000" w:csb1="00000000"/>
  </w:font>
  <w:font w:name="TTBFo01">
    <w:altName w:val="Segoe Print"/>
    <w:panose1 w:val="00000000000000000000"/>
    <w:charset w:val="00"/>
    <w:family w:val="auto"/>
    <w:pitch w:val="default"/>
    <w:sig w:usb0="00000000" w:usb1="00000000" w:usb2="00000000" w:usb3="00000000" w:csb0="00000000" w:csb1="00000000"/>
  </w:font>
  <w:font w:name="TTBFo02">
    <w:altName w:val="Segoe Print"/>
    <w:panose1 w:val="00000000000000000000"/>
    <w:charset w:val="00"/>
    <w:family w:val="auto"/>
    <w:pitch w:val="default"/>
    <w:sig w:usb0="00000000" w:usb1="00000000" w:usb2="00000000" w:usb3="00000000" w:csb0="00000000" w:csb1="00000000"/>
  </w:font>
  <w:font w:name="Arial Unicode MS">
    <w:panose1 w:val="020B0604020202020204"/>
    <w:charset w:val="86"/>
    <w:family w:val="swiss"/>
    <w:pitch w:val="default"/>
    <w:sig w:usb0="FFFFFFFF" w:usb1="E9FFFFFF" w:usb2="0000003F" w:usb3="00000000" w:csb0="603F01FF" w:csb1="FFFF0000"/>
  </w:font>
  <w:font w:name="等线">
    <w:altName w:val="Arial Unicode MS"/>
    <w:panose1 w:val="00000000000000000000"/>
    <w:charset w:val="00"/>
    <w:family w:val="auto"/>
    <w:pitch w:val="default"/>
    <w:sig w:usb0="00000000" w:usb1="00000000" w:usb2="00000000" w:usb3="00000000" w:csb0="00000000" w:csb1="00000000"/>
  </w:font>
  <w:font w:name="Tahoma">
    <w:panose1 w:val="020B0604030504040204"/>
    <w:charset w:val="00"/>
    <w:family w:val="auto"/>
    <w:pitch w:val="default"/>
    <w:sig w:usb0="E1002EFF" w:usb1="C000605B" w:usb2="00000029" w:usb3="00000000" w:csb0="200101FF" w:csb1="20280000"/>
  </w:font>
  <w:font w:name="TimesNewRomanPSMT">
    <w:altName w:val="Times New Roman"/>
    <w:panose1 w:val="00000000000000000000"/>
    <w:charset w:val="00"/>
    <w:family w:val="auto"/>
    <w:pitch w:val="default"/>
    <w:sig w:usb0="00000000" w:usb1="00000000" w:usb2="00000010" w:usb3="00000000" w:csb0="00060001" w:csb1="00000000"/>
  </w:font>
  <w:font w:name="Cambria Math">
    <w:panose1 w:val="02040503050406030204"/>
    <w:charset w:val="00"/>
    <w:family w:val="auto"/>
    <w:pitch w:val="default"/>
    <w:sig w:usb0="E00002FF" w:usb1="420024FF" w:usb2="00000000" w:usb3="00000000" w:csb0="2000019F" w:csb1="00000000"/>
  </w:font>
  <w:font w:name="妤蜂綋">
    <w:altName w:val="Segoe Print"/>
    <w:panose1 w:val="00000000000000000000"/>
    <w:charset w:val="00"/>
    <w:family w:val="auto"/>
    <w:pitch w:val="default"/>
    <w:sig w:usb0="00000000" w:usb1="00000000" w:usb2="00000000" w:usb3="00000000" w:csb0="00000000" w:csb1="00000000"/>
  </w:font>
  <w:font w:name="榛戜綋">
    <w:altName w:val="Segoe Print"/>
    <w:panose1 w:val="00000000000000000000"/>
    <w:charset w:val="00"/>
    <w:family w:val="auto"/>
    <w:pitch w:val="default"/>
    <w:sig w:usb0="00000000" w:usb1="00000000" w:usb2="00000000" w:usb3="00000000" w:csb0="00000000" w:csb1="00000000"/>
  </w:font>
  <w:font w:name="等线 Light">
    <w:altName w:val="GENISO"/>
    <w:panose1 w:val="00000000000000000000"/>
    <w:charset w:val="00"/>
    <w:family w:val="auto"/>
    <w:pitch w:val="default"/>
    <w:sig w:usb0="00000000" w:usb1="00000000" w:usb2="00000000" w:usb3="00000000" w:csb0="00000000" w:csb1="00000000"/>
  </w:font>
  <w:font w:name="GENISO">
    <w:panose1 w:val="02000400000000000000"/>
    <w:charset w:val="00"/>
    <w:family w:val="auto"/>
    <w:pitch w:val="default"/>
    <w:sig w:usb0="00000003" w:usb1="00000000" w:usb2="00000040" w:usb3="00000000" w:csb0="000001FF" w:csb1="00000000"/>
  </w:font>
  <w:font w:name="MS PGothic">
    <w:panose1 w:val="020B06000702050802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F16490">
    <w:pPr>
      <w:pStyle w:val="26"/>
      <w:jc w:val="center"/>
      <w:rPr>
        <w:rFonts w:ascii="Times New Roman" w:hAnsi="Times New Roman" w:cs="Times New Roman"/>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761789172"/>
                          </w:sdtPr>
                          <w:sdtEndPr>
                            <w:rPr>
                              <w:rFonts w:ascii="Times New Roman" w:hAnsi="Times New Roman" w:cs="Times New Roman"/>
                            </w:rPr>
                          </w:sdtEndPr>
                          <w:sdtContent>
                            <w:p w14:paraId="18316D8B">
                              <w:pPr>
                                <w:pStyle w:val="26"/>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lang w:val="zh-CN"/>
                                </w:rPr>
                                <w:t>1</w:t>
                              </w:r>
                              <w:r>
                                <w:rPr>
                                  <w:rFonts w:ascii="Times New Roman" w:hAnsi="Times New Roman" w:cs="Times New Roman"/>
                                </w:rPr>
                                <w:fldChar w:fldCharType="end"/>
                              </w:r>
                            </w:p>
                          </w:sdtContent>
                        </w:sdt>
                        <w:p w14:paraId="09BE1E30">
                          <w:pPr>
                            <w:rPr>
                              <w:rFonts w:ascii="Times New Roman" w:hAnsi="Times New Roman" w:cs="Times New Roman"/>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sdt>
                    <w:sdtPr>
                      <w:id w:val="1761789172"/>
                    </w:sdtPr>
                    <w:sdtEndPr>
                      <w:rPr>
                        <w:rFonts w:ascii="Times New Roman" w:hAnsi="Times New Roman" w:cs="Times New Roman"/>
                      </w:rPr>
                    </w:sdtEndPr>
                    <w:sdtContent>
                      <w:p w14:paraId="18316D8B">
                        <w:pPr>
                          <w:pStyle w:val="26"/>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lang w:val="zh-CN"/>
                          </w:rPr>
                          <w:t>1</w:t>
                        </w:r>
                        <w:r>
                          <w:rPr>
                            <w:rFonts w:ascii="Times New Roman" w:hAnsi="Times New Roman" w:cs="Times New Roman"/>
                          </w:rPr>
                          <w:fldChar w:fldCharType="end"/>
                        </w:r>
                      </w:p>
                    </w:sdtContent>
                  </w:sdt>
                  <w:p w14:paraId="09BE1E30">
                    <w:pPr>
                      <w:rPr>
                        <w:rFonts w:ascii="Times New Roman" w:hAnsi="Times New Roman" w:cs="Times New Roman"/>
                      </w:rPr>
                    </w:pPr>
                  </w:p>
                </w:txbxContent>
              </v:textbox>
            </v:shape>
          </w:pict>
        </mc:Fallback>
      </mc:AlternateContent>
    </w:r>
  </w:p>
  <w:p w14:paraId="4A95140B">
    <w:pPr>
      <w:pStyle w:val="26"/>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D2D1AF">
    <w:pPr>
      <w:spacing w:line="196" w:lineRule="auto"/>
      <w:ind w:left="4265"/>
      <w:rPr>
        <w:rFonts w:hint="default" w:ascii="Times New Roman" w:hAnsi="Times New Roman" w:eastAsia="宋体" w:cs="Times New Roman"/>
        <w:sz w:val="17"/>
        <w:szCs w:val="17"/>
        <w:lang w:val="en-US" w:eastAsia="zh-CN"/>
      </w:rPr>
    </w:pPr>
    <w:r>
      <w:rPr>
        <w:sz w:val="17"/>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D723DA">
                          <w:pPr>
                            <w:pStyle w:val="27"/>
                          </w:pPr>
                          <w:r>
                            <w:fldChar w:fldCharType="begin"/>
                          </w:r>
                          <w:r>
                            <w:instrText xml:space="preserve"> PAGE  \* MERGEFORMAT </w:instrText>
                          </w:r>
                          <w:r>
                            <w:fldChar w:fldCharType="separate"/>
                          </w:r>
                          <w:r>
                            <w:t>125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3ED723DA">
                    <w:pPr>
                      <w:pStyle w:val="27"/>
                    </w:pPr>
                    <w:r>
                      <w:fldChar w:fldCharType="begin"/>
                    </w:r>
                    <w:r>
                      <w:instrText xml:space="preserve"> PAGE  \* MERGEFORMAT </w:instrText>
                    </w:r>
                    <w:r>
                      <w:fldChar w:fldCharType="separate"/>
                    </w:r>
                    <w:r>
                      <w:t>125</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08BBE3">
    <w:pPr>
      <w:pStyle w:val="19"/>
      <w:spacing w:line="14" w:lineRule="auto"/>
      <w:rPr>
        <w:sz w:val="17"/>
      </w:rPr>
    </w:pPr>
    <w:r>
      <w:rPr>
        <w:sz w:val="17"/>
      </w:rPr>
      <mc:AlternateContent>
        <mc:Choice Requires="wps">
          <w:drawing>
            <wp:anchor distT="0" distB="0" distL="114300" distR="114300" simplePos="0" relativeHeight="251660288" behindDoc="0" locked="0" layoutInCell="1" allowOverlap="1">
              <wp:simplePos x="0" y="0"/>
              <wp:positionH relativeFrom="margin">
                <wp:posOffset>2515870</wp:posOffset>
              </wp:positionH>
              <wp:positionV relativeFrom="paragraph">
                <wp:posOffset>-304800</wp:posOffset>
              </wp:positionV>
              <wp:extent cx="412750" cy="18669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412750" cy="186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0955E5">
                          <w:pPr>
                            <w:pStyle w:val="27"/>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98.1pt;margin-top:-24pt;height:14.7pt;width:32.5pt;mso-position-horizontal-relative:margin;z-index:251660288;mso-width-relative:page;mso-height-relative:page;" filled="f" stroked="f" coordsize="21600,21600" o:gfxdata="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P60cU2AAAAAsBAAAPAAAAAAAAAAEAIAAAACIAAABkcnMvZG93bnJl&#10;di54bWxQSwECFAAUAAAACACHTuJAn6w86zYCAABjBAAADgAAAAAAAAABACAAAAAnAQAAZHJzL2Uy&#10;b0RvYy54bWxQSwUGAAAAAAYABgBZAQAAzwUAAAAA&#10;">
              <v:fill on="f" focussize="0,0"/>
              <v:stroke on="f" weight="0.5pt"/>
              <v:imagedata o:title=""/>
              <o:lock v:ext="edit" aspectratio="f"/>
              <v:textbox inset="0mm,0mm,0mm,0mm">
                <w:txbxContent>
                  <w:p w14:paraId="340955E5">
                    <w:pPr>
                      <w:pStyle w:val="27"/>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63FCDB">
    <w:pPr>
      <w:pStyle w:val="27"/>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3FE50F">
                          <w:pPr>
                            <w:pStyle w:val="27"/>
                            <w:rPr>
                              <w:rStyle w:val="42"/>
                            </w:rPr>
                          </w:pPr>
                          <w:r>
                            <w:rPr>
                              <w:rStyle w:val="42"/>
                            </w:rPr>
                            <w:fldChar w:fldCharType="begin"/>
                          </w:r>
                          <w:r>
                            <w:rPr>
                              <w:rStyle w:val="42"/>
                            </w:rPr>
                            <w:instrText xml:space="preserve">PAGE  </w:instrText>
                          </w:r>
                          <w:r>
                            <w:rPr>
                              <w:rStyle w:val="42"/>
                            </w:rPr>
                            <w:fldChar w:fldCharType="separate"/>
                          </w:r>
                          <w:r>
                            <w:rPr>
                              <w:rStyle w:val="42"/>
                            </w:rPr>
                            <w:t>3</w:t>
                          </w:r>
                          <w:r>
                            <w:rPr>
                              <w:rStyle w:val="42"/>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BEU6gzAgAAZ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BEU6gzAgAAZQQAAA4AAAAAAAAAAQAgAAAAHwEAAGRycy9lMm9Eb2MueG1sUEsF&#10;BgAAAAAGAAYAWQEAAMQFAAAAAA==&#10;">
              <v:fill on="f" focussize="0,0"/>
              <v:stroke on="f" weight="0.5pt"/>
              <v:imagedata o:title=""/>
              <o:lock v:ext="edit" aspectratio="f"/>
              <v:textbox inset="0mm,0mm,0mm,0mm" style="mso-fit-shape-to-text:t;">
                <w:txbxContent>
                  <w:p w14:paraId="443FE50F">
                    <w:pPr>
                      <w:pStyle w:val="27"/>
                      <w:rPr>
                        <w:rStyle w:val="42"/>
                      </w:rPr>
                    </w:pPr>
                    <w:r>
                      <w:rPr>
                        <w:rStyle w:val="42"/>
                      </w:rPr>
                      <w:fldChar w:fldCharType="begin"/>
                    </w:r>
                    <w:r>
                      <w:rPr>
                        <w:rStyle w:val="42"/>
                      </w:rPr>
                      <w:instrText xml:space="preserve">PAGE  </w:instrText>
                    </w:r>
                    <w:r>
                      <w:rPr>
                        <w:rStyle w:val="42"/>
                      </w:rPr>
                      <w:fldChar w:fldCharType="separate"/>
                    </w:r>
                    <w:r>
                      <w:rPr>
                        <w:rStyle w:val="42"/>
                      </w:rPr>
                      <w:t>3</w:t>
                    </w:r>
                    <w:r>
                      <w:rPr>
                        <w:rStyle w:val="42"/>
                      </w:rP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EFCBB2">
    <w:pPr>
      <w:pStyle w:val="27"/>
      <w:framePr w:wrap="around" w:vAnchor="text" w:hAnchor="margin" w:xAlign="center" w:y="1"/>
      <w:rPr>
        <w:rStyle w:val="42"/>
      </w:rPr>
    </w:pPr>
    <w:r>
      <w:rPr>
        <w:rStyle w:val="42"/>
      </w:rPr>
      <w:fldChar w:fldCharType="begin"/>
    </w:r>
    <w:r>
      <w:rPr>
        <w:rStyle w:val="42"/>
      </w:rPr>
      <w:instrText xml:space="preserve">PAGE  </w:instrText>
    </w:r>
    <w:r>
      <w:rPr>
        <w:rStyle w:val="42"/>
      </w:rPr>
      <w:fldChar w:fldCharType="end"/>
    </w:r>
  </w:p>
  <w:p w14:paraId="3B94E6AC">
    <w:pPr>
      <w:pStyle w:val="2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725675">
    <w:pPr>
      <w:pStyle w:val="27"/>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20E154">
                          <w:pPr>
                            <w:pStyle w:val="27"/>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7J9wA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0kMUyj4qcf308/&#10;H06/vhGcQaDGhRni7h0iY/vOtmib4TzgMPFuK6/TF4wI/MA6XuQVbSQ8XZpOptMcLg7fsAF+9njd&#10;+RDfC6tJMgrqUb9OVnbYhNiHDiEpm7FrqVRXQ2VIU9Cr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7J9wAzAgAAYwQAAA4AAAAAAAAAAQAgAAAAHwEAAGRycy9lMm9Eb2MueG1sUEsF&#10;BgAAAAAGAAYAWQEAAMQFAAAAAA==&#10;">
              <v:fill on="f" focussize="0,0"/>
              <v:stroke on="f" weight="0.5pt"/>
              <v:imagedata o:title=""/>
              <o:lock v:ext="edit" aspectratio="f"/>
              <v:textbox inset="0mm,0mm,0mm,0mm" style="mso-fit-shape-to-text:t;">
                <w:txbxContent>
                  <w:p w14:paraId="0520E154">
                    <w:pPr>
                      <w:pStyle w:val="27"/>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06BDFF">
    <w:pPr>
      <w:pStyle w:val="26"/>
      <w:jc w:val="center"/>
      <w:rPr>
        <w:rFonts w:ascii="Times New Roman" w:hAnsi="Times New Roman" w:cs="Times New Roman"/>
      </w:rPr>
    </w:pPr>
  </w:p>
  <w:p w14:paraId="6953AC3E">
    <w:pPr>
      <w:pStyle w:val="2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AC7069">
    <w:pPr>
      <w:pStyle w:val="27"/>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3B4612">
                          <w:pPr>
                            <w:pStyle w:val="2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xhYO8zAgAAYw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lTYphGx08/vp9+&#10;Ppx+fSM4g0CNCzPE3TtExvadbTE2w3nAYeLdVl6nLxgR+CHv8SKvaCPh6dJ0Mp3mcHH4hg3ws8fr&#10;zof4XlhNklFQj/51srLDJsQ+dAhJ2YxdS6W6HipDmoJevX6b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xhYO8zAgAAYwQAAA4AAAAAAAAAAQAgAAAAHwEAAGRycy9lMm9Eb2MueG1sUEsF&#10;BgAAAAAGAAYAWQEAAMQFAAAAAA==&#10;">
              <v:fill on="f" focussize="0,0"/>
              <v:stroke on="f" weight="0.5pt"/>
              <v:imagedata o:title=""/>
              <o:lock v:ext="edit" aspectratio="f"/>
              <v:textbox inset="0mm,0mm,0mm,0mm" style="mso-fit-shape-to-text:t;">
                <w:txbxContent>
                  <w:p w14:paraId="093B4612">
                    <w:pPr>
                      <w:pStyle w:val="2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A4AC7D">
    <w:pPr>
      <w:pStyle w:val="27"/>
      <w:tabs>
        <w:tab w:val="center" w:pos="4535"/>
        <w:tab w:val="clear" w:pos="4153"/>
      </w:tabs>
    </w:pPr>
    <w:r>
      <w:rPr>
        <w:sz w:val="18"/>
      </w:rPr>
      <mc:AlternateContent>
        <mc:Choice Requires="wps">
          <w:drawing>
            <wp:anchor distT="0" distB="0" distL="114300" distR="114300" simplePos="0" relativeHeight="251671552" behindDoc="0" locked="0" layoutInCell="1" allowOverlap="1">
              <wp:simplePos x="0" y="0"/>
              <wp:positionH relativeFrom="margin">
                <wp:posOffset>2568575</wp:posOffset>
              </wp:positionH>
              <wp:positionV relativeFrom="paragraph">
                <wp:posOffset>0</wp:posOffset>
              </wp:positionV>
              <wp:extent cx="222250" cy="23114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222250" cy="2311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12D4DC">
                          <w:pPr>
                            <w:pStyle w:val="2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02.25pt;margin-top:0pt;height:18.2pt;width:17.5pt;mso-position-horizontal-relative:margin;z-index:251671552;mso-width-relative:page;mso-height-relative:page;" filled="f" stroked="f" coordsize="21600,21600" o:gfxdata="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S2x0q1QAAAAcBAAAPAAAAAAAAAAEAIAAAACIAAABkcnMvZG93bnJldi54&#10;bWxQSwECFAAUAAAACACHTuJAii2KoTYCAABjBAAADgAAAAAAAAABACAAAAAkAQAAZHJzL2Uyb0Rv&#10;Yy54bWxQSwUGAAAAAAYABgBZAQAAzAUAAAAA&#10;">
              <v:fill on="f" focussize="0,0"/>
              <v:stroke on="f" weight="0.5pt"/>
              <v:imagedata o:title=""/>
              <o:lock v:ext="edit" aspectratio="f"/>
              <v:textbox inset="0mm,0mm,0mm,0mm">
                <w:txbxContent>
                  <w:p w14:paraId="5512D4DC">
                    <w:pPr>
                      <w:pStyle w:val="27"/>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lang w:eastAsia="zh-CN"/>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4C8154">
    <w:pPr>
      <w:pStyle w:val="27"/>
      <w:jc w:val="center"/>
      <w:rPr>
        <w:sz w:val="21"/>
        <w:szCs w:val="21"/>
      </w:rPr>
    </w:pPr>
    <w:r>
      <w:rPr>
        <w:sz w:val="21"/>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042474290"/>
                            <w:docPartObj>
                              <w:docPartGallery w:val="autotext"/>
                            </w:docPartObj>
                          </w:sdtPr>
                          <w:sdtEndPr>
                            <w:rPr>
                              <w:sz w:val="21"/>
                              <w:szCs w:val="21"/>
                            </w:rPr>
                          </w:sdtEndPr>
                          <w:sdtContent>
                            <w:p w14:paraId="15CFBD5C">
                              <w:pPr>
                                <w:pStyle w:val="27"/>
                                <w:jc w:val="center"/>
                                <w:rPr>
                                  <w:sz w:val="21"/>
                                  <w:szCs w:val="21"/>
                                </w:rPr>
                              </w:pP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PAGE   \* MERGEFORMAT</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lang w:val="zh-CN"/>
                                </w:rPr>
                                <w:t>-</w:t>
                              </w:r>
                              <w:r>
                                <w:rPr>
                                  <w:rFonts w:hint="default" w:ascii="Times New Roman" w:hAnsi="Times New Roman" w:eastAsia="宋体" w:cs="Times New Roman"/>
                                  <w:sz w:val="21"/>
                                  <w:szCs w:val="21"/>
                                </w:rPr>
                                <w:t xml:space="preserve"> 83 -</w:t>
                              </w:r>
                              <w:r>
                                <w:rPr>
                                  <w:rFonts w:hint="default" w:ascii="Times New Roman" w:hAnsi="Times New Roman" w:eastAsia="宋体" w:cs="Times New Roman"/>
                                  <w:sz w:val="21"/>
                                  <w:szCs w:val="21"/>
                                </w:rPr>
                                <w:fldChar w:fldCharType="end"/>
                              </w:r>
                            </w:p>
                          </w:sdtContent>
                        </w:sdt>
                        <w:p w14:paraId="184C1864">
                          <w:pPr>
                            <w:rPr>
                              <w:sz w:val="21"/>
                              <w:szCs w:val="21"/>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sdt>
                    <w:sdtPr>
                      <w:id w:val="1042474290"/>
                      <w:docPartObj>
                        <w:docPartGallery w:val="autotext"/>
                      </w:docPartObj>
                    </w:sdtPr>
                    <w:sdtEndPr>
                      <w:rPr>
                        <w:sz w:val="21"/>
                        <w:szCs w:val="21"/>
                      </w:rPr>
                    </w:sdtEndPr>
                    <w:sdtContent>
                      <w:p w14:paraId="15CFBD5C">
                        <w:pPr>
                          <w:pStyle w:val="27"/>
                          <w:jc w:val="center"/>
                          <w:rPr>
                            <w:sz w:val="21"/>
                            <w:szCs w:val="21"/>
                          </w:rPr>
                        </w:pP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PAGE   \* MERGEFORMAT</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lang w:val="zh-CN"/>
                          </w:rPr>
                          <w:t>-</w:t>
                        </w:r>
                        <w:r>
                          <w:rPr>
                            <w:rFonts w:hint="default" w:ascii="Times New Roman" w:hAnsi="Times New Roman" w:eastAsia="宋体" w:cs="Times New Roman"/>
                            <w:sz w:val="21"/>
                            <w:szCs w:val="21"/>
                          </w:rPr>
                          <w:t xml:space="preserve"> 83 -</w:t>
                        </w:r>
                        <w:r>
                          <w:rPr>
                            <w:rFonts w:hint="default" w:ascii="Times New Roman" w:hAnsi="Times New Roman" w:eastAsia="宋体" w:cs="Times New Roman"/>
                            <w:sz w:val="21"/>
                            <w:szCs w:val="21"/>
                          </w:rPr>
                          <w:fldChar w:fldCharType="end"/>
                        </w:r>
                      </w:p>
                    </w:sdtContent>
                  </w:sdt>
                  <w:p w14:paraId="184C1864">
                    <w:pPr>
                      <w:rPr>
                        <w:sz w:val="21"/>
                        <w:szCs w:val="21"/>
                      </w:rPr>
                    </w:pP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D449C9">
    <w:pPr>
      <w:spacing w:line="196" w:lineRule="auto"/>
      <w:ind w:left="4052"/>
      <w:rPr>
        <w:rFonts w:ascii="Times New Roman" w:hAnsi="Times New Roman" w:eastAsia="Times New Roman" w:cs="Times New Roman"/>
        <w:sz w:val="17"/>
        <w:szCs w:val="17"/>
      </w:rPr>
    </w:pPr>
    <w:r>
      <w:rPr>
        <w:sz w:val="17"/>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B130D0">
                          <w:pPr>
                            <w:pStyle w:val="27"/>
                          </w:pPr>
                          <w:r>
                            <w:fldChar w:fldCharType="begin"/>
                          </w:r>
                          <w:r>
                            <w:instrText xml:space="preserve"> PAGE  \* MERGEFORMAT </w:instrText>
                          </w:r>
                          <w:r>
                            <w:fldChar w:fldCharType="separate"/>
                          </w:r>
                          <w:r>
                            <w:t>45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bfDwky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t8PCTICAABjBAAADgAAAAAAAAABACAAAAAfAQAAZHJzL2Uyb0RvYy54bWxQSwUG&#10;AAAAAAYABgBZAQAAwwUAAAAA&#10;">
              <v:fill on="f" focussize="0,0"/>
              <v:stroke on="f" weight="0.5pt"/>
              <v:imagedata o:title=""/>
              <o:lock v:ext="edit" aspectratio="f"/>
              <v:textbox inset="0mm,0mm,0mm,0mm" style="mso-fit-shape-to-text:t;">
                <w:txbxContent>
                  <w:p w14:paraId="71B130D0">
                    <w:pPr>
                      <w:pStyle w:val="27"/>
                    </w:pPr>
                    <w:r>
                      <w:fldChar w:fldCharType="begin"/>
                    </w:r>
                    <w:r>
                      <w:instrText xml:space="preserve"> PAGE  \* MERGEFORMAT </w:instrText>
                    </w:r>
                    <w:r>
                      <w:fldChar w:fldCharType="separate"/>
                    </w:r>
                    <w:r>
                      <w:t>45</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FCABAB">
    <w:pPr>
      <w:spacing w:line="185" w:lineRule="auto"/>
      <w:ind w:left="4068"/>
      <w:rPr>
        <w:rFonts w:hint="eastAsia" w:ascii="Times New Roman" w:hAnsi="Times New Roman" w:eastAsia="宋体" w:cs="Times New Roman"/>
        <w:sz w:val="21"/>
        <w:szCs w:val="21"/>
        <w:lang w:eastAsia="zh-CN"/>
      </w:rPr>
    </w:pPr>
    <w:r>
      <w:rPr>
        <w:sz w:val="21"/>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0E45D2">
                          <w:pPr>
                            <w:pStyle w:val="27"/>
                          </w:pPr>
                          <w:r>
                            <w:fldChar w:fldCharType="begin"/>
                          </w:r>
                          <w:r>
                            <w:instrText xml:space="preserve"> PAGE  \* MERGEFORMAT </w:instrText>
                          </w:r>
                          <w:r>
                            <w:fldChar w:fldCharType="separate"/>
                          </w:r>
                          <w:r>
                            <w:t>66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kSwgzAgAAY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RkSwgzAgAAYwQAAA4AAAAAAAAAAQAgAAAAHwEAAGRycy9lMm9Eb2MueG1sUEsF&#10;BgAAAAAGAAYAWQEAAMQFAAAAAA==&#10;">
              <v:fill on="f" focussize="0,0"/>
              <v:stroke on="f" weight="0.5pt"/>
              <v:imagedata o:title=""/>
              <o:lock v:ext="edit" aspectratio="f"/>
              <v:textbox inset="0mm,0mm,0mm,0mm" style="mso-fit-shape-to-text:t;">
                <w:txbxContent>
                  <w:p w14:paraId="020E45D2">
                    <w:pPr>
                      <w:pStyle w:val="27"/>
                    </w:pPr>
                    <w:r>
                      <w:fldChar w:fldCharType="begin"/>
                    </w:r>
                    <w:r>
                      <w:instrText xml:space="preserve"> PAGE  \* MERGEFORMAT </w:instrText>
                    </w:r>
                    <w:r>
                      <w:fldChar w:fldCharType="separate"/>
                    </w:r>
                    <w:r>
                      <w:t>66</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F36749">
    <w:pPr>
      <w:keepNext w:val="0"/>
      <w:keepLines w:val="0"/>
      <w:pageBreakBefore w:val="0"/>
      <w:widowControl w:val="0"/>
      <w:tabs>
        <w:tab w:val="center" w:pos="4153"/>
        <w:tab w:val="right" w:pos="8306"/>
      </w:tabs>
      <w:kinsoku/>
      <w:wordWrap/>
      <w:overflowPunct/>
      <w:topLinePunct w:val="0"/>
      <w:autoSpaceDE/>
      <w:autoSpaceDN/>
      <w:bidi w:val="0"/>
      <w:adjustRightInd/>
      <w:snapToGrid/>
      <w:spacing w:line="240" w:lineRule="auto"/>
      <w:ind w:firstLine="0" w:firstLineChars="0"/>
      <w:jc w:val="center"/>
      <w:textAlignment w:val="auto"/>
      <w:rPr>
        <w:rFonts w:ascii="Times New Roman" w:hAnsi="Times New Roman" w:eastAsia="宋体" w:cs="Times New Roman"/>
        <w:kern w:val="2"/>
        <w:sz w:val="18"/>
        <w:szCs w:val="18"/>
        <w:lang w:val="en-US" w:eastAsia="zh-CN" w:bidi="ar-SA"/>
      </w:rPr>
    </w:pPr>
    <w:r>
      <w:rPr>
        <w:rFonts w:ascii="Times New Roman" w:hAnsi="Times New Roman" w:eastAsia="宋体" w:cs="Times New Roman"/>
        <w:kern w:val="2"/>
        <w:sz w:val="18"/>
        <w:szCs w:val="18"/>
        <w:lang w:val="en-US" w:eastAsia="zh-CN" w:bidi="ar-SA"/>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1D324E">
                          <w:pPr>
                            <w:widowControl w:val="0"/>
                            <w:tabs>
                              <w:tab w:val="center" w:pos="4153"/>
                              <w:tab w:val="right" w:pos="8306"/>
                            </w:tabs>
                            <w:snapToGrid w:val="0"/>
                            <w:spacing w:line="240" w:lineRule="auto"/>
                            <w:ind w:firstLine="360" w:firstLineChars="200"/>
                            <w:jc w:val="left"/>
                            <w:rPr>
                              <w:rFonts w:hint="eastAsia" w:ascii="Times New Roman" w:hAnsi="Times New Roman" w:eastAsia="宋体" w:cs="Times New Roman"/>
                              <w:kern w:val="2"/>
                              <w:sz w:val="18"/>
                              <w:szCs w:val="18"/>
                              <w:lang w:val="en-US" w:eastAsia="zh-CN" w:bidi="ar-SA"/>
                            </w:rPr>
                          </w:pPr>
                          <w:r>
                            <w:rPr>
                              <w:rFonts w:hint="eastAsia" w:ascii="Times New Roman" w:hAnsi="Times New Roman" w:eastAsia="宋体" w:cs="Times New Roman"/>
                              <w:kern w:val="2"/>
                              <w:sz w:val="18"/>
                              <w:szCs w:val="18"/>
                              <w:lang w:val="en-US" w:eastAsia="zh-CN" w:bidi="ar-SA"/>
                            </w:rPr>
                            <w:fldChar w:fldCharType="begin"/>
                          </w:r>
                          <w:r>
                            <w:rPr>
                              <w:rFonts w:hint="eastAsia" w:ascii="Times New Roman" w:hAnsi="Times New Roman" w:eastAsia="宋体" w:cs="Times New Roman"/>
                              <w:kern w:val="2"/>
                              <w:sz w:val="18"/>
                              <w:szCs w:val="18"/>
                              <w:lang w:val="en-US" w:eastAsia="zh-CN" w:bidi="ar-SA"/>
                            </w:rPr>
                            <w:instrText xml:space="preserve"> PAGE  \* MERGEFORMAT </w:instrText>
                          </w:r>
                          <w:r>
                            <w:rPr>
                              <w:rFonts w:hint="eastAsia" w:ascii="Times New Roman" w:hAnsi="Times New Roman" w:eastAsia="宋体" w:cs="Times New Roman"/>
                              <w:kern w:val="2"/>
                              <w:sz w:val="18"/>
                              <w:szCs w:val="18"/>
                              <w:lang w:val="en-US" w:eastAsia="zh-CN" w:bidi="ar-SA"/>
                            </w:rPr>
                            <w:fldChar w:fldCharType="separate"/>
                          </w:r>
                          <w:r>
                            <w:rPr>
                              <w:rFonts w:hint="eastAsia" w:ascii="Times New Roman" w:hAnsi="Times New Roman" w:eastAsia="宋体" w:cs="Times New Roman"/>
                              <w:kern w:val="2"/>
                              <w:sz w:val="18"/>
                              <w:szCs w:val="18"/>
                              <w:lang w:val="en-US" w:eastAsia="zh-CN" w:bidi="ar-SA"/>
                            </w:rPr>
                            <w:t>1</w:t>
                          </w:r>
                          <w:r>
                            <w:rPr>
                              <w:rFonts w:hint="eastAsia" w:ascii="Times New Roman" w:hAnsi="Times New Roman" w:eastAsia="宋体" w:cs="Times New Roman"/>
                              <w:kern w:val="2"/>
                              <w:sz w:val="18"/>
                              <w:szCs w:val="18"/>
                              <w:lang w:val="en-US" w:eastAsia="zh-CN" w:bidi="ar-S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A3D9w5AgAAcQQAAA4AAABkcnMvZTJvRG9jLnhtbK1UzY7TMBC+I/EO&#10;lu80bdGu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GA3D9w5AgAAcQQAAA4AAAAAAAAAAQAgAAAAHwEAAGRycy9lMm9Eb2Mu&#10;eG1sUEsFBgAAAAAGAAYAWQEAAMoFAAAAAA==&#10;">
              <v:fill on="f" focussize="0,0"/>
              <v:stroke on="f" weight="0.5pt"/>
              <v:imagedata o:title=""/>
              <o:lock v:ext="edit" aspectratio="f"/>
              <v:textbox inset="0mm,0mm,0mm,0mm" style="mso-fit-shape-to-text:t;">
                <w:txbxContent>
                  <w:p w14:paraId="4F1D324E">
                    <w:pPr>
                      <w:widowControl w:val="0"/>
                      <w:tabs>
                        <w:tab w:val="center" w:pos="4153"/>
                        <w:tab w:val="right" w:pos="8306"/>
                      </w:tabs>
                      <w:snapToGrid w:val="0"/>
                      <w:spacing w:line="240" w:lineRule="auto"/>
                      <w:ind w:firstLine="360" w:firstLineChars="200"/>
                      <w:jc w:val="left"/>
                      <w:rPr>
                        <w:rFonts w:hint="eastAsia" w:ascii="Times New Roman" w:hAnsi="Times New Roman" w:eastAsia="宋体" w:cs="Times New Roman"/>
                        <w:kern w:val="2"/>
                        <w:sz w:val="18"/>
                        <w:szCs w:val="18"/>
                        <w:lang w:val="en-US" w:eastAsia="zh-CN" w:bidi="ar-SA"/>
                      </w:rPr>
                    </w:pPr>
                    <w:r>
                      <w:rPr>
                        <w:rFonts w:hint="eastAsia" w:ascii="Times New Roman" w:hAnsi="Times New Roman" w:eastAsia="宋体" w:cs="Times New Roman"/>
                        <w:kern w:val="2"/>
                        <w:sz w:val="18"/>
                        <w:szCs w:val="18"/>
                        <w:lang w:val="en-US" w:eastAsia="zh-CN" w:bidi="ar-SA"/>
                      </w:rPr>
                      <w:fldChar w:fldCharType="begin"/>
                    </w:r>
                    <w:r>
                      <w:rPr>
                        <w:rFonts w:hint="eastAsia" w:ascii="Times New Roman" w:hAnsi="Times New Roman" w:eastAsia="宋体" w:cs="Times New Roman"/>
                        <w:kern w:val="2"/>
                        <w:sz w:val="18"/>
                        <w:szCs w:val="18"/>
                        <w:lang w:val="en-US" w:eastAsia="zh-CN" w:bidi="ar-SA"/>
                      </w:rPr>
                      <w:instrText xml:space="preserve"> PAGE  \* MERGEFORMAT </w:instrText>
                    </w:r>
                    <w:r>
                      <w:rPr>
                        <w:rFonts w:hint="eastAsia" w:ascii="Times New Roman" w:hAnsi="Times New Roman" w:eastAsia="宋体" w:cs="Times New Roman"/>
                        <w:kern w:val="2"/>
                        <w:sz w:val="18"/>
                        <w:szCs w:val="18"/>
                        <w:lang w:val="en-US" w:eastAsia="zh-CN" w:bidi="ar-SA"/>
                      </w:rPr>
                      <w:fldChar w:fldCharType="separate"/>
                    </w:r>
                    <w:r>
                      <w:rPr>
                        <w:rFonts w:hint="eastAsia" w:ascii="Times New Roman" w:hAnsi="Times New Roman" w:eastAsia="宋体" w:cs="Times New Roman"/>
                        <w:kern w:val="2"/>
                        <w:sz w:val="18"/>
                        <w:szCs w:val="18"/>
                        <w:lang w:val="en-US" w:eastAsia="zh-CN" w:bidi="ar-SA"/>
                      </w:rPr>
                      <w:t>1</w:t>
                    </w:r>
                    <w:r>
                      <w:rPr>
                        <w:rFonts w:hint="eastAsia" w:ascii="Times New Roman" w:hAnsi="Times New Roman" w:eastAsia="宋体" w:cs="Times New Roman"/>
                        <w:kern w:val="2"/>
                        <w:sz w:val="18"/>
                        <w:szCs w:val="18"/>
                        <w:lang w:val="en-US" w:eastAsia="zh-CN" w:bidi="ar-SA"/>
                      </w:rPr>
                      <w:fldChar w:fldCharType="end"/>
                    </w:r>
                  </w:p>
                </w:txbxContent>
              </v:textbox>
            </v:shape>
          </w:pict>
        </mc:Fallback>
      </mc:AlternateContent>
    </w:r>
  </w:p>
  <w:p w14:paraId="4242999D">
    <w:pPr>
      <w:widowControl w:val="0"/>
      <w:kinsoku w:val="0"/>
      <w:overflowPunct w:val="0"/>
      <w:spacing w:before="0" w:line="14" w:lineRule="auto"/>
      <w:ind w:left="0" w:firstLine="400" w:firstLineChars="200"/>
      <w:jc w:val="both"/>
      <w:rPr>
        <w:rFonts w:ascii="Arial Unicode MS" w:hAnsi="Arial Unicode MS" w:eastAsia="宋体" w:cs="Times New Roman"/>
        <w:kern w:val="2"/>
        <w:sz w:val="20"/>
        <w:szCs w:val="20"/>
        <w:lang w:val="en-US" w:eastAsia="zh-CN" w:bidi="ar-S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B99948">
    <w:pPr>
      <w:pStyle w:val="28"/>
      <w:pBdr>
        <w:bottom w:val="none" w:color="auto" w:sz="0" w:space="1"/>
      </w:pBdr>
      <w:rPr>
        <w:rFonts w:hint="eastAsia"/>
        <w:lang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6C8C63">
    <w:pPr>
      <w:pStyle w:val="28"/>
      <w:pBdr>
        <w:bottom w:val="none" w:color="auto" w:sz="0" w:space="1"/>
      </w:pBdr>
      <w:jc w:val="both"/>
      <w:rPr>
        <w:rFonts w:hint="eastAsia"/>
        <w:lang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247AF4">
    <w:pPr>
      <w:pStyle w:val="28"/>
      <w:pBdr>
        <w:bottom w:val="none" w:color="auto" w:sz="0" w:space="1"/>
      </w:pBdr>
      <w:jc w:val="both"/>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B26045">
    <w:pPr>
      <w:widowControl w:val="0"/>
      <w:kinsoku w:val="0"/>
      <w:overflowPunct w:val="0"/>
      <w:spacing w:before="0" w:line="14" w:lineRule="auto"/>
      <w:ind w:left="0" w:firstLine="400" w:firstLineChars="200"/>
      <w:jc w:val="both"/>
      <w:rPr>
        <w:rFonts w:ascii="Arial Unicode MS" w:hAnsi="Arial Unicode MS" w:eastAsia="宋体" w:cs="Times New Roman"/>
        <w:kern w:val="2"/>
        <w:sz w:val="20"/>
        <w:szCs w:val="20"/>
        <w:lang w:val="en-US" w:eastAsia="zh-CN" w:bidi="ar-SA"/>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3F0FFC">
    <w:pPr>
      <w:pStyle w:val="28"/>
      <w:pBdr>
        <w:bottom w:val="none" w:color="auto" w:sz="0" w:space="1"/>
      </w:pBdr>
      <w:rPr>
        <w:rFonts w:hint="eastAsia"/>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B47BD5">
    <w:pPr>
      <w:pStyle w:val="28"/>
      <w:pBdr>
        <w:bottom w:val="none" w:color="auto" w:sz="0" w:space="1"/>
      </w:pBd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C194DE">
    <w:pPr>
      <w:pStyle w:val="28"/>
      <w:pBdr>
        <w:bottom w:val="none" w:color="auto" w:sz="0" w:space="1"/>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DB267A">
    <w:pPr>
      <w:pStyle w:val="28"/>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15B9AEC"/>
    <w:multiLevelType w:val="singleLevel"/>
    <w:tmpl w:val="915B9AEC"/>
    <w:lvl w:ilvl="0" w:tentative="0">
      <w:start w:val="1"/>
      <w:numFmt w:val="decimal"/>
      <w:pStyle w:val="8"/>
      <w:lvlText w:val="%1."/>
      <w:lvlJc w:val="left"/>
      <w:pPr>
        <w:tabs>
          <w:tab w:val="left" w:pos="2040"/>
        </w:tabs>
        <w:ind w:left="2040" w:hanging="360"/>
      </w:pPr>
    </w:lvl>
  </w:abstractNum>
  <w:abstractNum w:abstractNumId="1">
    <w:nsid w:val="97C38BC1"/>
    <w:multiLevelType w:val="singleLevel"/>
    <w:tmpl w:val="97C38BC1"/>
    <w:lvl w:ilvl="0" w:tentative="0">
      <w:start w:val="1"/>
      <w:numFmt w:val="decimal"/>
      <w:suff w:val="nothing"/>
      <w:lvlText w:val="%1）"/>
      <w:lvlJc w:val="left"/>
    </w:lvl>
  </w:abstractNum>
  <w:abstractNum w:abstractNumId="2">
    <w:nsid w:val="A35CDB26"/>
    <w:multiLevelType w:val="singleLevel"/>
    <w:tmpl w:val="A35CDB26"/>
    <w:lvl w:ilvl="0" w:tentative="0">
      <w:start w:val="1"/>
      <w:numFmt w:val="chineseCounting"/>
      <w:suff w:val="nothing"/>
      <w:lvlText w:val="（%1）"/>
      <w:lvlJc w:val="left"/>
      <w:pPr>
        <w:ind w:left="0" w:firstLine="0"/>
      </w:pPr>
      <w:rPr>
        <w:rFonts w:hint="eastAsia"/>
      </w:rPr>
    </w:lvl>
  </w:abstractNum>
  <w:abstractNum w:abstractNumId="3">
    <w:nsid w:val="A3E19CF9"/>
    <w:multiLevelType w:val="singleLevel"/>
    <w:tmpl w:val="A3E19CF9"/>
    <w:lvl w:ilvl="0" w:tentative="0">
      <w:start w:val="2"/>
      <w:numFmt w:val="decimal"/>
      <w:suff w:val="nothing"/>
      <w:lvlText w:val="（%1）"/>
      <w:lvlJc w:val="left"/>
    </w:lvl>
  </w:abstractNum>
  <w:abstractNum w:abstractNumId="4">
    <w:nsid w:val="A98FC4E5"/>
    <w:multiLevelType w:val="singleLevel"/>
    <w:tmpl w:val="A98FC4E5"/>
    <w:lvl w:ilvl="0" w:tentative="0">
      <w:start w:val="1"/>
      <w:numFmt w:val="decimal"/>
      <w:lvlText w:val="(%1)"/>
      <w:lvlJc w:val="left"/>
      <w:pPr>
        <w:ind w:left="425" w:hanging="425"/>
      </w:pPr>
      <w:rPr>
        <w:rFonts w:hint="default"/>
      </w:rPr>
    </w:lvl>
  </w:abstractNum>
  <w:abstractNum w:abstractNumId="5">
    <w:nsid w:val="C39DDD45"/>
    <w:multiLevelType w:val="singleLevel"/>
    <w:tmpl w:val="C39DDD45"/>
    <w:lvl w:ilvl="0" w:tentative="0">
      <w:start w:val="1"/>
      <w:numFmt w:val="upperRoman"/>
      <w:suff w:val="nothing"/>
      <w:lvlText w:val="%1．"/>
      <w:lvlJc w:val="left"/>
      <w:pPr>
        <w:ind w:left="0" w:firstLine="0"/>
      </w:pPr>
      <w:rPr>
        <w:rFonts w:hint="default"/>
      </w:rPr>
    </w:lvl>
  </w:abstractNum>
  <w:abstractNum w:abstractNumId="6">
    <w:nsid w:val="C76BD5B7"/>
    <w:multiLevelType w:val="singleLevel"/>
    <w:tmpl w:val="C76BD5B7"/>
    <w:lvl w:ilvl="0" w:tentative="0">
      <w:start w:val="1"/>
      <w:numFmt w:val="decimal"/>
      <w:suff w:val="nothing"/>
      <w:lvlText w:val="（%1）"/>
      <w:lvlJc w:val="left"/>
    </w:lvl>
  </w:abstractNum>
  <w:abstractNum w:abstractNumId="7">
    <w:nsid w:val="CCB523A0"/>
    <w:multiLevelType w:val="singleLevel"/>
    <w:tmpl w:val="CCB523A0"/>
    <w:lvl w:ilvl="0" w:tentative="0">
      <w:start w:val="1"/>
      <w:numFmt w:val="decimal"/>
      <w:suff w:val="nothing"/>
      <w:lvlText w:val="（%1）"/>
      <w:lvlJc w:val="left"/>
    </w:lvl>
  </w:abstractNum>
  <w:abstractNum w:abstractNumId="8">
    <w:nsid w:val="CE697CBB"/>
    <w:multiLevelType w:val="singleLevel"/>
    <w:tmpl w:val="CE697CBB"/>
    <w:lvl w:ilvl="0" w:tentative="0">
      <w:start w:val="2"/>
      <w:numFmt w:val="decimal"/>
      <w:suff w:val="nothing"/>
      <w:lvlText w:val="%1、"/>
      <w:lvlJc w:val="left"/>
    </w:lvl>
  </w:abstractNum>
  <w:abstractNum w:abstractNumId="9">
    <w:nsid w:val="D4254CD1"/>
    <w:multiLevelType w:val="singleLevel"/>
    <w:tmpl w:val="D4254CD1"/>
    <w:lvl w:ilvl="0" w:tentative="0">
      <w:start w:val="1"/>
      <w:numFmt w:val="decimal"/>
      <w:lvlText w:val="(%1)"/>
      <w:lvlJc w:val="left"/>
      <w:pPr>
        <w:ind w:left="425" w:hanging="425"/>
      </w:pPr>
      <w:rPr>
        <w:rFonts w:hint="default"/>
      </w:rPr>
    </w:lvl>
  </w:abstractNum>
  <w:abstractNum w:abstractNumId="10">
    <w:nsid w:val="E5349B5C"/>
    <w:multiLevelType w:val="singleLevel"/>
    <w:tmpl w:val="E5349B5C"/>
    <w:lvl w:ilvl="0" w:tentative="0">
      <w:start w:val="1"/>
      <w:numFmt w:val="decimal"/>
      <w:lvlText w:val="%1"/>
      <w:lvlJc w:val="left"/>
      <w:pPr>
        <w:tabs>
          <w:tab w:val="left" w:pos="420"/>
        </w:tabs>
        <w:ind w:left="425" w:leftChars="0" w:hanging="425" w:firstLineChars="0"/>
      </w:pPr>
      <w:rPr>
        <w:rFonts w:hint="default"/>
      </w:rPr>
    </w:lvl>
  </w:abstractNum>
  <w:abstractNum w:abstractNumId="11">
    <w:nsid w:val="FA76A11F"/>
    <w:multiLevelType w:val="singleLevel"/>
    <w:tmpl w:val="FA76A11F"/>
    <w:lvl w:ilvl="0" w:tentative="0">
      <w:start w:val="1"/>
      <w:numFmt w:val="decimal"/>
      <w:suff w:val="nothing"/>
      <w:lvlText w:val="%1"/>
      <w:lvlJc w:val="left"/>
      <w:pPr>
        <w:ind w:left="0" w:firstLine="0"/>
      </w:pPr>
      <w:rPr>
        <w:rFonts w:hint="default"/>
      </w:rPr>
    </w:lvl>
  </w:abstractNum>
  <w:abstractNum w:abstractNumId="12">
    <w:nsid w:val="FFC1AAD7"/>
    <w:multiLevelType w:val="singleLevel"/>
    <w:tmpl w:val="FFC1AAD7"/>
    <w:lvl w:ilvl="0" w:tentative="0">
      <w:start w:val="1"/>
      <w:numFmt w:val="decimal"/>
      <w:lvlText w:val="(%1)"/>
      <w:lvlJc w:val="left"/>
      <w:pPr>
        <w:ind w:left="425" w:hanging="425"/>
      </w:pPr>
      <w:rPr>
        <w:rFonts w:hint="default"/>
      </w:rPr>
    </w:lvl>
  </w:abstractNum>
  <w:abstractNum w:abstractNumId="13">
    <w:nsid w:val="0D81792D"/>
    <w:multiLevelType w:val="singleLevel"/>
    <w:tmpl w:val="0D81792D"/>
    <w:lvl w:ilvl="0" w:tentative="0">
      <w:start w:val="6"/>
      <w:numFmt w:val="decimal"/>
      <w:suff w:val="nothing"/>
      <w:lvlText w:val="%1）"/>
      <w:lvlJc w:val="left"/>
    </w:lvl>
  </w:abstractNum>
  <w:abstractNum w:abstractNumId="14">
    <w:nsid w:val="30F079D9"/>
    <w:multiLevelType w:val="singleLevel"/>
    <w:tmpl w:val="30F079D9"/>
    <w:lvl w:ilvl="0" w:tentative="0">
      <w:start w:val="1"/>
      <w:numFmt w:val="decimal"/>
      <w:suff w:val="nothing"/>
      <w:lvlText w:val="%1．"/>
      <w:lvlJc w:val="left"/>
      <w:pPr>
        <w:ind w:left="0" w:firstLine="0"/>
      </w:pPr>
      <w:rPr>
        <w:rFonts w:hint="default"/>
      </w:rPr>
    </w:lvl>
  </w:abstractNum>
  <w:abstractNum w:abstractNumId="15">
    <w:nsid w:val="398B6821"/>
    <w:multiLevelType w:val="singleLevel"/>
    <w:tmpl w:val="398B6821"/>
    <w:lvl w:ilvl="0" w:tentative="0">
      <w:start w:val="1"/>
      <w:numFmt w:val="decimal"/>
      <w:suff w:val="nothing"/>
      <w:lvlText w:val="%1）"/>
      <w:lvlJc w:val="left"/>
    </w:lvl>
  </w:abstractNum>
  <w:abstractNum w:abstractNumId="16">
    <w:nsid w:val="44D617DE"/>
    <w:multiLevelType w:val="singleLevel"/>
    <w:tmpl w:val="44D617DE"/>
    <w:lvl w:ilvl="0" w:tentative="0">
      <w:start w:val="1"/>
      <w:numFmt w:val="decimal"/>
      <w:lvlText w:val="(%1)"/>
      <w:lvlJc w:val="left"/>
      <w:pPr>
        <w:ind w:left="425" w:hanging="425"/>
      </w:pPr>
      <w:rPr>
        <w:rFonts w:hint="default"/>
      </w:rPr>
    </w:lvl>
  </w:abstractNum>
  <w:abstractNum w:abstractNumId="17">
    <w:nsid w:val="47C6770E"/>
    <w:multiLevelType w:val="singleLevel"/>
    <w:tmpl w:val="47C6770E"/>
    <w:lvl w:ilvl="0" w:tentative="0">
      <w:start w:val="6"/>
      <w:numFmt w:val="decimal"/>
      <w:suff w:val="nothing"/>
      <w:lvlText w:val="（%1）"/>
      <w:lvlJc w:val="left"/>
    </w:lvl>
  </w:abstractNum>
  <w:abstractNum w:abstractNumId="18">
    <w:nsid w:val="497A2EC4"/>
    <w:multiLevelType w:val="singleLevel"/>
    <w:tmpl w:val="497A2EC4"/>
    <w:lvl w:ilvl="0" w:tentative="0">
      <w:start w:val="1"/>
      <w:numFmt w:val="decimal"/>
      <w:lvlText w:val="(%1)"/>
      <w:lvlJc w:val="left"/>
      <w:pPr>
        <w:ind w:left="425" w:hanging="425"/>
      </w:pPr>
      <w:rPr>
        <w:rFonts w:hint="default"/>
      </w:rPr>
    </w:lvl>
  </w:abstractNum>
  <w:abstractNum w:abstractNumId="19">
    <w:nsid w:val="49B79CC3"/>
    <w:multiLevelType w:val="singleLevel"/>
    <w:tmpl w:val="49B79CC3"/>
    <w:lvl w:ilvl="0" w:tentative="0">
      <w:start w:val="1"/>
      <w:numFmt w:val="chineseCounting"/>
      <w:suff w:val="nothing"/>
      <w:lvlText w:val="%1、"/>
      <w:lvlJc w:val="left"/>
      <w:pPr>
        <w:ind w:left="0" w:firstLine="0"/>
      </w:pPr>
      <w:rPr>
        <w:rFonts w:hint="eastAsia"/>
      </w:rPr>
    </w:lvl>
  </w:abstractNum>
  <w:abstractNum w:abstractNumId="20">
    <w:nsid w:val="4DD00489"/>
    <w:multiLevelType w:val="singleLevel"/>
    <w:tmpl w:val="4DD00489"/>
    <w:lvl w:ilvl="0" w:tentative="0">
      <w:start w:val="1"/>
      <w:numFmt w:val="decimal"/>
      <w:suff w:val="nothing"/>
      <w:lvlText w:val="（%1）"/>
      <w:lvlJc w:val="left"/>
    </w:lvl>
  </w:abstractNum>
  <w:abstractNum w:abstractNumId="21">
    <w:nsid w:val="52A45571"/>
    <w:multiLevelType w:val="singleLevel"/>
    <w:tmpl w:val="52A45571"/>
    <w:lvl w:ilvl="0" w:tentative="0">
      <w:start w:val="1"/>
      <w:numFmt w:val="decimal"/>
      <w:lvlText w:val="%1"/>
      <w:lvlJc w:val="left"/>
      <w:pPr>
        <w:tabs>
          <w:tab w:val="left" w:pos="420"/>
        </w:tabs>
        <w:ind w:left="425" w:leftChars="0" w:hanging="425" w:firstLineChars="0"/>
      </w:pPr>
      <w:rPr>
        <w:rFonts w:hint="default"/>
      </w:rPr>
    </w:lvl>
  </w:abstractNum>
  <w:abstractNum w:abstractNumId="22">
    <w:nsid w:val="59B8814D"/>
    <w:multiLevelType w:val="singleLevel"/>
    <w:tmpl w:val="59B8814D"/>
    <w:lvl w:ilvl="0" w:tentative="0">
      <w:start w:val="1"/>
      <w:numFmt w:val="chineseCounting"/>
      <w:suff w:val="nothing"/>
      <w:lvlText w:val="%1、"/>
      <w:lvlJc w:val="left"/>
    </w:lvl>
  </w:abstractNum>
  <w:abstractNum w:abstractNumId="23">
    <w:nsid w:val="5D0C4A9C"/>
    <w:multiLevelType w:val="multilevel"/>
    <w:tmpl w:val="5D0C4A9C"/>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ind w:left="575" w:hanging="575"/>
      </w:pPr>
      <w:rPr>
        <w:rFonts w:hint="default"/>
      </w:rPr>
    </w:lvl>
    <w:lvl w:ilvl="2" w:tentative="0">
      <w:start w:val="1"/>
      <w:numFmt w:val="decimal"/>
      <w:pStyle w:val="4"/>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9"/>
      <w:lvlText w:val="%1.%2.%3.%4.%5."/>
      <w:lvlJc w:val="left"/>
      <w:pPr>
        <w:ind w:left="1008" w:hanging="1008"/>
      </w:pPr>
      <w:rPr>
        <w:rFonts w:hint="default"/>
      </w:rPr>
    </w:lvl>
    <w:lvl w:ilvl="5" w:tentative="0">
      <w:start w:val="1"/>
      <w:numFmt w:val="decimal"/>
      <w:pStyle w:val="10"/>
      <w:lvlText w:val="%1.%2.%3.%4.%5.%6."/>
      <w:lvlJc w:val="left"/>
      <w:pPr>
        <w:ind w:left="1151" w:hanging="1151"/>
      </w:pPr>
      <w:rPr>
        <w:rFonts w:hint="default"/>
      </w:rPr>
    </w:lvl>
    <w:lvl w:ilvl="6" w:tentative="0">
      <w:start w:val="1"/>
      <w:numFmt w:val="decimal"/>
      <w:pStyle w:val="11"/>
      <w:lvlText w:val="%1.%2.%3.%4.%5.%6.%7."/>
      <w:lvlJc w:val="left"/>
      <w:pPr>
        <w:ind w:left="1296" w:hanging="1296"/>
      </w:pPr>
      <w:rPr>
        <w:rFonts w:hint="default"/>
      </w:rPr>
    </w:lvl>
    <w:lvl w:ilvl="7" w:tentative="0">
      <w:start w:val="1"/>
      <w:numFmt w:val="decimal"/>
      <w:pStyle w:val="12"/>
      <w:lvlText w:val="%1.%2.%3.%4.%5.%6.%7.%8."/>
      <w:lvlJc w:val="left"/>
      <w:pPr>
        <w:ind w:left="1440" w:hanging="1440"/>
      </w:pPr>
      <w:rPr>
        <w:rFonts w:hint="default"/>
      </w:rPr>
    </w:lvl>
    <w:lvl w:ilvl="8" w:tentative="0">
      <w:start w:val="1"/>
      <w:numFmt w:val="decimal"/>
      <w:pStyle w:val="13"/>
      <w:lvlText w:val="%1.%2.%3.%4.%5.%6.%7.%8.%9."/>
      <w:lvlJc w:val="left"/>
      <w:pPr>
        <w:ind w:left="1583" w:hanging="1583"/>
      </w:pPr>
      <w:rPr>
        <w:rFonts w:hint="default"/>
      </w:rPr>
    </w:lvl>
  </w:abstractNum>
  <w:abstractNum w:abstractNumId="24">
    <w:nsid w:val="704103D5"/>
    <w:multiLevelType w:val="singleLevel"/>
    <w:tmpl w:val="704103D5"/>
    <w:lvl w:ilvl="0" w:tentative="0">
      <w:start w:val="2"/>
      <w:numFmt w:val="decimal"/>
      <w:suff w:val="nothing"/>
      <w:lvlText w:val="%1）"/>
      <w:lvlJc w:val="left"/>
    </w:lvl>
  </w:abstractNum>
  <w:num w:numId="1">
    <w:abstractNumId w:val="23"/>
  </w:num>
  <w:num w:numId="2">
    <w:abstractNumId w:val="0"/>
  </w:num>
  <w:num w:numId="3">
    <w:abstractNumId w:val="6"/>
  </w:num>
  <w:num w:numId="4">
    <w:abstractNumId w:val="24"/>
  </w:num>
  <w:num w:numId="5">
    <w:abstractNumId w:val="18"/>
  </w:num>
  <w:num w:numId="6">
    <w:abstractNumId w:val="16"/>
  </w:num>
  <w:num w:numId="7">
    <w:abstractNumId w:val="12"/>
  </w:num>
  <w:num w:numId="8">
    <w:abstractNumId w:val="4"/>
  </w:num>
  <w:num w:numId="9">
    <w:abstractNumId w:val="9"/>
  </w:num>
  <w:num w:numId="10">
    <w:abstractNumId w:val="1"/>
  </w:num>
  <w:num w:numId="11">
    <w:abstractNumId w:val="13"/>
  </w:num>
  <w:num w:numId="12">
    <w:abstractNumId w:val="15"/>
  </w:num>
  <w:num w:numId="13">
    <w:abstractNumId w:val="20"/>
  </w:num>
  <w:num w:numId="14">
    <w:abstractNumId w:val="10"/>
  </w:num>
  <w:num w:numId="15">
    <w:abstractNumId w:val="5"/>
  </w:num>
  <w:num w:numId="16">
    <w:abstractNumId w:val="19"/>
  </w:num>
  <w:num w:numId="17">
    <w:abstractNumId w:val="2"/>
  </w:num>
  <w:num w:numId="18">
    <w:abstractNumId w:val="14"/>
  </w:num>
  <w:num w:numId="19">
    <w:abstractNumId w:val="22"/>
  </w:num>
  <w:num w:numId="20">
    <w:abstractNumId w:val="11"/>
  </w:num>
  <w:num w:numId="21">
    <w:abstractNumId w:val="8"/>
  </w:num>
  <w:num w:numId="22">
    <w:abstractNumId w:val="3"/>
  </w:num>
  <w:num w:numId="23">
    <w:abstractNumId w:val="17"/>
  </w:num>
  <w:num w:numId="24">
    <w:abstractNumId w:val="21"/>
  </w:num>
  <w:num w:numId="2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2U4ZTE5NjJiZThjZTkyNzg0Y2YyN2JhNWViMTRkN2IifQ=="/>
    <w:docVar w:name="KSO_WPS_MARK_KEY" w:val="cedbe36a-aaeb-4e70-9006-df8e96a4d0fe"/>
  </w:docVars>
  <w:rsids>
    <w:rsidRoot w:val="00172A27"/>
    <w:rsid w:val="00002699"/>
    <w:rsid w:val="00004D87"/>
    <w:rsid w:val="00014D3F"/>
    <w:rsid w:val="00020DFB"/>
    <w:rsid w:val="000408CC"/>
    <w:rsid w:val="0006111D"/>
    <w:rsid w:val="00086B49"/>
    <w:rsid w:val="000A179A"/>
    <w:rsid w:val="000B5534"/>
    <w:rsid w:val="000C4FE6"/>
    <w:rsid w:val="000E0EE7"/>
    <w:rsid w:val="00115D36"/>
    <w:rsid w:val="00157A28"/>
    <w:rsid w:val="00172A27"/>
    <w:rsid w:val="0017449D"/>
    <w:rsid w:val="00185821"/>
    <w:rsid w:val="001D5547"/>
    <w:rsid w:val="00236B7D"/>
    <w:rsid w:val="00257625"/>
    <w:rsid w:val="00267F4E"/>
    <w:rsid w:val="00272539"/>
    <w:rsid w:val="002811D8"/>
    <w:rsid w:val="00283E12"/>
    <w:rsid w:val="00286CC3"/>
    <w:rsid w:val="00287461"/>
    <w:rsid w:val="0029042F"/>
    <w:rsid w:val="002B4EE3"/>
    <w:rsid w:val="002C2CD6"/>
    <w:rsid w:val="002C4FBC"/>
    <w:rsid w:val="002D269B"/>
    <w:rsid w:val="002E0D05"/>
    <w:rsid w:val="00305E2F"/>
    <w:rsid w:val="00314AA5"/>
    <w:rsid w:val="003564AC"/>
    <w:rsid w:val="003669D0"/>
    <w:rsid w:val="003A2AE3"/>
    <w:rsid w:val="003C708B"/>
    <w:rsid w:val="003E3C8E"/>
    <w:rsid w:val="003E68D2"/>
    <w:rsid w:val="00406E4A"/>
    <w:rsid w:val="00466CEF"/>
    <w:rsid w:val="004874D5"/>
    <w:rsid w:val="004C3342"/>
    <w:rsid w:val="004C7E3F"/>
    <w:rsid w:val="004C7F6D"/>
    <w:rsid w:val="004D5A58"/>
    <w:rsid w:val="004E5D0F"/>
    <w:rsid w:val="004F3799"/>
    <w:rsid w:val="004F70B0"/>
    <w:rsid w:val="0050607D"/>
    <w:rsid w:val="00522BE5"/>
    <w:rsid w:val="00527197"/>
    <w:rsid w:val="005537A2"/>
    <w:rsid w:val="005579A0"/>
    <w:rsid w:val="005616F7"/>
    <w:rsid w:val="00564286"/>
    <w:rsid w:val="00577718"/>
    <w:rsid w:val="0059511E"/>
    <w:rsid w:val="005C4A0B"/>
    <w:rsid w:val="005E693D"/>
    <w:rsid w:val="005F2823"/>
    <w:rsid w:val="0060500C"/>
    <w:rsid w:val="0062491F"/>
    <w:rsid w:val="0064412B"/>
    <w:rsid w:val="00657FEA"/>
    <w:rsid w:val="006A0209"/>
    <w:rsid w:val="006E235C"/>
    <w:rsid w:val="00745A2F"/>
    <w:rsid w:val="00761114"/>
    <w:rsid w:val="00764157"/>
    <w:rsid w:val="007947A9"/>
    <w:rsid w:val="00794BC7"/>
    <w:rsid w:val="007A51B4"/>
    <w:rsid w:val="007C1649"/>
    <w:rsid w:val="007C6C34"/>
    <w:rsid w:val="007E1789"/>
    <w:rsid w:val="008240EC"/>
    <w:rsid w:val="0083640A"/>
    <w:rsid w:val="00840778"/>
    <w:rsid w:val="00842391"/>
    <w:rsid w:val="008548C6"/>
    <w:rsid w:val="0085631D"/>
    <w:rsid w:val="0086090E"/>
    <w:rsid w:val="00871913"/>
    <w:rsid w:val="008D188A"/>
    <w:rsid w:val="0093041E"/>
    <w:rsid w:val="00931E4B"/>
    <w:rsid w:val="00936C22"/>
    <w:rsid w:val="009436F0"/>
    <w:rsid w:val="009448F7"/>
    <w:rsid w:val="00954297"/>
    <w:rsid w:val="0097304B"/>
    <w:rsid w:val="009741F0"/>
    <w:rsid w:val="009A4F37"/>
    <w:rsid w:val="009F2D8E"/>
    <w:rsid w:val="00A77DC8"/>
    <w:rsid w:val="00A77F1F"/>
    <w:rsid w:val="00A91176"/>
    <w:rsid w:val="00A95A9A"/>
    <w:rsid w:val="00AA0186"/>
    <w:rsid w:val="00AB0799"/>
    <w:rsid w:val="00AE4E5E"/>
    <w:rsid w:val="00B00546"/>
    <w:rsid w:val="00B17108"/>
    <w:rsid w:val="00B20412"/>
    <w:rsid w:val="00B23E51"/>
    <w:rsid w:val="00B31EA2"/>
    <w:rsid w:val="00B356B4"/>
    <w:rsid w:val="00B56E5F"/>
    <w:rsid w:val="00B9360B"/>
    <w:rsid w:val="00BC79E3"/>
    <w:rsid w:val="00C26FCD"/>
    <w:rsid w:val="00C36B5B"/>
    <w:rsid w:val="00C823C4"/>
    <w:rsid w:val="00C86D4A"/>
    <w:rsid w:val="00C93F1A"/>
    <w:rsid w:val="00CB181D"/>
    <w:rsid w:val="00CB4B10"/>
    <w:rsid w:val="00CD3CD9"/>
    <w:rsid w:val="00CE32BE"/>
    <w:rsid w:val="00D074CA"/>
    <w:rsid w:val="00D107F3"/>
    <w:rsid w:val="00D6442C"/>
    <w:rsid w:val="00D64AE1"/>
    <w:rsid w:val="00D7071A"/>
    <w:rsid w:val="00D7154A"/>
    <w:rsid w:val="00D72704"/>
    <w:rsid w:val="00D87DC9"/>
    <w:rsid w:val="00DF5ACA"/>
    <w:rsid w:val="00E077A2"/>
    <w:rsid w:val="00E215BB"/>
    <w:rsid w:val="00E330F1"/>
    <w:rsid w:val="00E35088"/>
    <w:rsid w:val="00E928E8"/>
    <w:rsid w:val="00E93829"/>
    <w:rsid w:val="00EA1410"/>
    <w:rsid w:val="00EA5F78"/>
    <w:rsid w:val="00EB47A6"/>
    <w:rsid w:val="00EE5600"/>
    <w:rsid w:val="00EF0450"/>
    <w:rsid w:val="00EF50C1"/>
    <w:rsid w:val="00F053AE"/>
    <w:rsid w:val="00F055A4"/>
    <w:rsid w:val="00F059F0"/>
    <w:rsid w:val="00F418CB"/>
    <w:rsid w:val="00F51047"/>
    <w:rsid w:val="00F57141"/>
    <w:rsid w:val="00F72A45"/>
    <w:rsid w:val="00FA100E"/>
    <w:rsid w:val="00FC1EFF"/>
    <w:rsid w:val="00FC4D44"/>
    <w:rsid w:val="00FC5EFF"/>
    <w:rsid w:val="00FF5723"/>
    <w:rsid w:val="012111C7"/>
    <w:rsid w:val="013B0DE8"/>
    <w:rsid w:val="014337F8"/>
    <w:rsid w:val="0156352C"/>
    <w:rsid w:val="015E4AD6"/>
    <w:rsid w:val="016217D0"/>
    <w:rsid w:val="01657C13"/>
    <w:rsid w:val="01665B00"/>
    <w:rsid w:val="017B2F92"/>
    <w:rsid w:val="01977661"/>
    <w:rsid w:val="019B3634"/>
    <w:rsid w:val="019D55FE"/>
    <w:rsid w:val="01A916EC"/>
    <w:rsid w:val="01AD5116"/>
    <w:rsid w:val="01C54B55"/>
    <w:rsid w:val="01DA0A04"/>
    <w:rsid w:val="01E4104F"/>
    <w:rsid w:val="01E73903"/>
    <w:rsid w:val="01F33470"/>
    <w:rsid w:val="021576B2"/>
    <w:rsid w:val="0228102D"/>
    <w:rsid w:val="0228131B"/>
    <w:rsid w:val="0233386D"/>
    <w:rsid w:val="024E4B4B"/>
    <w:rsid w:val="025D08EA"/>
    <w:rsid w:val="026954E1"/>
    <w:rsid w:val="026F657C"/>
    <w:rsid w:val="02816CCE"/>
    <w:rsid w:val="02941414"/>
    <w:rsid w:val="029A38EC"/>
    <w:rsid w:val="029C7664"/>
    <w:rsid w:val="02A227A1"/>
    <w:rsid w:val="02A60F38"/>
    <w:rsid w:val="02B50726"/>
    <w:rsid w:val="02B90F12"/>
    <w:rsid w:val="02D36DFE"/>
    <w:rsid w:val="02F30994"/>
    <w:rsid w:val="02F456F2"/>
    <w:rsid w:val="03065425"/>
    <w:rsid w:val="030C4334"/>
    <w:rsid w:val="033E26AA"/>
    <w:rsid w:val="034F2928"/>
    <w:rsid w:val="0370464D"/>
    <w:rsid w:val="037D1DC8"/>
    <w:rsid w:val="03942A31"/>
    <w:rsid w:val="03960557"/>
    <w:rsid w:val="03A5079A"/>
    <w:rsid w:val="03A964DC"/>
    <w:rsid w:val="03BE360A"/>
    <w:rsid w:val="03C230FA"/>
    <w:rsid w:val="03C91070"/>
    <w:rsid w:val="03D95BC8"/>
    <w:rsid w:val="03DD2CF7"/>
    <w:rsid w:val="03E017D2"/>
    <w:rsid w:val="03EC461B"/>
    <w:rsid w:val="03F62DA4"/>
    <w:rsid w:val="041F679F"/>
    <w:rsid w:val="04267B2D"/>
    <w:rsid w:val="042B013B"/>
    <w:rsid w:val="042E0790"/>
    <w:rsid w:val="04310280"/>
    <w:rsid w:val="043B10FF"/>
    <w:rsid w:val="04432577"/>
    <w:rsid w:val="04575F38"/>
    <w:rsid w:val="045D1075"/>
    <w:rsid w:val="046D60B2"/>
    <w:rsid w:val="04824815"/>
    <w:rsid w:val="048C54B6"/>
    <w:rsid w:val="0491041F"/>
    <w:rsid w:val="04A65005"/>
    <w:rsid w:val="04C86263"/>
    <w:rsid w:val="04CF47A1"/>
    <w:rsid w:val="04D2131B"/>
    <w:rsid w:val="04F84852"/>
    <w:rsid w:val="05025778"/>
    <w:rsid w:val="050C331C"/>
    <w:rsid w:val="05157BA2"/>
    <w:rsid w:val="051A6E41"/>
    <w:rsid w:val="054A15F9"/>
    <w:rsid w:val="0562029E"/>
    <w:rsid w:val="056F1060"/>
    <w:rsid w:val="05720B50"/>
    <w:rsid w:val="058979DF"/>
    <w:rsid w:val="05900FD6"/>
    <w:rsid w:val="059A3EA8"/>
    <w:rsid w:val="05A37935"/>
    <w:rsid w:val="05B66C8F"/>
    <w:rsid w:val="05B72A58"/>
    <w:rsid w:val="05C05834"/>
    <w:rsid w:val="05C375FE"/>
    <w:rsid w:val="05E03D0C"/>
    <w:rsid w:val="05E10046"/>
    <w:rsid w:val="060F639F"/>
    <w:rsid w:val="06175254"/>
    <w:rsid w:val="062C5D5F"/>
    <w:rsid w:val="062E2CC9"/>
    <w:rsid w:val="064E6EC7"/>
    <w:rsid w:val="065B0545"/>
    <w:rsid w:val="065D55C4"/>
    <w:rsid w:val="06624721"/>
    <w:rsid w:val="067526A6"/>
    <w:rsid w:val="067B1C86"/>
    <w:rsid w:val="0684454E"/>
    <w:rsid w:val="068F11D1"/>
    <w:rsid w:val="069D39AB"/>
    <w:rsid w:val="069F7723"/>
    <w:rsid w:val="06B76591"/>
    <w:rsid w:val="06BD229F"/>
    <w:rsid w:val="06D3561E"/>
    <w:rsid w:val="06E353EE"/>
    <w:rsid w:val="06F21F49"/>
    <w:rsid w:val="06F85D90"/>
    <w:rsid w:val="072639A0"/>
    <w:rsid w:val="07287718"/>
    <w:rsid w:val="07293490"/>
    <w:rsid w:val="07434552"/>
    <w:rsid w:val="07726BE5"/>
    <w:rsid w:val="07747054"/>
    <w:rsid w:val="077566D6"/>
    <w:rsid w:val="07865C5F"/>
    <w:rsid w:val="078B1AAF"/>
    <w:rsid w:val="07CA07CF"/>
    <w:rsid w:val="07D33C7D"/>
    <w:rsid w:val="07F12200"/>
    <w:rsid w:val="07FC0BA5"/>
    <w:rsid w:val="07FC2953"/>
    <w:rsid w:val="08033CE1"/>
    <w:rsid w:val="08144141"/>
    <w:rsid w:val="08192736"/>
    <w:rsid w:val="0827483B"/>
    <w:rsid w:val="0852038F"/>
    <w:rsid w:val="0852630F"/>
    <w:rsid w:val="087A4733"/>
    <w:rsid w:val="087B19F8"/>
    <w:rsid w:val="087E0CBB"/>
    <w:rsid w:val="08997829"/>
    <w:rsid w:val="08B31703"/>
    <w:rsid w:val="08B718E4"/>
    <w:rsid w:val="08D12032"/>
    <w:rsid w:val="08DD1A38"/>
    <w:rsid w:val="08F5187C"/>
    <w:rsid w:val="09095327"/>
    <w:rsid w:val="090E293E"/>
    <w:rsid w:val="09167A44"/>
    <w:rsid w:val="09265ED9"/>
    <w:rsid w:val="0935611C"/>
    <w:rsid w:val="09630EDC"/>
    <w:rsid w:val="097F56F0"/>
    <w:rsid w:val="0983332C"/>
    <w:rsid w:val="09945539"/>
    <w:rsid w:val="099948FD"/>
    <w:rsid w:val="09A11A04"/>
    <w:rsid w:val="09A6526C"/>
    <w:rsid w:val="09AF4121"/>
    <w:rsid w:val="09B84C5E"/>
    <w:rsid w:val="09BA2D54"/>
    <w:rsid w:val="09BA53E3"/>
    <w:rsid w:val="09D416ED"/>
    <w:rsid w:val="09D516AE"/>
    <w:rsid w:val="09D9119E"/>
    <w:rsid w:val="09E241A0"/>
    <w:rsid w:val="09E55D95"/>
    <w:rsid w:val="09E67DC9"/>
    <w:rsid w:val="0A1C72DC"/>
    <w:rsid w:val="0A2C39C3"/>
    <w:rsid w:val="0A3C34DB"/>
    <w:rsid w:val="0A4D2D55"/>
    <w:rsid w:val="0A5922DF"/>
    <w:rsid w:val="0A5F5B47"/>
    <w:rsid w:val="0A6C0264"/>
    <w:rsid w:val="0A80786B"/>
    <w:rsid w:val="0A884C87"/>
    <w:rsid w:val="0A8C4462"/>
    <w:rsid w:val="0A8F242E"/>
    <w:rsid w:val="0AA415AE"/>
    <w:rsid w:val="0AAF069E"/>
    <w:rsid w:val="0ABF0394"/>
    <w:rsid w:val="0AC0235E"/>
    <w:rsid w:val="0AC57974"/>
    <w:rsid w:val="0AC946EA"/>
    <w:rsid w:val="0AF67B2D"/>
    <w:rsid w:val="0AF67D0E"/>
    <w:rsid w:val="0B024724"/>
    <w:rsid w:val="0B0264D2"/>
    <w:rsid w:val="0B04224A"/>
    <w:rsid w:val="0B13248D"/>
    <w:rsid w:val="0B14757A"/>
    <w:rsid w:val="0B1D155E"/>
    <w:rsid w:val="0B1F52D6"/>
    <w:rsid w:val="0B204BAA"/>
    <w:rsid w:val="0B325009"/>
    <w:rsid w:val="0B3C7C36"/>
    <w:rsid w:val="0B3F3282"/>
    <w:rsid w:val="0B5D7BAD"/>
    <w:rsid w:val="0B5E289E"/>
    <w:rsid w:val="0B681241"/>
    <w:rsid w:val="0B7874EF"/>
    <w:rsid w:val="0B7E6FD7"/>
    <w:rsid w:val="0B8065C0"/>
    <w:rsid w:val="0B834CF8"/>
    <w:rsid w:val="0B835865"/>
    <w:rsid w:val="0B882E7B"/>
    <w:rsid w:val="0B8B471A"/>
    <w:rsid w:val="0B971310"/>
    <w:rsid w:val="0B9E795E"/>
    <w:rsid w:val="0BB17C72"/>
    <w:rsid w:val="0BB738DF"/>
    <w:rsid w:val="0BB772BD"/>
    <w:rsid w:val="0BC83278"/>
    <w:rsid w:val="0BCB2D68"/>
    <w:rsid w:val="0BDA2FAB"/>
    <w:rsid w:val="0BE43E2A"/>
    <w:rsid w:val="0BE61950"/>
    <w:rsid w:val="0BE67BA2"/>
    <w:rsid w:val="0BF00A21"/>
    <w:rsid w:val="0BF71DAF"/>
    <w:rsid w:val="0C0D3381"/>
    <w:rsid w:val="0C152235"/>
    <w:rsid w:val="0C1B3CF0"/>
    <w:rsid w:val="0C1D16F4"/>
    <w:rsid w:val="0C25691C"/>
    <w:rsid w:val="0C264442"/>
    <w:rsid w:val="0C2A5CE1"/>
    <w:rsid w:val="0C2C7CAB"/>
    <w:rsid w:val="0C2F1549"/>
    <w:rsid w:val="0C346B5F"/>
    <w:rsid w:val="0C41127C"/>
    <w:rsid w:val="0C4B4C0A"/>
    <w:rsid w:val="0C4F5747"/>
    <w:rsid w:val="0C547201"/>
    <w:rsid w:val="0C656D19"/>
    <w:rsid w:val="0C6E02C3"/>
    <w:rsid w:val="0C8C0749"/>
    <w:rsid w:val="0CBC6B0D"/>
    <w:rsid w:val="0CF602B9"/>
    <w:rsid w:val="0CFB142B"/>
    <w:rsid w:val="0D0C53E6"/>
    <w:rsid w:val="0D385B88"/>
    <w:rsid w:val="0D3B4E2B"/>
    <w:rsid w:val="0D4234FE"/>
    <w:rsid w:val="0D653006"/>
    <w:rsid w:val="0D682F64"/>
    <w:rsid w:val="0D6945E7"/>
    <w:rsid w:val="0D6D52EE"/>
    <w:rsid w:val="0D6E6B91"/>
    <w:rsid w:val="0D7511DD"/>
    <w:rsid w:val="0D7C07BE"/>
    <w:rsid w:val="0D802B6D"/>
    <w:rsid w:val="0D906017"/>
    <w:rsid w:val="0D935B07"/>
    <w:rsid w:val="0D987165"/>
    <w:rsid w:val="0D9A585D"/>
    <w:rsid w:val="0DA27AF9"/>
    <w:rsid w:val="0DA9532B"/>
    <w:rsid w:val="0DAB1D0B"/>
    <w:rsid w:val="0DBA7E53"/>
    <w:rsid w:val="0DBB1668"/>
    <w:rsid w:val="0DD95F82"/>
    <w:rsid w:val="0DDF2AFB"/>
    <w:rsid w:val="0DE545B5"/>
    <w:rsid w:val="0DF90060"/>
    <w:rsid w:val="0E1053AA"/>
    <w:rsid w:val="0E214EC1"/>
    <w:rsid w:val="0E2624D8"/>
    <w:rsid w:val="0E39131C"/>
    <w:rsid w:val="0E4E3E52"/>
    <w:rsid w:val="0E511C4A"/>
    <w:rsid w:val="0E5246BE"/>
    <w:rsid w:val="0E572FD9"/>
    <w:rsid w:val="0EA243A8"/>
    <w:rsid w:val="0EC20452"/>
    <w:rsid w:val="0EC75A69"/>
    <w:rsid w:val="0ED939EE"/>
    <w:rsid w:val="0EDF7D30"/>
    <w:rsid w:val="0EF10D38"/>
    <w:rsid w:val="0EF116BE"/>
    <w:rsid w:val="0F056591"/>
    <w:rsid w:val="0F114895"/>
    <w:rsid w:val="0F1F58A5"/>
    <w:rsid w:val="0F222B14"/>
    <w:rsid w:val="0F226083"/>
    <w:rsid w:val="0F296723"/>
    <w:rsid w:val="0F325B5E"/>
    <w:rsid w:val="0F4B48EC"/>
    <w:rsid w:val="0F587009"/>
    <w:rsid w:val="0F5D461F"/>
    <w:rsid w:val="0F5D63CD"/>
    <w:rsid w:val="0F655282"/>
    <w:rsid w:val="0F6B6D3C"/>
    <w:rsid w:val="0F736D8E"/>
    <w:rsid w:val="0F84392A"/>
    <w:rsid w:val="0FAA0D17"/>
    <w:rsid w:val="0FAE60DC"/>
    <w:rsid w:val="0FAE6C29"/>
    <w:rsid w:val="0FC93A62"/>
    <w:rsid w:val="0FD06B9F"/>
    <w:rsid w:val="0FD85A54"/>
    <w:rsid w:val="0FE916DA"/>
    <w:rsid w:val="0FF27310"/>
    <w:rsid w:val="0FF30ADF"/>
    <w:rsid w:val="0FFF1232"/>
    <w:rsid w:val="10065D7F"/>
    <w:rsid w:val="100827DD"/>
    <w:rsid w:val="10093E5F"/>
    <w:rsid w:val="10156CA8"/>
    <w:rsid w:val="102869DB"/>
    <w:rsid w:val="103449E0"/>
    <w:rsid w:val="103A5A3C"/>
    <w:rsid w:val="103C5FE2"/>
    <w:rsid w:val="104135F9"/>
    <w:rsid w:val="10437371"/>
    <w:rsid w:val="10561AFB"/>
    <w:rsid w:val="10693DB5"/>
    <w:rsid w:val="1084390D"/>
    <w:rsid w:val="10996901"/>
    <w:rsid w:val="109D3DC4"/>
    <w:rsid w:val="10A02163"/>
    <w:rsid w:val="10A11A07"/>
    <w:rsid w:val="10CC55B8"/>
    <w:rsid w:val="10CD1330"/>
    <w:rsid w:val="10CD7582"/>
    <w:rsid w:val="10D73F5D"/>
    <w:rsid w:val="10D821AF"/>
    <w:rsid w:val="10DE709A"/>
    <w:rsid w:val="11017E3D"/>
    <w:rsid w:val="110E3FF6"/>
    <w:rsid w:val="11103456"/>
    <w:rsid w:val="111D5839"/>
    <w:rsid w:val="11276C93"/>
    <w:rsid w:val="113226AB"/>
    <w:rsid w:val="1134315E"/>
    <w:rsid w:val="115B4B8E"/>
    <w:rsid w:val="117C7505"/>
    <w:rsid w:val="11826A24"/>
    <w:rsid w:val="11831137"/>
    <w:rsid w:val="11876BE2"/>
    <w:rsid w:val="118F65E6"/>
    <w:rsid w:val="11943BFC"/>
    <w:rsid w:val="1198193E"/>
    <w:rsid w:val="11A01074"/>
    <w:rsid w:val="11BF6ECB"/>
    <w:rsid w:val="11EE32E1"/>
    <w:rsid w:val="121A05A5"/>
    <w:rsid w:val="12386C7D"/>
    <w:rsid w:val="124745BC"/>
    <w:rsid w:val="12486EC1"/>
    <w:rsid w:val="12631F4C"/>
    <w:rsid w:val="126A32DB"/>
    <w:rsid w:val="128A572B"/>
    <w:rsid w:val="12902616"/>
    <w:rsid w:val="12970F7F"/>
    <w:rsid w:val="12AA14F5"/>
    <w:rsid w:val="12BD03DB"/>
    <w:rsid w:val="12CF1390"/>
    <w:rsid w:val="12D31BDC"/>
    <w:rsid w:val="12D80F36"/>
    <w:rsid w:val="12F232D0"/>
    <w:rsid w:val="13076D7C"/>
    <w:rsid w:val="130B533F"/>
    <w:rsid w:val="1319085D"/>
    <w:rsid w:val="1319260B"/>
    <w:rsid w:val="131B0513"/>
    <w:rsid w:val="13346AFF"/>
    <w:rsid w:val="13347445"/>
    <w:rsid w:val="133745A2"/>
    <w:rsid w:val="13394A5B"/>
    <w:rsid w:val="133B4C77"/>
    <w:rsid w:val="134C0770"/>
    <w:rsid w:val="1351449B"/>
    <w:rsid w:val="13517FF7"/>
    <w:rsid w:val="136917E4"/>
    <w:rsid w:val="136A10B9"/>
    <w:rsid w:val="137B1518"/>
    <w:rsid w:val="13840288"/>
    <w:rsid w:val="139D323C"/>
    <w:rsid w:val="139E1FDB"/>
    <w:rsid w:val="13AE71F7"/>
    <w:rsid w:val="13BD743A"/>
    <w:rsid w:val="13CC7360"/>
    <w:rsid w:val="13CE1647"/>
    <w:rsid w:val="13D33102"/>
    <w:rsid w:val="13E175CD"/>
    <w:rsid w:val="13E44F81"/>
    <w:rsid w:val="13E858DC"/>
    <w:rsid w:val="13ED41C3"/>
    <w:rsid w:val="13F07810"/>
    <w:rsid w:val="14136039"/>
    <w:rsid w:val="14224D88"/>
    <w:rsid w:val="14467430"/>
    <w:rsid w:val="144813FA"/>
    <w:rsid w:val="14577972"/>
    <w:rsid w:val="146B1B39"/>
    <w:rsid w:val="147C72F5"/>
    <w:rsid w:val="147D2032"/>
    <w:rsid w:val="14824196"/>
    <w:rsid w:val="14860363"/>
    <w:rsid w:val="14A26966"/>
    <w:rsid w:val="14A625C4"/>
    <w:rsid w:val="14B372C5"/>
    <w:rsid w:val="14B6684A"/>
    <w:rsid w:val="14BB5142"/>
    <w:rsid w:val="14BC1C9E"/>
    <w:rsid w:val="14EF5D19"/>
    <w:rsid w:val="14F74BCE"/>
    <w:rsid w:val="14FE7D0A"/>
    <w:rsid w:val="150C214B"/>
    <w:rsid w:val="151F196E"/>
    <w:rsid w:val="152A6D51"/>
    <w:rsid w:val="15307D47"/>
    <w:rsid w:val="153D6F1C"/>
    <w:rsid w:val="154052A5"/>
    <w:rsid w:val="154222ED"/>
    <w:rsid w:val="154428CD"/>
    <w:rsid w:val="1548367B"/>
    <w:rsid w:val="154D3F83"/>
    <w:rsid w:val="15542020"/>
    <w:rsid w:val="155E2E9F"/>
    <w:rsid w:val="156D5D3B"/>
    <w:rsid w:val="15802E15"/>
    <w:rsid w:val="15874B6C"/>
    <w:rsid w:val="159D6AD0"/>
    <w:rsid w:val="15A524B3"/>
    <w:rsid w:val="15A5462A"/>
    <w:rsid w:val="15BA3C4A"/>
    <w:rsid w:val="15C26F8A"/>
    <w:rsid w:val="15D4648A"/>
    <w:rsid w:val="15E47071"/>
    <w:rsid w:val="15F1786F"/>
    <w:rsid w:val="160752E5"/>
    <w:rsid w:val="160929F2"/>
    <w:rsid w:val="16233DC3"/>
    <w:rsid w:val="1626576B"/>
    <w:rsid w:val="163065E9"/>
    <w:rsid w:val="16443E43"/>
    <w:rsid w:val="1651030E"/>
    <w:rsid w:val="165247B2"/>
    <w:rsid w:val="166C5148"/>
    <w:rsid w:val="168E50BE"/>
    <w:rsid w:val="16A448E1"/>
    <w:rsid w:val="16B25250"/>
    <w:rsid w:val="16B54D41"/>
    <w:rsid w:val="16B965DF"/>
    <w:rsid w:val="16BA5EB3"/>
    <w:rsid w:val="16BE59A3"/>
    <w:rsid w:val="16C90EC2"/>
    <w:rsid w:val="16E318AE"/>
    <w:rsid w:val="16EC3324"/>
    <w:rsid w:val="16F13FCB"/>
    <w:rsid w:val="16FC64CC"/>
    <w:rsid w:val="170140C6"/>
    <w:rsid w:val="170B2BB3"/>
    <w:rsid w:val="170B3A64"/>
    <w:rsid w:val="17123F41"/>
    <w:rsid w:val="1718265C"/>
    <w:rsid w:val="17283764"/>
    <w:rsid w:val="17465999"/>
    <w:rsid w:val="17626C76"/>
    <w:rsid w:val="17680005"/>
    <w:rsid w:val="177A18AE"/>
    <w:rsid w:val="177B159F"/>
    <w:rsid w:val="178937FF"/>
    <w:rsid w:val="17912E28"/>
    <w:rsid w:val="17A4103D"/>
    <w:rsid w:val="17B2302E"/>
    <w:rsid w:val="17C2027E"/>
    <w:rsid w:val="17CA481C"/>
    <w:rsid w:val="17D64F6F"/>
    <w:rsid w:val="17FE270A"/>
    <w:rsid w:val="181810E3"/>
    <w:rsid w:val="181A12FF"/>
    <w:rsid w:val="18251A52"/>
    <w:rsid w:val="18297794"/>
    <w:rsid w:val="183A54FD"/>
    <w:rsid w:val="183F48C2"/>
    <w:rsid w:val="18493992"/>
    <w:rsid w:val="184D38AB"/>
    <w:rsid w:val="18512C72"/>
    <w:rsid w:val="18CB43A7"/>
    <w:rsid w:val="18DA45EA"/>
    <w:rsid w:val="18F733EE"/>
    <w:rsid w:val="191330C1"/>
    <w:rsid w:val="19330A20"/>
    <w:rsid w:val="19375EE1"/>
    <w:rsid w:val="193C24A9"/>
    <w:rsid w:val="193E101D"/>
    <w:rsid w:val="193E2DCB"/>
    <w:rsid w:val="194303E2"/>
    <w:rsid w:val="194751DF"/>
    <w:rsid w:val="19540841"/>
    <w:rsid w:val="195E6FCA"/>
    <w:rsid w:val="196071E6"/>
    <w:rsid w:val="196A3BC0"/>
    <w:rsid w:val="197B401F"/>
    <w:rsid w:val="19882298"/>
    <w:rsid w:val="1988673C"/>
    <w:rsid w:val="199019E9"/>
    <w:rsid w:val="19A03A86"/>
    <w:rsid w:val="19B412DF"/>
    <w:rsid w:val="19B46ECE"/>
    <w:rsid w:val="19D07AE3"/>
    <w:rsid w:val="19D76D7C"/>
    <w:rsid w:val="19DA53C4"/>
    <w:rsid w:val="19E3560C"/>
    <w:rsid w:val="1A030A7D"/>
    <w:rsid w:val="1A103D32"/>
    <w:rsid w:val="1A1F0E4F"/>
    <w:rsid w:val="1A495ECC"/>
    <w:rsid w:val="1A5F2FF9"/>
    <w:rsid w:val="1A7A1C08"/>
    <w:rsid w:val="1A7D7923"/>
    <w:rsid w:val="1A864A2A"/>
    <w:rsid w:val="1A9609E5"/>
    <w:rsid w:val="1A9651EB"/>
    <w:rsid w:val="1AAD645B"/>
    <w:rsid w:val="1AB64489"/>
    <w:rsid w:val="1AD6629D"/>
    <w:rsid w:val="1ADF05DE"/>
    <w:rsid w:val="1AE479A2"/>
    <w:rsid w:val="1AF851FC"/>
    <w:rsid w:val="1B0D514B"/>
    <w:rsid w:val="1B0F0EC3"/>
    <w:rsid w:val="1B1262BE"/>
    <w:rsid w:val="1B18764C"/>
    <w:rsid w:val="1B1D5B7A"/>
    <w:rsid w:val="1B28120B"/>
    <w:rsid w:val="1B2D30F7"/>
    <w:rsid w:val="1B397CEE"/>
    <w:rsid w:val="1B485C9B"/>
    <w:rsid w:val="1B4E0BD0"/>
    <w:rsid w:val="1B5508A0"/>
    <w:rsid w:val="1B740D26"/>
    <w:rsid w:val="1B7C407F"/>
    <w:rsid w:val="1B8160A5"/>
    <w:rsid w:val="1B860A5A"/>
    <w:rsid w:val="1B9211AC"/>
    <w:rsid w:val="1B9C51FF"/>
    <w:rsid w:val="1BA50EE0"/>
    <w:rsid w:val="1BAF693C"/>
    <w:rsid w:val="1BFB1448"/>
    <w:rsid w:val="1C0C0F5F"/>
    <w:rsid w:val="1C166281"/>
    <w:rsid w:val="1C3B7A96"/>
    <w:rsid w:val="1C7134B8"/>
    <w:rsid w:val="1C961858"/>
    <w:rsid w:val="1CA05B4B"/>
    <w:rsid w:val="1CA40525"/>
    <w:rsid w:val="1CCB706C"/>
    <w:rsid w:val="1CD8736B"/>
    <w:rsid w:val="1CF1573F"/>
    <w:rsid w:val="1CFE7B08"/>
    <w:rsid w:val="1D01483C"/>
    <w:rsid w:val="1D0165EA"/>
    <w:rsid w:val="1D2D3883"/>
    <w:rsid w:val="1D37200B"/>
    <w:rsid w:val="1D473EC7"/>
    <w:rsid w:val="1D556936"/>
    <w:rsid w:val="1D5571B0"/>
    <w:rsid w:val="1D632E00"/>
    <w:rsid w:val="1D6B6D44"/>
    <w:rsid w:val="1D706292"/>
    <w:rsid w:val="1D725739"/>
    <w:rsid w:val="1D7B50F8"/>
    <w:rsid w:val="1D80267E"/>
    <w:rsid w:val="1D8334A3"/>
    <w:rsid w:val="1D8E2134"/>
    <w:rsid w:val="1DA04055"/>
    <w:rsid w:val="1DAA6C81"/>
    <w:rsid w:val="1DB01DBE"/>
    <w:rsid w:val="1E1B7B7F"/>
    <w:rsid w:val="1E1D38F7"/>
    <w:rsid w:val="1E305C80"/>
    <w:rsid w:val="1E340C41"/>
    <w:rsid w:val="1E57048B"/>
    <w:rsid w:val="1E696D2A"/>
    <w:rsid w:val="1E6B3BCA"/>
    <w:rsid w:val="1E74103D"/>
    <w:rsid w:val="1E7E1EBC"/>
    <w:rsid w:val="1E804ED9"/>
    <w:rsid w:val="1E984D2C"/>
    <w:rsid w:val="1EA71413"/>
    <w:rsid w:val="1EB10E48"/>
    <w:rsid w:val="1EC2624D"/>
    <w:rsid w:val="1EC5043C"/>
    <w:rsid w:val="1EC73863"/>
    <w:rsid w:val="1EF67CA4"/>
    <w:rsid w:val="1F3A2287"/>
    <w:rsid w:val="1F505606"/>
    <w:rsid w:val="1F545F03"/>
    <w:rsid w:val="1F737547"/>
    <w:rsid w:val="1F833C2E"/>
    <w:rsid w:val="1F9C6BC4"/>
    <w:rsid w:val="1FAC55B4"/>
    <w:rsid w:val="1FBB7EFD"/>
    <w:rsid w:val="1FBF443B"/>
    <w:rsid w:val="1FC009DE"/>
    <w:rsid w:val="1FD147C1"/>
    <w:rsid w:val="1FDF7E41"/>
    <w:rsid w:val="1FE30229"/>
    <w:rsid w:val="1FE551D6"/>
    <w:rsid w:val="200603BB"/>
    <w:rsid w:val="20084133"/>
    <w:rsid w:val="20136211"/>
    <w:rsid w:val="202B4087"/>
    <w:rsid w:val="202C4905"/>
    <w:rsid w:val="20301BA3"/>
    <w:rsid w:val="203D202F"/>
    <w:rsid w:val="20482782"/>
    <w:rsid w:val="20566C4C"/>
    <w:rsid w:val="206375BB"/>
    <w:rsid w:val="206452BC"/>
    <w:rsid w:val="2068364E"/>
    <w:rsid w:val="20684BD2"/>
    <w:rsid w:val="20686980"/>
    <w:rsid w:val="207A6C37"/>
    <w:rsid w:val="208A4B48"/>
    <w:rsid w:val="20AA51EA"/>
    <w:rsid w:val="20BE3F69"/>
    <w:rsid w:val="20C46457"/>
    <w:rsid w:val="20C55B80"/>
    <w:rsid w:val="20C91B14"/>
    <w:rsid w:val="20D44015"/>
    <w:rsid w:val="20DD111C"/>
    <w:rsid w:val="20E34258"/>
    <w:rsid w:val="20E57FD0"/>
    <w:rsid w:val="20E701EC"/>
    <w:rsid w:val="20FB5A46"/>
    <w:rsid w:val="2104775E"/>
    <w:rsid w:val="2109560A"/>
    <w:rsid w:val="21117017"/>
    <w:rsid w:val="211D0A6D"/>
    <w:rsid w:val="211D776A"/>
    <w:rsid w:val="211E4218"/>
    <w:rsid w:val="2130749E"/>
    <w:rsid w:val="213204A0"/>
    <w:rsid w:val="215A6C10"/>
    <w:rsid w:val="218D2B42"/>
    <w:rsid w:val="219C67FF"/>
    <w:rsid w:val="21B06830"/>
    <w:rsid w:val="21B43475"/>
    <w:rsid w:val="21DA38AD"/>
    <w:rsid w:val="21E260B9"/>
    <w:rsid w:val="21E452D3"/>
    <w:rsid w:val="21F650AC"/>
    <w:rsid w:val="22031056"/>
    <w:rsid w:val="220628F4"/>
    <w:rsid w:val="221548E5"/>
    <w:rsid w:val="2217065D"/>
    <w:rsid w:val="22235254"/>
    <w:rsid w:val="223E208E"/>
    <w:rsid w:val="22456F79"/>
    <w:rsid w:val="2247085D"/>
    <w:rsid w:val="225B2C40"/>
    <w:rsid w:val="225B679C"/>
    <w:rsid w:val="227E692E"/>
    <w:rsid w:val="22816B17"/>
    <w:rsid w:val="228660B6"/>
    <w:rsid w:val="22873FB4"/>
    <w:rsid w:val="228844FC"/>
    <w:rsid w:val="229B303C"/>
    <w:rsid w:val="22C81958"/>
    <w:rsid w:val="22CD6F6E"/>
    <w:rsid w:val="22DD4148"/>
    <w:rsid w:val="232C638A"/>
    <w:rsid w:val="232E2103"/>
    <w:rsid w:val="235A4CA6"/>
    <w:rsid w:val="236E0751"/>
    <w:rsid w:val="237B0F4A"/>
    <w:rsid w:val="23A41016"/>
    <w:rsid w:val="23C640E9"/>
    <w:rsid w:val="23C93BD9"/>
    <w:rsid w:val="23CD71CE"/>
    <w:rsid w:val="23DA7B95"/>
    <w:rsid w:val="23E26F0C"/>
    <w:rsid w:val="23E63F0A"/>
    <w:rsid w:val="23EF0DD0"/>
    <w:rsid w:val="24082954"/>
    <w:rsid w:val="24083164"/>
    <w:rsid w:val="240D7F6A"/>
    <w:rsid w:val="241850CF"/>
    <w:rsid w:val="241E3F25"/>
    <w:rsid w:val="2420605F"/>
    <w:rsid w:val="24217E4E"/>
    <w:rsid w:val="24303C58"/>
    <w:rsid w:val="244905A6"/>
    <w:rsid w:val="247D585E"/>
    <w:rsid w:val="24857B00"/>
    <w:rsid w:val="24930266"/>
    <w:rsid w:val="24A361D8"/>
    <w:rsid w:val="24AB588C"/>
    <w:rsid w:val="24BD373E"/>
    <w:rsid w:val="24DF4AF2"/>
    <w:rsid w:val="24E76E48"/>
    <w:rsid w:val="250F187D"/>
    <w:rsid w:val="25207829"/>
    <w:rsid w:val="253B59B4"/>
    <w:rsid w:val="25421E95"/>
    <w:rsid w:val="2560785E"/>
    <w:rsid w:val="258A1146"/>
    <w:rsid w:val="25AC5561"/>
    <w:rsid w:val="25B06DFF"/>
    <w:rsid w:val="25CC175F"/>
    <w:rsid w:val="25D725DE"/>
    <w:rsid w:val="25E62821"/>
    <w:rsid w:val="25E90563"/>
    <w:rsid w:val="2609650F"/>
    <w:rsid w:val="260C113A"/>
    <w:rsid w:val="260E1D77"/>
    <w:rsid w:val="26127ABA"/>
    <w:rsid w:val="261F0520"/>
    <w:rsid w:val="2624216D"/>
    <w:rsid w:val="26263565"/>
    <w:rsid w:val="262E37BF"/>
    <w:rsid w:val="26377520"/>
    <w:rsid w:val="264F6618"/>
    <w:rsid w:val="265744C7"/>
    <w:rsid w:val="2669218B"/>
    <w:rsid w:val="2681079B"/>
    <w:rsid w:val="26A5448A"/>
    <w:rsid w:val="26A561C0"/>
    <w:rsid w:val="26A76454"/>
    <w:rsid w:val="26AD3924"/>
    <w:rsid w:val="26C053DF"/>
    <w:rsid w:val="26C055ED"/>
    <w:rsid w:val="26D0702D"/>
    <w:rsid w:val="26D46B1D"/>
    <w:rsid w:val="26D55CAD"/>
    <w:rsid w:val="26D905D7"/>
    <w:rsid w:val="26DB0755"/>
    <w:rsid w:val="26DD1D72"/>
    <w:rsid w:val="26DD58C5"/>
    <w:rsid w:val="26E620ED"/>
    <w:rsid w:val="26E66F3A"/>
    <w:rsid w:val="26EA6341"/>
    <w:rsid w:val="26EE4083"/>
    <w:rsid w:val="26F70A5D"/>
    <w:rsid w:val="270F7B55"/>
    <w:rsid w:val="272C4BAB"/>
    <w:rsid w:val="27343A60"/>
    <w:rsid w:val="273448E2"/>
    <w:rsid w:val="273A72C8"/>
    <w:rsid w:val="27421CD9"/>
    <w:rsid w:val="27441EF5"/>
    <w:rsid w:val="275259B1"/>
    <w:rsid w:val="2758774E"/>
    <w:rsid w:val="276709BA"/>
    <w:rsid w:val="2767173F"/>
    <w:rsid w:val="27764078"/>
    <w:rsid w:val="27767BD4"/>
    <w:rsid w:val="27A8648E"/>
    <w:rsid w:val="27B0758A"/>
    <w:rsid w:val="27BA52C6"/>
    <w:rsid w:val="27BD1CA7"/>
    <w:rsid w:val="27C8417C"/>
    <w:rsid w:val="27E15995"/>
    <w:rsid w:val="27FA25B3"/>
    <w:rsid w:val="2801645C"/>
    <w:rsid w:val="28041684"/>
    <w:rsid w:val="28081174"/>
    <w:rsid w:val="281624B1"/>
    <w:rsid w:val="2824520B"/>
    <w:rsid w:val="2835183D"/>
    <w:rsid w:val="28410435"/>
    <w:rsid w:val="28552718"/>
    <w:rsid w:val="28700AC7"/>
    <w:rsid w:val="28795BCE"/>
    <w:rsid w:val="28877790"/>
    <w:rsid w:val="289B3C41"/>
    <w:rsid w:val="28B0060B"/>
    <w:rsid w:val="28B27332"/>
    <w:rsid w:val="28D42E04"/>
    <w:rsid w:val="28D7376B"/>
    <w:rsid w:val="28E76FDC"/>
    <w:rsid w:val="28EF7C3E"/>
    <w:rsid w:val="28F811E9"/>
    <w:rsid w:val="290B259E"/>
    <w:rsid w:val="29115E06"/>
    <w:rsid w:val="291476A5"/>
    <w:rsid w:val="29360E37"/>
    <w:rsid w:val="296C799C"/>
    <w:rsid w:val="297C34E8"/>
    <w:rsid w:val="298011DE"/>
    <w:rsid w:val="29842E57"/>
    <w:rsid w:val="2999695D"/>
    <w:rsid w:val="299B6018"/>
    <w:rsid w:val="29B80978"/>
    <w:rsid w:val="29C63095"/>
    <w:rsid w:val="29C767F6"/>
    <w:rsid w:val="29DA08EE"/>
    <w:rsid w:val="29DF67D6"/>
    <w:rsid w:val="29E31B12"/>
    <w:rsid w:val="29F85218"/>
    <w:rsid w:val="2A0B6CFA"/>
    <w:rsid w:val="2A0C143D"/>
    <w:rsid w:val="2A2924FF"/>
    <w:rsid w:val="2A2A4D60"/>
    <w:rsid w:val="2A30050E"/>
    <w:rsid w:val="2A351FC9"/>
    <w:rsid w:val="2A563C52"/>
    <w:rsid w:val="2A6D1762"/>
    <w:rsid w:val="2A97233B"/>
    <w:rsid w:val="2AA37CE8"/>
    <w:rsid w:val="2AAA4765"/>
    <w:rsid w:val="2AB23619"/>
    <w:rsid w:val="2ABC4498"/>
    <w:rsid w:val="2AD90BA6"/>
    <w:rsid w:val="2AE13EFE"/>
    <w:rsid w:val="2AE337D3"/>
    <w:rsid w:val="2AF33AB5"/>
    <w:rsid w:val="2AF754D0"/>
    <w:rsid w:val="2AF7727E"/>
    <w:rsid w:val="2AFC2671"/>
    <w:rsid w:val="2AFE23BA"/>
    <w:rsid w:val="2B033E75"/>
    <w:rsid w:val="2B2F07C6"/>
    <w:rsid w:val="2B3E783B"/>
    <w:rsid w:val="2B523154"/>
    <w:rsid w:val="2B595843"/>
    <w:rsid w:val="2B612949"/>
    <w:rsid w:val="2B8A7979"/>
    <w:rsid w:val="2B8C58B9"/>
    <w:rsid w:val="2BAC1E16"/>
    <w:rsid w:val="2BB5659B"/>
    <w:rsid w:val="2BCC2593"/>
    <w:rsid w:val="2BCC505D"/>
    <w:rsid w:val="2BCF1FA9"/>
    <w:rsid w:val="2BD61589"/>
    <w:rsid w:val="2BE23A8A"/>
    <w:rsid w:val="2BE94E19"/>
    <w:rsid w:val="2C19675C"/>
    <w:rsid w:val="2C200535"/>
    <w:rsid w:val="2C245E51"/>
    <w:rsid w:val="2C26606D"/>
    <w:rsid w:val="2C3C763E"/>
    <w:rsid w:val="2C4024A7"/>
    <w:rsid w:val="2C586E0A"/>
    <w:rsid w:val="2C5C77A6"/>
    <w:rsid w:val="2C6667BF"/>
    <w:rsid w:val="2C762E60"/>
    <w:rsid w:val="2C865298"/>
    <w:rsid w:val="2C875551"/>
    <w:rsid w:val="2CA156F3"/>
    <w:rsid w:val="2CA51C3B"/>
    <w:rsid w:val="2CB13D67"/>
    <w:rsid w:val="2CB90C8F"/>
    <w:rsid w:val="2CBF7EDC"/>
    <w:rsid w:val="2CD55C01"/>
    <w:rsid w:val="2CD93381"/>
    <w:rsid w:val="2CEE645F"/>
    <w:rsid w:val="2CF00429"/>
    <w:rsid w:val="2CF32A7C"/>
    <w:rsid w:val="2CF94F11"/>
    <w:rsid w:val="2D0318B6"/>
    <w:rsid w:val="2D214A86"/>
    <w:rsid w:val="2D261AFF"/>
    <w:rsid w:val="2D26209C"/>
    <w:rsid w:val="2D401274"/>
    <w:rsid w:val="2D6E2A94"/>
    <w:rsid w:val="2D8F42CD"/>
    <w:rsid w:val="2D910C3C"/>
    <w:rsid w:val="2D971301"/>
    <w:rsid w:val="2DA21723"/>
    <w:rsid w:val="2DBB3A91"/>
    <w:rsid w:val="2DC0604D"/>
    <w:rsid w:val="2DE7182C"/>
    <w:rsid w:val="2DE921A1"/>
    <w:rsid w:val="2DEA52E6"/>
    <w:rsid w:val="2DEB0874"/>
    <w:rsid w:val="2DF06AD7"/>
    <w:rsid w:val="2DF83A39"/>
    <w:rsid w:val="2E187C37"/>
    <w:rsid w:val="2E2E6C70"/>
    <w:rsid w:val="2E4D76FE"/>
    <w:rsid w:val="2E61338C"/>
    <w:rsid w:val="2E666BF4"/>
    <w:rsid w:val="2E684462"/>
    <w:rsid w:val="2E6E6CFB"/>
    <w:rsid w:val="2E717347"/>
    <w:rsid w:val="2E7C7FCC"/>
    <w:rsid w:val="2EA555C2"/>
    <w:rsid w:val="2EC63193"/>
    <w:rsid w:val="2ECE5CF5"/>
    <w:rsid w:val="2ED10293"/>
    <w:rsid w:val="2EE30245"/>
    <w:rsid w:val="2F021969"/>
    <w:rsid w:val="2F065CE2"/>
    <w:rsid w:val="2F186FF1"/>
    <w:rsid w:val="2F3B4A65"/>
    <w:rsid w:val="2F3C6C58"/>
    <w:rsid w:val="2F436F36"/>
    <w:rsid w:val="2F5051AF"/>
    <w:rsid w:val="2F5E167A"/>
    <w:rsid w:val="2F6F1AD9"/>
    <w:rsid w:val="2F6F7D2B"/>
    <w:rsid w:val="2F715851"/>
    <w:rsid w:val="2F9432ED"/>
    <w:rsid w:val="2FA1311B"/>
    <w:rsid w:val="2FA84FEB"/>
    <w:rsid w:val="2FBD76A3"/>
    <w:rsid w:val="2FBE65BC"/>
    <w:rsid w:val="2FC260AC"/>
    <w:rsid w:val="2FC31E25"/>
    <w:rsid w:val="2FC516F9"/>
    <w:rsid w:val="2FD656B4"/>
    <w:rsid w:val="2FD97742"/>
    <w:rsid w:val="2FEC3129"/>
    <w:rsid w:val="2FF21573"/>
    <w:rsid w:val="2FFE71FF"/>
    <w:rsid w:val="30073ABF"/>
    <w:rsid w:val="305C66DF"/>
    <w:rsid w:val="30971D75"/>
    <w:rsid w:val="30A25EDE"/>
    <w:rsid w:val="30A92DC8"/>
    <w:rsid w:val="30B4367E"/>
    <w:rsid w:val="30B874AF"/>
    <w:rsid w:val="30BF25EC"/>
    <w:rsid w:val="30C70FEC"/>
    <w:rsid w:val="30D065A7"/>
    <w:rsid w:val="30E73954"/>
    <w:rsid w:val="30EE1FA4"/>
    <w:rsid w:val="30EE409A"/>
    <w:rsid w:val="31012C04"/>
    <w:rsid w:val="31083F93"/>
    <w:rsid w:val="310F1477"/>
    <w:rsid w:val="311961A0"/>
    <w:rsid w:val="312132A7"/>
    <w:rsid w:val="31280C5D"/>
    <w:rsid w:val="313B6AF7"/>
    <w:rsid w:val="3167608D"/>
    <w:rsid w:val="316E7B6E"/>
    <w:rsid w:val="31794E91"/>
    <w:rsid w:val="317C228B"/>
    <w:rsid w:val="318F1FBE"/>
    <w:rsid w:val="31B934DF"/>
    <w:rsid w:val="31C456B1"/>
    <w:rsid w:val="31CA73E8"/>
    <w:rsid w:val="31E3230A"/>
    <w:rsid w:val="31EF0CAF"/>
    <w:rsid w:val="32155A2F"/>
    <w:rsid w:val="322070BA"/>
    <w:rsid w:val="322A60BA"/>
    <w:rsid w:val="32326DEE"/>
    <w:rsid w:val="32362DE4"/>
    <w:rsid w:val="324F174E"/>
    <w:rsid w:val="32607DFF"/>
    <w:rsid w:val="326660F9"/>
    <w:rsid w:val="327E4A5B"/>
    <w:rsid w:val="32891103"/>
    <w:rsid w:val="329D695D"/>
    <w:rsid w:val="32BD6FFF"/>
    <w:rsid w:val="32D138F0"/>
    <w:rsid w:val="32DC7485"/>
    <w:rsid w:val="32EA03C0"/>
    <w:rsid w:val="32EA4287"/>
    <w:rsid w:val="331035D3"/>
    <w:rsid w:val="331210F9"/>
    <w:rsid w:val="332826CA"/>
    <w:rsid w:val="3341553A"/>
    <w:rsid w:val="334212B2"/>
    <w:rsid w:val="334A74A8"/>
    <w:rsid w:val="337C6572"/>
    <w:rsid w:val="33830002"/>
    <w:rsid w:val="338673F1"/>
    <w:rsid w:val="338866DE"/>
    <w:rsid w:val="3390201E"/>
    <w:rsid w:val="33AE06F6"/>
    <w:rsid w:val="33B026C0"/>
    <w:rsid w:val="33B201E6"/>
    <w:rsid w:val="33B2468A"/>
    <w:rsid w:val="33BE4DDD"/>
    <w:rsid w:val="33CB12A8"/>
    <w:rsid w:val="33D939C5"/>
    <w:rsid w:val="33E52369"/>
    <w:rsid w:val="33E70452"/>
    <w:rsid w:val="33ED56C2"/>
    <w:rsid w:val="341D49C0"/>
    <w:rsid w:val="341F7742"/>
    <w:rsid w:val="34491F6E"/>
    <w:rsid w:val="344B21A4"/>
    <w:rsid w:val="344C0532"/>
    <w:rsid w:val="34592D57"/>
    <w:rsid w:val="345C0152"/>
    <w:rsid w:val="34692F9B"/>
    <w:rsid w:val="34727975"/>
    <w:rsid w:val="34825E0A"/>
    <w:rsid w:val="348668D6"/>
    <w:rsid w:val="34897199"/>
    <w:rsid w:val="348F0527"/>
    <w:rsid w:val="34915E4D"/>
    <w:rsid w:val="34930017"/>
    <w:rsid w:val="349B3370"/>
    <w:rsid w:val="34B12734"/>
    <w:rsid w:val="34BA5BCC"/>
    <w:rsid w:val="34BD621C"/>
    <w:rsid w:val="34BF705E"/>
    <w:rsid w:val="34C24459"/>
    <w:rsid w:val="34D025DB"/>
    <w:rsid w:val="34D16D92"/>
    <w:rsid w:val="34D4418C"/>
    <w:rsid w:val="34DA5C46"/>
    <w:rsid w:val="34E70363"/>
    <w:rsid w:val="34EC7728"/>
    <w:rsid w:val="34EE16F2"/>
    <w:rsid w:val="34F73B2A"/>
    <w:rsid w:val="351851E8"/>
    <w:rsid w:val="35234FE0"/>
    <w:rsid w:val="352944D8"/>
    <w:rsid w:val="35405771"/>
    <w:rsid w:val="354663FC"/>
    <w:rsid w:val="354B6B44"/>
    <w:rsid w:val="35551771"/>
    <w:rsid w:val="3562481D"/>
    <w:rsid w:val="35631BA2"/>
    <w:rsid w:val="356A42EB"/>
    <w:rsid w:val="35935DF5"/>
    <w:rsid w:val="359D37E4"/>
    <w:rsid w:val="35A86FA2"/>
    <w:rsid w:val="35B673A3"/>
    <w:rsid w:val="35C10BB4"/>
    <w:rsid w:val="35C16CFA"/>
    <w:rsid w:val="35DA1C76"/>
    <w:rsid w:val="36034D29"/>
    <w:rsid w:val="360A024A"/>
    <w:rsid w:val="362370A7"/>
    <w:rsid w:val="36266C69"/>
    <w:rsid w:val="36281DFD"/>
    <w:rsid w:val="36415851"/>
    <w:rsid w:val="36421CF5"/>
    <w:rsid w:val="36545F5B"/>
    <w:rsid w:val="36552292"/>
    <w:rsid w:val="365F19E6"/>
    <w:rsid w:val="36B349A1"/>
    <w:rsid w:val="36B67FED"/>
    <w:rsid w:val="36BA60D8"/>
    <w:rsid w:val="36C00E6C"/>
    <w:rsid w:val="36CB7677"/>
    <w:rsid w:val="36DB3EF8"/>
    <w:rsid w:val="36EE7787"/>
    <w:rsid w:val="36F95ADC"/>
    <w:rsid w:val="36FF1994"/>
    <w:rsid w:val="37025E6D"/>
    <w:rsid w:val="370C641A"/>
    <w:rsid w:val="37386C54"/>
    <w:rsid w:val="374049B2"/>
    <w:rsid w:val="3748158D"/>
    <w:rsid w:val="37607F59"/>
    <w:rsid w:val="37734130"/>
    <w:rsid w:val="37857701"/>
    <w:rsid w:val="378D51F2"/>
    <w:rsid w:val="37936580"/>
    <w:rsid w:val="37A75B88"/>
    <w:rsid w:val="37AD17E4"/>
    <w:rsid w:val="37B451F4"/>
    <w:rsid w:val="37B56F1A"/>
    <w:rsid w:val="37D03331"/>
    <w:rsid w:val="37D44BCF"/>
    <w:rsid w:val="37D87655"/>
    <w:rsid w:val="380156B4"/>
    <w:rsid w:val="383E029A"/>
    <w:rsid w:val="384B0D26"/>
    <w:rsid w:val="386E2DF5"/>
    <w:rsid w:val="386E3E1F"/>
    <w:rsid w:val="387168C2"/>
    <w:rsid w:val="38877E93"/>
    <w:rsid w:val="38883C0B"/>
    <w:rsid w:val="388C7E77"/>
    <w:rsid w:val="388D4D7E"/>
    <w:rsid w:val="38926838"/>
    <w:rsid w:val="38934A8A"/>
    <w:rsid w:val="38AE3672"/>
    <w:rsid w:val="38B95B73"/>
    <w:rsid w:val="38C04D73"/>
    <w:rsid w:val="38D86941"/>
    <w:rsid w:val="38E30E42"/>
    <w:rsid w:val="38EA21D0"/>
    <w:rsid w:val="38EF5A38"/>
    <w:rsid w:val="38F35173"/>
    <w:rsid w:val="38F4304F"/>
    <w:rsid w:val="39027EFE"/>
    <w:rsid w:val="39225E0E"/>
    <w:rsid w:val="39250466"/>
    <w:rsid w:val="392E6561"/>
    <w:rsid w:val="3962620A"/>
    <w:rsid w:val="39672100"/>
    <w:rsid w:val="398264EB"/>
    <w:rsid w:val="39836BEC"/>
    <w:rsid w:val="3987309A"/>
    <w:rsid w:val="398919E9"/>
    <w:rsid w:val="398D26F5"/>
    <w:rsid w:val="398E05B1"/>
    <w:rsid w:val="39B26C5B"/>
    <w:rsid w:val="39D43DF0"/>
    <w:rsid w:val="39F23A32"/>
    <w:rsid w:val="39F552D0"/>
    <w:rsid w:val="3A013C75"/>
    <w:rsid w:val="3A03191D"/>
    <w:rsid w:val="3A0A0D7C"/>
    <w:rsid w:val="3A0C77AD"/>
    <w:rsid w:val="3A1B7437"/>
    <w:rsid w:val="3A1C0AAF"/>
    <w:rsid w:val="3A1F40FB"/>
    <w:rsid w:val="3A2B0E33"/>
    <w:rsid w:val="3A2D4A6A"/>
    <w:rsid w:val="3A6755D2"/>
    <w:rsid w:val="3A705338"/>
    <w:rsid w:val="3A88330C"/>
    <w:rsid w:val="3A8A5A19"/>
    <w:rsid w:val="3A937F88"/>
    <w:rsid w:val="3A96260F"/>
    <w:rsid w:val="3A9B19D4"/>
    <w:rsid w:val="3AD061D5"/>
    <w:rsid w:val="3AD62A0C"/>
    <w:rsid w:val="3ADB15FE"/>
    <w:rsid w:val="3ADE7B13"/>
    <w:rsid w:val="3B003F2D"/>
    <w:rsid w:val="3B0532F1"/>
    <w:rsid w:val="3B0F23C2"/>
    <w:rsid w:val="3B185EF0"/>
    <w:rsid w:val="3B28022C"/>
    <w:rsid w:val="3B365BA1"/>
    <w:rsid w:val="3B375EE6"/>
    <w:rsid w:val="3B380EFD"/>
    <w:rsid w:val="3B3F2CA7"/>
    <w:rsid w:val="3B4A51A8"/>
    <w:rsid w:val="3B6C3370"/>
    <w:rsid w:val="3B742225"/>
    <w:rsid w:val="3B8E778B"/>
    <w:rsid w:val="3B9A1C8B"/>
    <w:rsid w:val="3BA448B8"/>
    <w:rsid w:val="3BD346EF"/>
    <w:rsid w:val="3BE64ED1"/>
    <w:rsid w:val="3BF25D57"/>
    <w:rsid w:val="3C073006"/>
    <w:rsid w:val="3C183F8D"/>
    <w:rsid w:val="3C2E6878"/>
    <w:rsid w:val="3C355E58"/>
    <w:rsid w:val="3C36625B"/>
    <w:rsid w:val="3C37572C"/>
    <w:rsid w:val="3C3A346E"/>
    <w:rsid w:val="3C3C0F95"/>
    <w:rsid w:val="3C3F2833"/>
    <w:rsid w:val="3C5A64FA"/>
    <w:rsid w:val="3C6D73A0"/>
    <w:rsid w:val="3C720E5A"/>
    <w:rsid w:val="3C7C3A87"/>
    <w:rsid w:val="3C8A7D35"/>
    <w:rsid w:val="3CA408E8"/>
    <w:rsid w:val="3CA8662A"/>
    <w:rsid w:val="3CC571DC"/>
    <w:rsid w:val="3CC66207"/>
    <w:rsid w:val="3CD54360"/>
    <w:rsid w:val="3CDB671C"/>
    <w:rsid w:val="3D115F7D"/>
    <w:rsid w:val="3D1C4922"/>
    <w:rsid w:val="3D1D0DC6"/>
    <w:rsid w:val="3D2C5F0E"/>
    <w:rsid w:val="3D385C00"/>
    <w:rsid w:val="3D510A70"/>
    <w:rsid w:val="3D5C644F"/>
    <w:rsid w:val="3D5D11C3"/>
    <w:rsid w:val="3D633667"/>
    <w:rsid w:val="3D7A7FC6"/>
    <w:rsid w:val="3D803103"/>
    <w:rsid w:val="3D8628AB"/>
    <w:rsid w:val="3D880131"/>
    <w:rsid w:val="3D8D4BD2"/>
    <w:rsid w:val="3D960B78"/>
    <w:rsid w:val="3D9975E2"/>
    <w:rsid w:val="3DA70690"/>
    <w:rsid w:val="3DBF59D9"/>
    <w:rsid w:val="3DC6320C"/>
    <w:rsid w:val="3DC94AAA"/>
    <w:rsid w:val="3DDD6FC1"/>
    <w:rsid w:val="3DE12C05"/>
    <w:rsid w:val="3DEE759F"/>
    <w:rsid w:val="3DFA2EB5"/>
    <w:rsid w:val="3DFA4C63"/>
    <w:rsid w:val="3E047890"/>
    <w:rsid w:val="3E0F6DB6"/>
    <w:rsid w:val="3E1D4DF6"/>
    <w:rsid w:val="3E344E11"/>
    <w:rsid w:val="3E4460BF"/>
    <w:rsid w:val="3E4D1237"/>
    <w:rsid w:val="3E573195"/>
    <w:rsid w:val="3E611186"/>
    <w:rsid w:val="3E720C9E"/>
    <w:rsid w:val="3E79027E"/>
    <w:rsid w:val="3E8F4FD7"/>
    <w:rsid w:val="3E970704"/>
    <w:rsid w:val="3E9C5D1B"/>
    <w:rsid w:val="3EB01141"/>
    <w:rsid w:val="3EC534C3"/>
    <w:rsid w:val="3EC84D62"/>
    <w:rsid w:val="3ECF7E9E"/>
    <w:rsid w:val="3EDC25BB"/>
    <w:rsid w:val="3EE576C2"/>
    <w:rsid w:val="3EEF22EE"/>
    <w:rsid w:val="3F0062A9"/>
    <w:rsid w:val="3F010273"/>
    <w:rsid w:val="3F171845"/>
    <w:rsid w:val="3F283A52"/>
    <w:rsid w:val="3F285800"/>
    <w:rsid w:val="3F6F342F"/>
    <w:rsid w:val="3F775573"/>
    <w:rsid w:val="3FA56E51"/>
    <w:rsid w:val="3FC25C55"/>
    <w:rsid w:val="3FC62645"/>
    <w:rsid w:val="3FCB2D5B"/>
    <w:rsid w:val="3FCF2120"/>
    <w:rsid w:val="3FDD1FEF"/>
    <w:rsid w:val="3FEA69B4"/>
    <w:rsid w:val="400A4965"/>
    <w:rsid w:val="400C6354"/>
    <w:rsid w:val="40302BBE"/>
    <w:rsid w:val="40345961"/>
    <w:rsid w:val="408E1921"/>
    <w:rsid w:val="40926C7D"/>
    <w:rsid w:val="40965C32"/>
    <w:rsid w:val="409969B6"/>
    <w:rsid w:val="409F1AF2"/>
    <w:rsid w:val="409F1C07"/>
    <w:rsid w:val="40A35A86"/>
    <w:rsid w:val="40A50042"/>
    <w:rsid w:val="40AB5373"/>
    <w:rsid w:val="40C714CB"/>
    <w:rsid w:val="40F07927"/>
    <w:rsid w:val="40FC6F44"/>
    <w:rsid w:val="411C3143"/>
    <w:rsid w:val="412F7BD3"/>
    <w:rsid w:val="41462DB0"/>
    <w:rsid w:val="41466412"/>
    <w:rsid w:val="4159417D"/>
    <w:rsid w:val="415A408D"/>
    <w:rsid w:val="415E375B"/>
    <w:rsid w:val="41636FC4"/>
    <w:rsid w:val="416777BC"/>
    <w:rsid w:val="41831414"/>
    <w:rsid w:val="4184690C"/>
    <w:rsid w:val="41A0173A"/>
    <w:rsid w:val="41BF069E"/>
    <w:rsid w:val="41D103D1"/>
    <w:rsid w:val="41D67795"/>
    <w:rsid w:val="41DE2AA4"/>
    <w:rsid w:val="41EC0D67"/>
    <w:rsid w:val="4204629C"/>
    <w:rsid w:val="4205657E"/>
    <w:rsid w:val="42093C6B"/>
    <w:rsid w:val="420C6C26"/>
    <w:rsid w:val="42110360"/>
    <w:rsid w:val="421F3F50"/>
    <w:rsid w:val="42415557"/>
    <w:rsid w:val="42434581"/>
    <w:rsid w:val="424C40B0"/>
    <w:rsid w:val="42552DB0"/>
    <w:rsid w:val="425B0CB6"/>
    <w:rsid w:val="42611755"/>
    <w:rsid w:val="42732927"/>
    <w:rsid w:val="4281325B"/>
    <w:rsid w:val="42867A85"/>
    <w:rsid w:val="42AD499A"/>
    <w:rsid w:val="42D27F5D"/>
    <w:rsid w:val="42DF6B1E"/>
    <w:rsid w:val="43014CE6"/>
    <w:rsid w:val="431F0A1F"/>
    <w:rsid w:val="436E069F"/>
    <w:rsid w:val="437159C8"/>
    <w:rsid w:val="437F7674"/>
    <w:rsid w:val="438D0328"/>
    <w:rsid w:val="43A318F9"/>
    <w:rsid w:val="43A94938"/>
    <w:rsid w:val="43AF64F0"/>
    <w:rsid w:val="43E53CC0"/>
    <w:rsid w:val="43EE551E"/>
    <w:rsid w:val="44000AFA"/>
    <w:rsid w:val="44150A49"/>
    <w:rsid w:val="441B1DD7"/>
    <w:rsid w:val="441B3B85"/>
    <w:rsid w:val="441D78FE"/>
    <w:rsid w:val="44242A3A"/>
    <w:rsid w:val="442701F2"/>
    <w:rsid w:val="44472BCC"/>
    <w:rsid w:val="444C3D3F"/>
    <w:rsid w:val="44572251"/>
    <w:rsid w:val="44605B5D"/>
    <w:rsid w:val="446B0469"/>
    <w:rsid w:val="447137A5"/>
    <w:rsid w:val="448636F5"/>
    <w:rsid w:val="44901E7E"/>
    <w:rsid w:val="44AA399F"/>
    <w:rsid w:val="44BC3D05"/>
    <w:rsid w:val="44D426B2"/>
    <w:rsid w:val="44E126D9"/>
    <w:rsid w:val="44F12995"/>
    <w:rsid w:val="45012D7B"/>
    <w:rsid w:val="451552E7"/>
    <w:rsid w:val="453273D9"/>
    <w:rsid w:val="45542840"/>
    <w:rsid w:val="455E6037"/>
    <w:rsid w:val="457F787C"/>
    <w:rsid w:val="45BA29C7"/>
    <w:rsid w:val="45BB10DA"/>
    <w:rsid w:val="45BB117C"/>
    <w:rsid w:val="45BC4EF4"/>
    <w:rsid w:val="45C94BB9"/>
    <w:rsid w:val="45D43FEC"/>
    <w:rsid w:val="45D53D3D"/>
    <w:rsid w:val="45D72D53"/>
    <w:rsid w:val="45DA3562"/>
    <w:rsid w:val="45FE550D"/>
    <w:rsid w:val="46156A6D"/>
    <w:rsid w:val="461940F5"/>
    <w:rsid w:val="463C33A6"/>
    <w:rsid w:val="464F7B16"/>
    <w:rsid w:val="46584C1D"/>
    <w:rsid w:val="465B64BB"/>
    <w:rsid w:val="46690750"/>
    <w:rsid w:val="466B25F0"/>
    <w:rsid w:val="46875502"/>
    <w:rsid w:val="469043B7"/>
    <w:rsid w:val="46C2478C"/>
    <w:rsid w:val="46E76ED6"/>
    <w:rsid w:val="46F04E55"/>
    <w:rsid w:val="46F43381"/>
    <w:rsid w:val="46FD7572"/>
    <w:rsid w:val="46FE4EBD"/>
    <w:rsid w:val="47017063"/>
    <w:rsid w:val="47044125"/>
    <w:rsid w:val="471054F8"/>
    <w:rsid w:val="471C20EE"/>
    <w:rsid w:val="471F2A33"/>
    <w:rsid w:val="4723347D"/>
    <w:rsid w:val="4729393A"/>
    <w:rsid w:val="474927B8"/>
    <w:rsid w:val="47540C2B"/>
    <w:rsid w:val="475C698F"/>
    <w:rsid w:val="47611F52"/>
    <w:rsid w:val="476615BC"/>
    <w:rsid w:val="479C6A6B"/>
    <w:rsid w:val="479D1AB9"/>
    <w:rsid w:val="47A878A3"/>
    <w:rsid w:val="47CD33E9"/>
    <w:rsid w:val="47D31F7A"/>
    <w:rsid w:val="47D6229D"/>
    <w:rsid w:val="48176812"/>
    <w:rsid w:val="484D15CB"/>
    <w:rsid w:val="485458B8"/>
    <w:rsid w:val="486755EB"/>
    <w:rsid w:val="4874505C"/>
    <w:rsid w:val="48A95C04"/>
    <w:rsid w:val="48AC15F7"/>
    <w:rsid w:val="48AC2FFE"/>
    <w:rsid w:val="48AC4B4A"/>
    <w:rsid w:val="48B16866"/>
    <w:rsid w:val="48CB08E7"/>
    <w:rsid w:val="48F7696F"/>
    <w:rsid w:val="490948F4"/>
    <w:rsid w:val="49221512"/>
    <w:rsid w:val="496449F3"/>
    <w:rsid w:val="49753D38"/>
    <w:rsid w:val="497C2C57"/>
    <w:rsid w:val="4999737A"/>
    <w:rsid w:val="49A63EF1"/>
    <w:rsid w:val="49B6143D"/>
    <w:rsid w:val="49BC54C3"/>
    <w:rsid w:val="49CD3395"/>
    <w:rsid w:val="49D05807"/>
    <w:rsid w:val="49EB7B56"/>
    <w:rsid w:val="49ED1B55"/>
    <w:rsid w:val="49EF7646"/>
    <w:rsid w:val="49F11610"/>
    <w:rsid w:val="49F26D29"/>
    <w:rsid w:val="49FE524A"/>
    <w:rsid w:val="49FE5B0F"/>
    <w:rsid w:val="49FF2EE4"/>
    <w:rsid w:val="4A003601"/>
    <w:rsid w:val="4A2A2D74"/>
    <w:rsid w:val="4A2C2590"/>
    <w:rsid w:val="4A394D65"/>
    <w:rsid w:val="4A3F40DE"/>
    <w:rsid w:val="4A565917"/>
    <w:rsid w:val="4A7D10F6"/>
    <w:rsid w:val="4A857FAB"/>
    <w:rsid w:val="4A905BF8"/>
    <w:rsid w:val="4AA03036"/>
    <w:rsid w:val="4AA2290B"/>
    <w:rsid w:val="4AA3336D"/>
    <w:rsid w:val="4AC03AB0"/>
    <w:rsid w:val="4AC1382E"/>
    <w:rsid w:val="4AC960E9"/>
    <w:rsid w:val="4ADA0FDC"/>
    <w:rsid w:val="4AEF69FE"/>
    <w:rsid w:val="4AF313B8"/>
    <w:rsid w:val="4AF84C20"/>
    <w:rsid w:val="4B02784D"/>
    <w:rsid w:val="4B0A11C5"/>
    <w:rsid w:val="4B1F3F5B"/>
    <w:rsid w:val="4B2A4FBA"/>
    <w:rsid w:val="4B3627D7"/>
    <w:rsid w:val="4B441C23"/>
    <w:rsid w:val="4B496A70"/>
    <w:rsid w:val="4B4F71EE"/>
    <w:rsid w:val="4B62209A"/>
    <w:rsid w:val="4B634665"/>
    <w:rsid w:val="4B797B0F"/>
    <w:rsid w:val="4B7E42BD"/>
    <w:rsid w:val="4B9A7A86"/>
    <w:rsid w:val="4BB24899"/>
    <w:rsid w:val="4BBD5522"/>
    <w:rsid w:val="4BBF74EC"/>
    <w:rsid w:val="4BFA2B9A"/>
    <w:rsid w:val="4C013661"/>
    <w:rsid w:val="4C0575F5"/>
    <w:rsid w:val="4C0D46FC"/>
    <w:rsid w:val="4C101250"/>
    <w:rsid w:val="4C612F2D"/>
    <w:rsid w:val="4C6B0485"/>
    <w:rsid w:val="4C7E2F03"/>
    <w:rsid w:val="4C8147A2"/>
    <w:rsid w:val="4C8C2C21"/>
    <w:rsid w:val="4CAC78DB"/>
    <w:rsid w:val="4CB37051"/>
    <w:rsid w:val="4CBB5F06"/>
    <w:rsid w:val="4CC529EA"/>
    <w:rsid w:val="4CC53AED"/>
    <w:rsid w:val="4CCE79E7"/>
    <w:rsid w:val="4CDE22ED"/>
    <w:rsid w:val="4CE92A73"/>
    <w:rsid w:val="4CF86A29"/>
    <w:rsid w:val="4CFB09F8"/>
    <w:rsid w:val="4D0005C3"/>
    <w:rsid w:val="4D0D6D1C"/>
    <w:rsid w:val="4D243AAB"/>
    <w:rsid w:val="4D2769E5"/>
    <w:rsid w:val="4D3E639F"/>
    <w:rsid w:val="4D4C3002"/>
    <w:rsid w:val="4D4C6E88"/>
    <w:rsid w:val="4D522188"/>
    <w:rsid w:val="4D626C4B"/>
    <w:rsid w:val="4D6D5452"/>
    <w:rsid w:val="4D700028"/>
    <w:rsid w:val="4D700A9E"/>
    <w:rsid w:val="4D782049"/>
    <w:rsid w:val="4DA80092"/>
    <w:rsid w:val="4DC1754C"/>
    <w:rsid w:val="4DDB65E6"/>
    <w:rsid w:val="4DDB7CE1"/>
    <w:rsid w:val="4DDE5966"/>
    <w:rsid w:val="4DFC1A95"/>
    <w:rsid w:val="4E036414"/>
    <w:rsid w:val="4E0833CC"/>
    <w:rsid w:val="4E08517B"/>
    <w:rsid w:val="4E141D71"/>
    <w:rsid w:val="4E255D2C"/>
    <w:rsid w:val="4E275E26"/>
    <w:rsid w:val="4E342CAC"/>
    <w:rsid w:val="4E3B72FE"/>
    <w:rsid w:val="4E481A1B"/>
    <w:rsid w:val="4E5001FB"/>
    <w:rsid w:val="4E555EE6"/>
    <w:rsid w:val="4E5D3ACD"/>
    <w:rsid w:val="4E606ECD"/>
    <w:rsid w:val="4E9B166B"/>
    <w:rsid w:val="4E9D3737"/>
    <w:rsid w:val="4E9E3C4F"/>
    <w:rsid w:val="4ED11A10"/>
    <w:rsid w:val="4ED17C62"/>
    <w:rsid w:val="4EE642BA"/>
    <w:rsid w:val="4EF10FC6"/>
    <w:rsid w:val="4EFC670B"/>
    <w:rsid w:val="4EFD4A24"/>
    <w:rsid w:val="4F0022F6"/>
    <w:rsid w:val="4F0F42E7"/>
    <w:rsid w:val="4F1D75D8"/>
    <w:rsid w:val="4F2E29BF"/>
    <w:rsid w:val="4F381A8F"/>
    <w:rsid w:val="4F3F2A07"/>
    <w:rsid w:val="4F4421E2"/>
    <w:rsid w:val="4F5F0DCA"/>
    <w:rsid w:val="4F7D74A2"/>
    <w:rsid w:val="4F8C5937"/>
    <w:rsid w:val="4F8E4E5D"/>
    <w:rsid w:val="4FA7451F"/>
    <w:rsid w:val="4FBE01E7"/>
    <w:rsid w:val="4FC27B0F"/>
    <w:rsid w:val="4FC557CF"/>
    <w:rsid w:val="4FC926E8"/>
    <w:rsid w:val="4FD95020"/>
    <w:rsid w:val="4FEB08B0"/>
    <w:rsid w:val="4FF36264"/>
    <w:rsid w:val="50106568"/>
    <w:rsid w:val="501301BD"/>
    <w:rsid w:val="501E5D00"/>
    <w:rsid w:val="50210776"/>
    <w:rsid w:val="50355B90"/>
    <w:rsid w:val="503F59C8"/>
    <w:rsid w:val="504F3352"/>
    <w:rsid w:val="50597F0F"/>
    <w:rsid w:val="5060304C"/>
    <w:rsid w:val="50616DC4"/>
    <w:rsid w:val="506643DA"/>
    <w:rsid w:val="507A1C34"/>
    <w:rsid w:val="508B5BEF"/>
    <w:rsid w:val="50A136F6"/>
    <w:rsid w:val="50A53155"/>
    <w:rsid w:val="50BA2E68"/>
    <w:rsid w:val="50C57353"/>
    <w:rsid w:val="50C80BF1"/>
    <w:rsid w:val="50CC248F"/>
    <w:rsid w:val="50D70E34"/>
    <w:rsid w:val="50D81429"/>
    <w:rsid w:val="50E023DF"/>
    <w:rsid w:val="50E70B0B"/>
    <w:rsid w:val="5106201A"/>
    <w:rsid w:val="51144057"/>
    <w:rsid w:val="514135E6"/>
    <w:rsid w:val="514A5AAA"/>
    <w:rsid w:val="5153495F"/>
    <w:rsid w:val="5153670D"/>
    <w:rsid w:val="51575D8B"/>
    <w:rsid w:val="515801C7"/>
    <w:rsid w:val="5159161C"/>
    <w:rsid w:val="51644DBE"/>
    <w:rsid w:val="517C5F9F"/>
    <w:rsid w:val="517F2EC9"/>
    <w:rsid w:val="51844B18"/>
    <w:rsid w:val="518D7044"/>
    <w:rsid w:val="51A056CA"/>
    <w:rsid w:val="51A759CE"/>
    <w:rsid w:val="51BF3DA2"/>
    <w:rsid w:val="51CB0999"/>
    <w:rsid w:val="51DC4954"/>
    <w:rsid w:val="51E732F9"/>
    <w:rsid w:val="52132340"/>
    <w:rsid w:val="522D3402"/>
    <w:rsid w:val="524D6A1B"/>
    <w:rsid w:val="526C7ABA"/>
    <w:rsid w:val="526D43A4"/>
    <w:rsid w:val="5285323E"/>
    <w:rsid w:val="529C40E3"/>
    <w:rsid w:val="529F2AD5"/>
    <w:rsid w:val="52BE22AC"/>
    <w:rsid w:val="52D41ACF"/>
    <w:rsid w:val="52FF3146"/>
    <w:rsid w:val="53081779"/>
    <w:rsid w:val="530A3743"/>
    <w:rsid w:val="5311687F"/>
    <w:rsid w:val="5314011E"/>
    <w:rsid w:val="5322283B"/>
    <w:rsid w:val="53340AB5"/>
    <w:rsid w:val="534E1882"/>
    <w:rsid w:val="534F55FA"/>
    <w:rsid w:val="53740BBC"/>
    <w:rsid w:val="537D43E8"/>
    <w:rsid w:val="53901E9A"/>
    <w:rsid w:val="5391176E"/>
    <w:rsid w:val="53985D65"/>
    <w:rsid w:val="539A6875"/>
    <w:rsid w:val="53B13BBE"/>
    <w:rsid w:val="53D82303"/>
    <w:rsid w:val="53DC50DF"/>
    <w:rsid w:val="53DD23CC"/>
    <w:rsid w:val="53FA37B7"/>
    <w:rsid w:val="54040192"/>
    <w:rsid w:val="540B4957"/>
    <w:rsid w:val="54303E2B"/>
    <w:rsid w:val="543C4F78"/>
    <w:rsid w:val="54433CEA"/>
    <w:rsid w:val="544E765F"/>
    <w:rsid w:val="54501629"/>
    <w:rsid w:val="54576077"/>
    <w:rsid w:val="545B1A21"/>
    <w:rsid w:val="545F0AD7"/>
    <w:rsid w:val="5460600E"/>
    <w:rsid w:val="546450D5"/>
    <w:rsid w:val="546C1BDE"/>
    <w:rsid w:val="548924EE"/>
    <w:rsid w:val="549A09D4"/>
    <w:rsid w:val="54BC6CBF"/>
    <w:rsid w:val="54C34F6C"/>
    <w:rsid w:val="54C52AB6"/>
    <w:rsid w:val="54DC4C6B"/>
    <w:rsid w:val="54F5099E"/>
    <w:rsid w:val="54FA3343"/>
    <w:rsid w:val="55095279"/>
    <w:rsid w:val="551408A9"/>
    <w:rsid w:val="553D1BAE"/>
    <w:rsid w:val="554A3FF9"/>
    <w:rsid w:val="55546EF7"/>
    <w:rsid w:val="556A2277"/>
    <w:rsid w:val="557D644E"/>
    <w:rsid w:val="558D5A85"/>
    <w:rsid w:val="55A75146"/>
    <w:rsid w:val="55B55BE8"/>
    <w:rsid w:val="55BD4A9D"/>
    <w:rsid w:val="55CB540B"/>
    <w:rsid w:val="55DB3175"/>
    <w:rsid w:val="55DB51BF"/>
    <w:rsid w:val="55E95892"/>
    <w:rsid w:val="55F72D5A"/>
    <w:rsid w:val="55FB55C5"/>
    <w:rsid w:val="56130B60"/>
    <w:rsid w:val="56140089"/>
    <w:rsid w:val="561D378D"/>
    <w:rsid w:val="56204218"/>
    <w:rsid w:val="562E2303"/>
    <w:rsid w:val="5632548A"/>
    <w:rsid w:val="563B3C13"/>
    <w:rsid w:val="563F54B2"/>
    <w:rsid w:val="563F7BDE"/>
    <w:rsid w:val="5640538D"/>
    <w:rsid w:val="56424FA2"/>
    <w:rsid w:val="56464A92"/>
    <w:rsid w:val="565D4ACB"/>
    <w:rsid w:val="568E2409"/>
    <w:rsid w:val="56B04601"/>
    <w:rsid w:val="56B35ADD"/>
    <w:rsid w:val="56B7164C"/>
    <w:rsid w:val="56B75BA4"/>
    <w:rsid w:val="56BF65F2"/>
    <w:rsid w:val="56C65BD3"/>
    <w:rsid w:val="56D54068"/>
    <w:rsid w:val="56DE2F1C"/>
    <w:rsid w:val="56E570DB"/>
    <w:rsid w:val="56EA18C1"/>
    <w:rsid w:val="56F05AF2"/>
    <w:rsid w:val="56FF2E93"/>
    <w:rsid w:val="5705494D"/>
    <w:rsid w:val="57063664"/>
    <w:rsid w:val="57106E4E"/>
    <w:rsid w:val="5717229D"/>
    <w:rsid w:val="571A1A7B"/>
    <w:rsid w:val="57390153"/>
    <w:rsid w:val="57430FD1"/>
    <w:rsid w:val="5748483A"/>
    <w:rsid w:val="57572CCF"/>
    <w:rsid w:val="57715B3F"/>
    <w:rsid w:val="57837373"/>
    <w:rsid w:val="578D049F"/>
    <w:rsid w:val="578F2469"/>
    <w:rsid w:val="57925195"/>
    <w:rsid w:val="579371D1"/>
    <w:rsid w:val="57B41ECF"/>
    <w:rsid w:val="57E50D9C"/>
    <w:rsid w:val="58070251"/>
    <w:rsid w:val="58260705"/>
    <w:rsid w:val="58344A22"/>
    <w:rsid w:val="583E267D"/>
    <w:rsid w:val="584E2DDF"/>
    <w:rsid w:val="58513F4A"/>
    <w:rsid w:val="5855720E"/>
    <w:rsid w:val="58650145"/>
    <w:rsid w:val="587A0A23"/>
    <w:rsid w:val="58820A4C"/>
    <w:rsid w:val="58874450"/>
    <w:rsid w:val="58951CDF"/>
    <w:rsid w:val="58AE2DC2"/>
    <w:rsid w:val="58BC728D"/>
    <w:rsid w:val="58CB5722"/>
    <w:rsid w:val="58CB74D0"/>
    <w:rsid w:val="58DC348C"/>
    <w:rsid w:val="58E80082"/>
    <w:rsid w:val="58EA204C"/>
    <w:rsid w:val="59262959"/>
    <w:rsid w:val="5939268C"/>
    <w:rsid w:val="593B5D5C"/>
    <w:rsid w:val="593C3F2A"/>
    <w:rsid w:val="59486D73"/>
    <w:rsid w:val="59505C28"/>
    <w:rsid w:val="59527B1B"/>
    <w:rsid w:val="59585F4B"/>
    <w:rsid w:val="59590F80"/>
    <w:rsid w:val="59613991"/>
    <w:rsid w:val="597F31C9"/>
    <w:rsid w:val="59814033"/>
    <w:rsid w:val="59965D30"/>
    <w:rsid w:val="59BE5287"/>
    <w:rsid w:val="59D5279A"/>
    <w:rsid w:val="59D6612D"/>
    <w:rsid w:val="59D92725"/>
    <w:rsid w:val="59E15C36"/>
    <w:rsid w:val="59EB1D3E"/>
    <w:rsid w:val="5A00764E"/>
    <w:rsid w:val="5A014CB3"/>
    <w:rsid w:val="5A056A12"/>
    <w:rsid w:val="5A0667C2"/>
    <w:rsid w:val="5A10631A"/>
    <w:rsid w:val="5A276C1B"/>
    <w:rsid w:val="5A4C2893"/>
    <w:rsid w:val="5A4C7F90"/>
    <w:rsid w:val="5A4F7E41"/>
    <w:rsid w:val="5A5F6904"/>
    <w:rsid w:val="5A847F27"/>
    <w:rsid w:val="5A954896"/>
    <w:rsid w:val="5A993325"/>
    <w:rsid w:val="5AC02939"/>
    <w:rsid w:val="5ACE0D05"/>
    <w:rsid w:val="5B01254C"/>
    <w:rsid w:val="5B0730E9"/>
    <w:rsid w:val="5B2A17F9"/>
    <w:rsid w:val="5B445318"/>
    <w:rsid w:val="5B6F4A8B"/>
    <w:rsid w:val="5B780343"/>
    <w:rsid w:val="5B8F47E5"/>
    <w:rsid w:val="5BD91F04"/>
    <w:rsid w:val="5BE03293"/>
    <w:rsid w:val="5BF43AE9"/>
    <w:rsid w:val="5C1B251D"/>
    <w:rsid w:val="5C3A6E47"/>
    <w:rsid w:val="5C4C0928"/>
    <w:rsid w:val="5C645C72"/>
    <w:rsid w:val="5CB83936"/>
    <w:rsid w:val="5CBA1D36"/>
    <w:rsid w:val="5CC26E3C"/>
    <w:rsid w:val="5CD8555F"/>
    <w:rsid w:val="5D301FF8"/>
    <w:rsid w:val="5D4F60A9"/>
    <w:rsid w:val="5D6879E4"/>
    <w:rsid w:val="5D7D58C9"/>
    <w:rsid w:val="5D7E7207"/>
    <w:rsid w:val="5D8714F7"/>
    <w:rsid w:val="5D881E34"/>
    <w:rsid w:val="5D8D2FA6"/>
    <w:rsid w:val="5D8F563D"/>
    <w:rsid w:val="5D935A76"/>
    <w:rsid w:val="5DBB3FB7"/>
    <w:rsid w:val="5DC42082"/>
    <w:rsid w:val="5DD3337B"/>
    <w:rsid w:val="5DE0757A"/>
    <w:rsid w:val="5DED60CA"/>
    <w:rsid w:val="5E0F557C"/>
    <w:rsid w:val="5E144916"/>
    <w:rsid w:val="5E5135C6"/>
    <w:rsid w:val="5E5C7B4C"/>
    <w:rsid w:val="5E6A32E8"/>
    <w:rsid w:val="5EA67D79"/>
    <w:rsid w:val="5EC023C8"/>
    <w:rsid w:val="5ED97D8E"/>
    <w:rsid w:val="5EF1163D"/>
    <w:rsid w:val="5EF13A09"/>
    <w:rsid w:val="5EF609FC"/>
    <w:rsid w:val="5EF7101F"/>
    <w:rsid w:val="5F021772"/>
    <w:rsid w:val="5F0C439F"/>
    <w:rsid w:val="5F0D4E3C"/>
    <w:rsid w:val="5F1A6ABC"/>
    <w:rsid w:val="5F1C0A86"/>
    <w:rsid w:val="5F29316F"/>
    <w:rsid w:val="5F677827"/>
    <w:rsid w:val="5F7F112E"/>
    <w:rsid w:val="5F812FDF"/>
    <w:rsid w:val="5F9C5723"/>
    <w:rsid w:val="5FA24513"/>
    <w:rsid w:val="5FA9575F"/>
    <w:rsid w:val="5FBC7B73"/>
    <w:rsid w:val="5FC52ECB"/>
    <w:rsid w:val="5FCD1D80"/>
    <w:rsid w:val="5FCF5AF8"/>
    <w:rsid w:val="5FD44EBD"/>
    <w:rsid w:val="5FE61306"/>
    <w:rsid w:val="5FEE21E9"/>
    <w:rsid w:val="600532C8"/>
    <w:rsid w:val="60060082"/>
    <w:rsid w:val="600A20CC"/>
    <w:rsid w:val="601259E5"/>
    <w:rsid w:val="6022031E"/>
    <w:rsid w:val="60290D6B"/>
    <w:rsid w:val="603911C4"/>
    <w:rsid w:val="60393974"/>
    <w:rsid w:val="603957F6"/>
    <w:rsid w:val="604D2EC1"/>
    <w:rsid w:val="60681AA9"/>
    <w:rsid w:val="6083515A"/>
    <w:rsid w:val="60AC61D6"/>
    <w:rsid w:val="60AE2C7C"/>
    <w:rsid w:val="60B072AB"/>
    <w:rsid w:val="60B92304"/>
    <w:rsid w:val="60BD1DF5"/>
    <w:rsid w:val="60C018E5"/>
    <w:rsid w:val="60C2565D"/>
    <w:rsid w:val="60CB67FA"/>
    <w:rsid w:val="60D522AC"/>
    <w:rsid w:val="60D86C2E"/>
    <w:rsid w:val="60E17CBF"/>
    <w:rsid w:val="60E455D3"/>
    <w:rsid w:val="60E72032"/>
    <w:rsid w:val="60EF159F"/>
    <w:rsid w:val="60F021CA"/>
    <w:rsid w:val="60F60EB1"/>
    <w:rsid w:val="611A2DA3"/>
    <w:rsid w:val="6139765C"/>
    <w:rsid w:val="613D1F5B"/>
    <w:rsid w:val="616D55C9"/>
    <w:rsid w:val="61720E31"/>
    <w:rsid w:val="617821BF"/>
    <w:rsid w:val="617B4C27"/>
    <w:rsid w:val="618F0137"/>
    <w:rsid w:val="619A0388"/>
    <w:rsid w:val="619A05C2"/>
    <w:rsid w:val="619C4C7D"/>
    <w:rsid w:val="61A44D62"/>
    <w:rsid w:val="61C62F2B"/>
    <w:rsid w:val="61C7057D"/>
    <w:rsid w:val="61D95C8A"/>
    <w:rsid w:val="61E138C1"/>
    <w:rsid w:val="61ED495B"/>
    <w:rsid w:val="61F6755D"/>
    <w:rsid w:val="61FA1A30"/>
    <w:rsid w:val="62127F1E"/>
    <w:rsid w:val="6223355D"/>
    <w:rsid w:val="622C5484"/>
    <w:rsid w:val="62344338"/>
    <w:rsid w:val="623F6839"/>
    <w:rsid w:val="6242474F"/>
    <w:rsid w:val="6253120A"/>
    <w:rsid w:val="628A21AA"/>
    <w:rsid w:val="62922E0D"/>
    <w:rsid w:val="62A25746"/>
    <w:rsid w:val="62A56FE4"/>
    <w:rsid w:val="62C531E2"/>
    <w:rsid w:val="62CA49E9"/>
    <w:rsid w:val="62D6719E"/>
    <w:rsid w:val="62DB2A06"/>
    <w:rsid w:val="62E948A5"/>
    <w:rsid w:val="62FF4946"/>
    <w:rsid w:val="632C3261"/>
    <w:rsid w:val="633A3BD0"/>
    <w:rsid w:val="63770981"/>
    <w:rsid w:val="63C93446"/>
    <w:rsid w:val="63E8362C"/>
    <w:rsid w:val="63FA59E3"/>
    <w:rsid w:val="6410048D"/>
    <w:rsid w:val="6416019A"/>
    <w:rsid w:val="64234664"/>
    <w:rsid w:val="643E09E6"/>
    <w:rsid w:val="644D16E1"/>
    <w:rsid w:val="64546739"/>
    <w:rsid w:val="645C1924"/>
    <w:rsid w:val="64610CE9"/>
    <w:rsid w:val="64651BA3"/>
    <w:rsid w:val="646A4041"/>
    <w:rsid w:val="646F0987"/>
    <w:rsid w:val="64740A1C"/>
    <w:rsid w:val="64975EE1"/>
    <w:rsid w:val="64B928D3"/>
    <w:rsid w:val="64BE613B"/>
    <w:rsid w:val="64E01D65"/>
    <w:rsid w:val="64FB738F"/>
    <w:rsid w:val="65102E3B"/>
    <w:rsid w:val="65110961"/>
    <w:rsid w:val="65510D5D"/>
    <w:rsid w:val="655206E5"/>
    <w:rsid w:val="65817895"/>
    <w:rsid w:val="658E6FFE"/>
    <w:rsid w:val="65953340"/>
    <w:rsid w:val="65A41006"/>
    <w:rsid w:val="65A6554D"/>
    <w:rsid w:val="65A96DEB"/>
    <w:rsid w:val="65AA1F2B"/>
    <w:rsid w:val="65C872F8"/>
    <w:rsid w:val="65EB7404"/>
    <w:rsid w:val="65EF10CA"/>
    <w:rsid w:val="65FC516D"/>
    <w:rsid w:val="66256220"/>
    <w:rsid w:val="662A22D0"/>
    <w:rsid w:val="66382B7E"/>
    <w:rsid w:val="663F6C1C"/>
    <w:rsid w:val="666004F6"/>
    <w:rsid w:val="66603F40"/>
    <w:rsid w:val="66650F64"/>
    <w:rsid w:val="66833198"/>
    <w:rsid w:val="668A09CB"/>
    <w:rsid w:val="668D2269"/>
    <w:rsid w:val="668F1B3D"/>
    <w:rsid w:val="66925AD1"/>
    <w:rsid w:val="669C425A"/>
    <w:rsid w:val="66A76294"/>
    <w:rsid w:val="66C95CD3"/>
    <w:rsid w:val="66E16111"/>
    <w:rsid w:val="66F4572D"/>
    <w:rsid w:val="66FE7DFC"/>
    <w:rsid w:val="671C40A3"/>
    <w:rsid w:val="67205B23"/>
    <w:rsid w:val="672C55DE"/>
    <w:rsid w:val="673C7440"/>
    <w:rsid w:val="673E0C66"/>
    <w:rsid w:val="67505E2C"/>
    <w:rsid w:val="675416B1"/>
    <w:rsid w:val="6775762B"/>
    <w:rsid w:val="6777652E"/>
    <w:rsid w:val="677F6056"/>
    <w:rsid w:val="679B17DE"/>
    <w:rsid w:val="67BD26DA"/>
    <w:rsid w:val="67E934CF"/>
    <w:rsid w:val="67ED1031"/>
    <w:rsid w:val="68062C00"/>
    <w:rsid w:val="680D1348"/>
    <w:rsid w:val="680D6CEA"/>
    <w:rsid w:val="681349F0"/>
    <w:rsid w:val="6817719C"/>
    <w:rsid w:val="68430416"/>
    <w:rsid w:val="684B418A"/>
    <w:rsid w:val="685748DD"/>
    <w:rsid w:val="68772F9A"/>
    <w:rsid w:val="688020CA"/>
    <w:rsid w:val="688A7ED0"/>
    <w:rsid w:val="689A6483"/>
    <w:rsid w:val="68AB69D7"/>
    <w:rsid w:val="68B24209"/>
    <w:rsid w:val="68C33D20"/>
    <w:rsid w:val="68C47A98"/>
    <w:rsid w:val="68D0468F"/>
    <w:rsid w:val="68D20407"/>
    <w:rsid w:val="68E0628C"/>
    <w:rsid w:val="690164B5"/>
    <w:rsid w:val="69053464"/>
    <w:rsid w:val="69085BD7"/>
    <w:rsid w:val="69091A4F"/>
    <w:rsid w:val="69132EFA"/>
    <w:rsid w:val="692769A5"/>
    <w:rsid w:val="692F585A"/>
    <w:rsid w:val="694A4441"/>
    <w:rsid w:val="694F2375"/>
    <w:rsid w:val="69540E1C"/>
    <w:rsid w:val="69685626"/>
    <w:rsid w:val="69710F95"/>
    <w:rsid w:val="69725FA0"/>
    <w:rsid w:val="69731BEA"/>
    <w:rsid w:val="69780FAF"/>
    <w:rsid w:val="69833C19"/>
    <w:rsid w:val="69845BA5"/>
    <w:rsid w:val="698F00A6"/>
    <w:rsid w:val="69B95123"/>
    <w:rsid w:val="69C064B2"/>
    <w:rsid w:val="69CB5582"/>
    <w:rsid w:val="69DF102E"/>
    <w:rsid w:val="69DF4B8A"/>
    <w:rsid w:val="69F83E9D"/>
    <w:rsid w:val="6A034C97"/>
    <w:rsid w:val="6A054F1C"/>
    <w:rsid w:val="6A0A4452"/>
    <w:rsid w:val="6A0B3BD1"/>
    <w:rsid w:val="6A0E3AFF"/>
    <w:rsid w:val="6A25335A"/>
    <w:rsid w:val="6A425119"/>
    <w:rsid w:val="6A4B221F"/>
    <w:rsid w:val="6A5C267E"/>
    <w:rsid w:val="6A731776"/>
    <w:rsid w:val="6A7770C8"/>
    <w:rsid w:val="6A7C7D4D"/>
    <w:rsid w:val="6A8120E5"/>
    <w:rsid w:val="6A915904"/>
    <w:rsid w:val="6AA47B81"/>
    <w:rsid w:val="6AA656A7"/>
    <w:rsid w:val="6AC87D14"/>
    <w:rsid w:val="6ADE3093"/>
    <w:rsid w:val="6AED32D6"/>
    <w:rsid w:val="6AFC3403"/>
    <w:rsid w:val="6AFF0A3C"/>
    <w:rsid w:val="6B056872"/>
    <w:rsid w:val="6B122D3D"/>
    <w:rsid w:val="6B1E5B86"/>
    <w:rsid w:val="6B3730AC"/>
    <w:rsid w:val="6B5E6668"/>
    <w:rsid w:val="6B672A51"/>
    <w:rsid w:val="6B8579B3"/>
    <w:rsid w:val="6B8F0831"/>
    <w:rsid w:val="6B92577F"/>
    <w:rsid w:val="6B9D4CFC"/>
    <w:rsid w:val="6BA0659B"/>
    <w:rsid w:val="6BA90931"/>
    <w:rsid w:val="6BB9765C"/>
    <w:rsid w:val="6BC24763"/>
    <w:rsid w:val="6BC95AF1"/>
    <w:rsid w:val="6BD3649F"/>
    <w:rsid w:val="6BD83F86"/>
    <w:rsid w:val="6BDF3567"/>
    <w:rsid w:val="6BEC5C84"/>
    <w:rsid w:val="6BFF7765"/>
    <w:rsid w:val="6C045BF9"/>
    <w:rsid w:val="6C092392"/>
    <w:rsid w:val="6C283D33"/>
    <w:rsid w:val="6C465394"/>
    <w:rsid w:val="6C4909E0"/>
    <w:rsid w:val="6C517895"/>
    <w:rsid w:val="6C604763"/>
    <w:rsid w:val="6C6677E4"/>
    <w:rsid w:val="6C667D48"/>
    <w:rsid w:val="6C6B5FEF"/>
    <w:rsid w:val="6C7A503E"/>
    <w:rsid w:val="6C9C4FB4"/>
    <w:rsid w:val="6C9C6D62"/>
    <w:rsid w:val="6CAE4CE7"/>
    <w:rsid w:val="6CD96208"/>
    <w:rsid w:val="6CE60925"/>
    <w:rsid w:val="6CED1CB3"/>
    <w:rsid w:val="6CF272CA"/>
    <w:rsid w:val="6D3A4464"/>
    <w:rsid w:val="6D3E606B"/>
    <w:rsid w:val="6D464F20"/>
    <w:rsid w:val="6D633D24"/>
    <w:rsid w:val="6D763A57"/>
    <w:rsid w:val="6D7640DA"/>
    <w:rsid w:val="6D7A6383"/>
    <w:rsid w:val="6D853C9A"/>
    <w:rsid w:val="6D947231"/>
    <w:rsid w:val="6D9E2FAE"/>
    <w:rsid w:val="6D9F05F2"/>
    <w:rsid w:val="6DB71E61"/>
    <w:rsid w:val="6DBC4466"/>
    <w:rsid w:val="6DC06618"/>
    <w:rsid w:val="6DD469CF"/>
    <w:rsid w:val="6DDD474D"/>
    <w:rsid w:val="6DF31070"/>
    <w:rsid w:val="6E1D2124"/>
    <w:rsid w:val="6E2C32A1"/>
    <w:rsid w:val="6E396833"/>
    <w:rsid w:val="6E3D6323"/>
    <w:rsid w:val="6E444846"/>
    <w:rsid w:val="6E5F44EB"/>
    <w:rsid w:val="6E755215"/>
    <w:rsid w:val="6E7F2DDF"/>
    <w:rsid w:val="6E866CA7"/>
    <w:rsid w:val="6EA463A2"/>
    <w:rsid w:val="6EB011EB"/>
    <w:rsid w:val="6EC6456A"/>
    <w:rsid w:val="6ED10099"/>
    <w:rsid w:val="6ED906B7"/>
    <w:rsid w:val="6EDA29F5"/>
    <w:rsid w:val="6EE544EB"/>
    <w:rsid w:val="6F033C3B"/>
    <w:rsid w:val="6F05168C"/>
    <w:rsid w:val="6F06045E"/>
    <w:rsid w:val="6F143527"/>
    <w:rsid w:val="6F327E52"/>
    <w:rsid w:val="6F3B6D06"/>
    <w:rsid w:val="6F3F5890"/>
    <w:rsid w:val="6F5B2DE1"/>
    <w:rsid w:val="6F631DB9"/>
    <w:rsid w:val="6F697E4D"/>
    <w:rsid w:val="6F6B6EC0"/>
    <w:rsid w:val="6F6D49E6"/>
    <w:rsid w:val="6F6F723A"/>
    <w:rsid w:val="6F853CD0"/>
    <w:rsid w:val="6FA75B64"/>
    <w:rsid w:val="6FBD596D"/>
    <w:rsid w:val="6FC0720B"/>
    <w:rsid w:val="6FD76303"/>
    <w:rsid w:val="6FDF5851"/>
    <w:rsid w:val="6FEC0000"/>
    <w:rsid w:val="6FF15617"/>
    <w:rsid w:val="700732D0"/>
    <w:rsid w:val="700B6AFB"/>
    <w:rsid w:val="70147557"/>
    <w:rsid w:val="701B6B38"/>
    <w:rsid w:val="701D465E"/>
    <w:rsid w:val="705A694B"/>
    <w:rsid w:val="70622071"/>
    <w:rsid w:val="70671D7D"/>
    <w:rsid w:val="70716758"/>
    <w:rsid w:val="7072610B"/>
    <w:rsid w:val="70732D80"/>
    <w:rsid w:val="70763D6E"/>
    <w:rsid w:val="707B1384"/>
    <w:rsid w:val="707B72F7"/>
    <w:rsid w:val="709474F3"/>
    <w:rsid w:val="70BC27CE"/>
    <w:rsid w:val="70C525FF"/>
    <w:rsid w:val="70CD7E32"/>
    <w:rsid w:val="70D0347E"/>
    <w:rsid w:val="70F3716D"/>
    <w:rsid w:val="70F50332"/>
    <w:rsid w:val="70FB1847"/>
    <w:rsid w:val="71044B32"/>
    <w:rsid w:val="7113780F"/>
    <w:rsid w:val="711A0B9D"/>
    <w:rsid w:val="71232991"/>
    <w:rsid w:val="71353C29"/>
    <w:rsid w:val="716F713B"/>
    <w:rsid w:val="71737F1D"/>
    <w:rsid w:val="71775FF0"/>
    <w:rsid w:val="717B6442"/>
    <w:rsid w:val="71A14E1B"/>
    <w:rsid w:val="71B40FF2"/>
    <w:rsid w:val="71C32FE3"/>
    <w:rsid w:val="71CA25C3"/>
    <w:rsid w:val="71D945B4"/>
    <w:rsid w:val="71DD11C4"/>
    <w:rsid w:val="71EA1B3B"/>
    <w:rsid w:val="71F72C8D"/>
    <w:rsid w:val="71FB09CF"/>
    <w:rsid w:val="71FC02A3"/>
    <w:rsid w:val="720A6E64"/>
    <w:rsid w:val="727D2B35"/>
    <w:rsid w:val="7298446F"/>
    <w:rsid w:val="7298621E"/>
    <w:rsid w:val="72B8066E"/>
    <w:rsid w:val="72BD7A32"/>
    <w:rsid w:val="72CD2BE8"/>
    <w:rsid w:val="72D74F98"/>
    <w:rsid w:val="72EC0317"/>
    <w:rsid w:val="730E028E"/>
    <w:rsid w:val="730E64E0"/>
    <w:rsid w:val="731A6C33"/>
    <w:rsid w:val="731D4975"/>
    <w:rsid w:val="73217D59"/>
    <w:rsid w:val="733741DA"/>
    <w:rsid w:val="733D0B73"/>
    <w:rsid w:val="736600CA"/>
    <w:rsid w:val="737E3665"/>
    <w:rsid w:val="73886292"/>
    <w:rsid w:val="738F5872"/>
    <w:rsid w:val="739E7864"/>
    <w:rsid w:val="73A03226"/>
    <w:rsid w:val="73AD7311"/>
    <w:rsid w:val="73B10055"/>
    <w:rsid w:val="73BB407D"/>
    <w:rsid w:val="73E57241"/>
    <w:rsid w:val="73F743B1"/>
    <w:rsid w:val="740438D8"/>
    <w:rsid w:val="74213FF1"/>
    <w:rsid w:val="74286AC6"/>
    <w:rsid w:val="74404DBF"/>
    <w:rsid w:val="7443040B"/>
    <w:rsid w:val="74510D7A"/>
    <w:rsid w:val="74806553"/>
    <w:rsid w:val="748A428C"/>
    <w:rsid w:val="74AE3AD6"/>
    <w:rsid w:val="74AF5AA0"/>
    <w:rsid w:val="74CB28DA"/>
    <w:rsid w:val="74D379E1"/>
    <w:rsid w:val="74E27C24"/>
    <w:rsid w:val="74E57285"/>
    <w:rsid w:val="74FD05BA"/>
    <w:rsid w:val="74FE790A"/>
    <w:rsid w:val="7501454E"/>
    <w:rsid w:val="750B0F29"/>
    <w:rsid w:val="751678CE"/>
    <w:rsid w:val="7518696C"/>
    <w:rsid w:val="75322959"/>
    <w:rsid w:val="75324707"/>
    <w:rsid w:val="75326F53"/>
    <w:rsid w:val="753D2178"/>
    <w:rsid w:val="753E264A"/>
    <w:rsid w:val="756A6FD2"/>
    <w:rsid w:val="75736ACE"/>
    <w:rsid w:val="7577036C"/>
    <w:rsid w:val="7589647F"/>
    <w:rsid w:val="758D4034"/>
    <w:rsid w:val="75913D16"/>
    <w:rsid w:val="75992AB4"/>
    <w:rsid w:val="75A94C83"/>
    <w:rsid w:val="75BE0DF8"/>
    <w:rsid w:val="75BE243F"/>
    <w:rsid w:val="75BF3AC1"/>
    <w:rsid w:val="75D27C98"/>
    <w:rsid w:val="75D94B83"/>
    <w:rsid w:val="75E961AB"/>
    <w:rsid w:val="75F37C14"/>
    <w:rsid w:val="75F419BD"/>
    <w:rsid w:val="75F72581"/>
    <w:rsid w:val="75FD5D40"/>
    <w:rsid w:val="762304F4"/>
    <w:rsid w:val="762B1157"/>
    <w:rsid w:val="763C06C2"/>
    <w:rsid w:val="764C7A4B"/>
    <w:rsid w:val="765B67F1"/>
    <w:rsid w:val="766823AB"/>
    <w:rsid w:val="767B0AFF"/>
    <w:rsid w:val="767B3E8C"/>
    <w:rsid w:val="768C6099"/>
    <w:rsid w:val="76AA651F"/>
    <w:rsid w:val="76B31946"/>
    <w:rsid w:val="76B64EC4"/>
    <w:rsid w:val="76C577FD"/>
    <w:rsid w:val="76D31F1A"/>
    <w:rsid w:val="76DF08BF"/>
    <w:rsid w:val="76E16AC1"/>
    <w:rsid w:val="76E94618"/>
    <w:rsid w:val="76EA5970"/>
    <w:rsid w:val="76EE316F"/>
    <w:rsid w:val="76FD5224"/>
    <w:rsid w:val="771138F3"/>
    <w:rsid w:val="77180494"/>
    <w:rsid w:val="77277B70"/>
    <w:rsid w:val="772A7E2E"/>
    <w:rsid w:val="7735677E"/>
    <w:rsid w:val="773724A9"/>
    <w:rsid w:val="773F135E"/>
    <w:rsid w:val="77400C32"/>
    <w:rsid w:val="77510B0F"/>
    <w:rsid w:val="77813724"/>
    <w:rsid w:val="7783749C"/>
    <w:rsid w:val="77901BB9"/>
    <w:rsid w:val="77931C2F"/>
    <w:rsid w:val="779A47E6"/>
    <w:rsid w:val="779C055E"/>
    <w:rsid w:val="77A53FBF"/>
    <w:rsid w:val="77A85155"/>
    <w:rsid w:val="77B749AC"/>
    <w:rsid w:val="77C81353"/>
    <w:rsid w:val="77CA44B0"/>
    <w:rsid w:val="77CE4490"/>
    <w:rsid w:val="77F71C38"/>
    <w:rsid w:val="77F739E6"/>
    <w:rsid w:val="77FB6923"/>
    <w:rsid w:val="78105060"/>
    <w:rsid w:val="783928CF"/>
    <w:rsid w:val="784A78C1"/>
    <w:rsid w:val="78544995"/>
    <w:rsid w:val="785625AD"/>
    <w:rsid w:val="7863107C"/>
    <w:rsid w:val="78643617"/>
    <w:rsid w:val="78764F7E"/>
    <w:rsid w:val="787E75A4"/>
    <w:rsid w:val="788259A6"/>
    <w:rsid w:val="78901B8C"/>
    <w:rsid w:val="78915BE9"/>
    <w:rsid w:val="78964FAD"/>
    <w:rsid w:val="789E20B4"/>
    <w:rsid w:val="78B74F24"/>
    <w:rsid w:val="78BC20BC"/>
    <w:rsid w:val="78DE70C8"/>
    <w:rsid w:val="78ED6ECA"/>
    <w:rsid w:val="79072FBD"/>
    <w:rsid w:val="791660EE"/>
    <w:rsid w:val="792A3948"/>
    <w:rsid w:val="79566E57"/>
    <w:rsid w:val="79690914"/>
    <w:rsid w:val="797E1DD7"/>
    <w:rsid w:val="799D236B"/>
    <w:rsid w:val="79BF16D8"/>
    <w:rsid w:val="79ED50A1"/>
    <w:rsid w:val="79FA77BE"/>
    <w:rsid w:val="7A08012D"/>
    <w:rsid w:val="7A0B4EBF"/>
    <w:rsid w:val="7A1B7E60"/>
    <w:rsid w:val="7A252A8D"/>
    <w:rsid w:val="7A467FEA"/>
    <w:rsid w:val="7A4822D7"/>
    <w:rsid w:val="7A5471AB"/>
    <w:rsid w:val="7A634FA4"/>
    <w:rsid w:val="7A70182E"/>
    <w:rsid w:val="7A7255A6"/>
    <w:rsid w:val="7A8A0B42"/>
    <w:rsid w:val="7A9048BA"/>
    <w:rsid w:val="7AAA4D40"/>
    <w:rsid w:val="7AAB138A"/>
    <w:rsid w:val="7AB21E46"/>
    <w:rsid w:val="7AB71FDE"/>
    <w:rsid w:val="7ABE4C8F"/>
    <w:rsid w:val="7AD63D87"/>
    <w:rsid w:val="7AD71474"/>
    <w:rsid w:val="7ADA3086"/>
    <w:rsid w:val="7AEF4E49"/>
    <w:rsid w:val="7AF34939"/>
    <w:rsid w:val="7AF5797B"/>
    <w:rsid w:val="7B113011"/>
    <w:rsid w:val="7B147161"/>
    <w:rsid w:val="7B172D5C"/>
    <w:rsid w:val="7B3F5F83"/>
    <w:rsid w:val="7B4329E3"/>
    <w:rsid w:val="7B476A33"/>
    <w:rsid w:val="7B4A02D1"/>
    <w:rsid w:val="7B51165F"/>
    <w:rsid w:val="7B6E3DF9"/>
    <w:rsid w:val="7B77530A"/>
    <w:rsid w:val="7B8C30A7"/>
    <w:rsid w:val="7BBF481B"/>
    <w:rsid w:val="7BC63DFB"/>
    <w:rsid w:val="7BC72961"/>
    <w:rsid w:val="7BDD144D"/>
    <w:rsid w:val="7BEB3997"/>
    <w:rsid w:val="7C0466D2"/>
    <w:rsid w:val="7C06069C"/>
    <w:rsid w:val="7C1151E9"/>
    <w:rsid w:val="7C254DB4"/>
    <w:rsid w:val="7C26489A"/>
    <w:rsid w:val="7C2A2EC2"/>
    <w:rsid w:val="7C484810"/>
    <w:rsid w:val="7C570EF7"/>
    <w:rsid w:val="7C6F7FEF"/>
    <w:rsid w:val="7C8F4BFB"/>
    <w:rsid w:val="7C920181"/>
    <w:rsid w:val="7C96137D"/>
    <w:rsid w:val="7C9A0DE4"/>
    <w:rsid w:val="7CA0289E"/>
    <w:rsid w:val="7CB70E02"/>
    <w:rsid w:val="7CC6546E"/>
    <w:rsid w:val="7CC924D2"/>
    <w:rsid w:val="7CE41091"/>
    <w:rsid w:val="7CF36E72"/>
    <w:rsid w:val="7CF37A17"/>
    <w:rsid w:val="7CF76237"/>
    <w:rsid w:val="7CFA23EA"/>
    <w:rsid w:val="7D133D8E"/>
    <w:rsid w:val="7D1808AD"/>
    <w:rsid w:val="7D1D7A52"/>
    <w:rsid w:val="7D231EC9"/>
    <w:rsid w:val="7D2A2168"/>
    <w:rsid w:val="7D470F6C"/>
    <w:rsid w:val="7D5611AF"/>
    <w:rsid w:val="7D567A86"/>
    <w:rsid w:val="7D58185B"/>
    <w:rsid w:val="7D6A07B6"/>
    <w:rsid w:val="7D761851"/>
    <w:rsid w:val="7D82316D"/>
    <w:rsid w:val="7D8B14D8"/>
    <w:rsid w:val="7D8C697F"/>
    <w:rsid w:val="7DB14637"/>
    <w:rsid w:val="7DB21766"/>
    <w:rsid w:val="7DD62B71"/>
    <w:rsid w:val="7E040C0B"/>
    <w:rsid w:val="7E08541B"/>
    <w:rsid w:val="7E1B1ABA"/>
    <w:rsid w:val="7E2412AD"/>
    <w:rsid w:val="7E2D63B4"/>
    <w:rsid w:val="7E344BFB"/>
    <w:rsid w:val="7E386B07"/>
    <w:rsid w:val="7E3F1C43"/>
    <w:rsid w:val="7E462FD2"/>
    <w:rsid w:val="7E8B6C36"/>
    <w:rsid w:val="7E8E4951"/>
    <w:rsid w:val="7E9006F1"/>
    <w:rsid w:val="7EA45F4A"/>
    <w:rsid w:val="7EA74116"/>
    <w:rsid w:val="7EDD7358"/>
    <w:rsid w:val="7EE675E9"/>
    <w:rsid w:val="7EF46ED2"/>
    <w:rsid w:val="7EFB200E"/>
    <w:rsid w:val="7EFE38AC"/>
    <w:rsid w:val="7F052E8D"/>
    <w:rsid w:val="7F0864D9"/>
    <w:rsid w:val="7F0E67A8"/>
    <w:rsid w:val="7F2350C1"/>
    <w:rsid w:val="7F2D5F40"/>
    <w:rsid w:val="7F3177DE"/>
    <w:rsid w:val="7F387385"/>
    <w:rsid w:val="7F3B065C"/>
    <w:rsid w:val="7F3E1EFB"/>
    <w:rsid w:val="7F536173"/>
    <w:rsid w:val="7F947D6D"/>
    <w:rsid w:val="7F9C388A"/>
    <w:rsid w:val="7F9D2987"/>
    <w:rsid w:val="7FB83A5B"/>
    <w:rsid w:val="7FC40652"/>
    <w:rsid w:val="7FDA2680"/>
    <w:rsid w:val="7FE231CE"/>
    <w:rsid w:val="7FEF56DC"/>
    <w:rsid w:val="7FF115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1" w:semiHidden="0" w:name="heading 2"/>
    <w:lsdException w:qFormat="1" w:uiPriority="0" w:semiHidden="0" w:name="heading 3"/>
    <w:lsdException w:qFormat="1" w:uiPriority="9" w:semiHidden="0" w:name="heading 4"/>
    <w:lsdException w:qFormat="1" w:unhideWhenUsed="0" w:uiPriority="1" w:semiHidden="0" w:name="heading 5"/>
    <w:lsdException w:qFormat="1" w:unhideWhenUsed="0" w:uiPriority="1" w:semiHidden="0" w:name="heading 6"/>
    <w:lsdException w:qFormat="1" w:uiPriority="9"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qFormat="1" w:unhideWhenUsed="0" w:uiPriority="0" w:semiHidden="0"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qFormat="1"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qFormat="1"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99" w:semiHidden="0" w:name="Body Text First Indent"/>
    <w:lsdException w:qFormat="1" w:uiPriority="99"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keepNext/>
      <w:keepLines/>
      <w:numPr>
        <w:ilvl w:val="0"/>
        <w:numId w:val="1"/>
      </w:numPr>
      <w:spacing w:line="360" w:lineRule="auto"/>
      <w:ind w:left="432" w:hanging="432"/>
      <w:outlineLvl w:val="0"/>
    </w:pPr>
    <w:rPr>
      <w:rFonts w:eastAsia="宋体" w:asciiTheme="minorAscii" w:hAnsiTheme="minorAscii"/>
      <w:b/>
      <w:bCs/>
      <w:kern w:val="44"/>
      <w:sz w:val="32"/>
      <w:szCs w:val="44"/>
    </w:rPr>
  </w:style>
  <w:style w:type="paragraph" w:styleId="3">
    <w:name w:val="heading 2"/>
    <w:basedOn w:val="1"/>
    <w:next w:val="1"/>
    <w:qFormat/>
    <w:uiPriority w:val="1"/>
    <w:pPr>
      <w:numPr>
        <w:ilvl w:val="1"/>
        <w:numId w:val="1"/>
      </w:numPr>
      <w:spacing w:line="360" w:lineRule="auto"/>
      <w:ind w:left="575" w:hanging="575"/>
      <w:jc w:val="left"/>
      <w:outlineLvl w:val="1"/>
    </w:pPr>
    <w:rPr>
      <w:rFonts w:ascii="宋体" w:hAnsi="宋体" w:eastAsia="宋体" w:cs="宋体"/>
      <w:b/>
      <w:bCs/>
      <w:sz w:val="30"/>
      <w:szCs w:val="32"/>
      <w:lang w:val="zh-CN" w:bidi="zh-CN"/>
    </w:rPr>
  </w:style>
  <w:style w:type="paragraph" w:styleId="4">
    <w:name w:val="heading 3"/>
    <w:basedOn w:val="1"/>
    <w:next w:val="1"/>
    <w:link w:val="44"/>
    <w:unhideWhenUsed/>
    <w:qFormat/>
    <w:uiPriority w:val="0"/>
    <w:pPr>
      <w:keepNext/>
      <w:keepLines/>
      <w:numPr>
        <w:ilvl w:val="2"/>
        <w:numId w:val="1"/>
      </w:numPr>
      <w:spacing w:line="360" w:lineRule="auto"/>
      <w:ind w:left="0" w:firstLine="0"/>
      <w:outlineLvl w:val="2"/>
    </w:pPr>
    <w:rPr>
      <w:rFonts w:eastAsia="宋体" w:asciiTheme="minorAscii" w:hAnsiTheme="minorAscii"/>
      <w:b/>
      <w:bCs/>
      <w:sz w:val="28"/>
      <w:szCs w:val="32"/>
    </w:rPr>
  </w:style>
  <w:style w:type="paragraph" w:styleId="5">
    <w:name w:val="heading 4"/>
    <w:basedOn w:val="1"/>
    <w:next w:val="6"/>
    <w:link w:val="45"/>
    <w:unhideWhenUsed/>
    <w:qFormat/>
    <w:uiPriority w:val="9"/>
    <w:pPr>
      <w:keepNext/>
      <w:keepLines/>
      <w:numPr>
        <w:ilvl w:val="3"/>
        <w:numId w:val="1"/>
      </w:numPr>
      <w:spacing w:line="360" w:lineRule="auto"/>
      <w:ind w:left="0" w:firstLine="0"/>
      <w:outlineLvl w:val="3"/>
    </w:pPr>
    <w:rPr>
      <w:rFonts w:eastAsia="宋体" w:asciiTheme="majorAscii" w:hAnsiTheme="majorAscii" w:cstheme="majorBidi"/>
      <w:b/>
      <w:bCs/>
      <w:sz w:val="24"/>
      <w:szCs w:val="28"/>
    </w:rPr>
  </w:style>
  <w:style w:type="paragraph" w:styleId="9">
    <w:name w:val="heading 5"/>
    <w:basedOn w:val="1"/>
    <w:next w:val="1"/>
    <w:qFormat/>
    <w:uiPriority w:val="1"/>
    <w:pPr>
      <w:numPr>
        <w:ilvl w:val="4"/>
        <w:numId w:val="1"/>
      </w:numPr>
      <w:spacing w:line="360" w:lineRule="auto"/>
      <w:ind w:left="1009" w:hanging="1009"/>
      <w:outlineLvl w:val="4"/>
    </w:pPr>
    <w:rPr>
      <w:rFonts w:ascii="宋体" w:hAnsi="宋体" w:eastAsia="宋体" w:cs="宋体"/>
      <w:b/>
      <w:bCs/>
      <w:sz w:val="24"/>
      <w:szCs w:val="24"/>
    </w:rPr>
  </w:style>
  <w:style w:type="paragraph" w:styleId="10">
    <w:name w:val="heading 6"/>
    <w:basedOn w:val="1"/>
    <w:next w:val="1"/>
    <w:qFormat/>
    <w:uiPriority w:val="1"/>
    <w:pPr>
      <w:numPr>
        <w:ilvl w:val="5"/>
        <w:numId w:val="1"/>
      </w:numPr>
      <w:ind w:left="1151" w:hanging="1151"/>
      <w:outlineLvl w:val="5"/>
    </w:pPr>
    <w:rPr>
      <w:rFonts w:ascii="宋体" w:hAnsi="宋体" w:eastAsia="宋体" w:cs="宋体"/>
      <w:b/>
      <w:bCs/>
      <w:sz w:val="24"/>
      <w:szCs w:val="24"/>
      <w:lang w:val="zh-CN" w:eastAsia="zh-CN" w:bidi="zh-CN"/>
    </w:rPr>
  </w:style>
  <w:style w:type="paragraph" w:styleId="11">
    <w:name w:val="heading 7"/>
    <w:basedOn w:val="1"/>
    <w:next w:val="1"/>
    <w:unhideWhenUsed/>
    <w:qFormat/>
    <w:uiPriority w:val="9"/>
    <w:pPr>
      <w:keepNext/>
      <w:keepLines/>
      <w:numPr>
        <w:ilvl w:val="6"/>
        <w:numId w:val="1"/>
      </w:numPr>
      <w:tabs>
        <w:tab w:val="left" w:pos="1296"/>
      </w:tabs>
      <w:spacing w:line="360" w:lineRule="auto"/>
      <w:ind w:left="1296" w:hanging="1296" w:firstLineChars="0"/>
      <w:outlineLvl w:val="6"/>
    </w:pPr>
  </w:style>
  <w:style w:type="paragraph" w:styleId="12">
    <w:name w:val="heading 8"/>
    <w:basedOn w:val="1"/>
    <w:next w:val="1"/>
    <w:semiHidden/>
    <w:unhideWhenUsed/>
    <w:qFormat/>
    <w:uiPriority w:val="9"/>
    <w:pPr>
      <w:keepNext/>
      <w:keepLines/>
      <w:numPr>
        <w:ilvl w:val="7"/>
        <w:numId w:val="1"/>
      </w:numPr>
      <w:spacing w:before="240" w:beforeLines="0" w:beforeAutospacing="0" w:after="64" w:afterLines="0" w:afterAutospacing="0" w:line="317" w:lineRule="auto"/>
      <w:ind w:left="1440" w:hanging="1440"/>
      <w:outlineLvl w:val="7"/>
    </w:pPr>
    <w:rPr>
      <w:rFonts w:ascii="Arial" w:hAnsi="Arial" w:eastAsia="黑体"/>
      <w:sz w:val="24"/>
    </w:rPr>
  </w:style>
  <w:style w:type="paragraph" w:styleId="13">
    <w:name w:val="heading 9"/>
    <w:basedOn w:val="1"/>
    <w:next w:val="1"/>
    <w:semiHidden/>
    <w:unhideWhenUsed/>
    <w:qFormat/>
    <w:uiPriority w:val="9"/>
    <w:pPr>
      <w:keepNext/>
      <w:keepLines/>
      <w:numPr>
        <w:ilvl w:val="8"/>
        <w:numId w:val="1"/>
      </w:numPr>
      <w:spacing w:before="240" w:beforeLines="0" w:beforeAutospacing="0" w:after="64" w:afterLines="0" w:afterAutospacing="0" w:line="317" w:lineRule="auto"/>
      <w:ind w:left="1583" w:hanging="1583"/>
      <w:outlineLvl w:val="8"/>
    </w:pPr>
    <w:rPr>
      <w:rFonts w:ascii="Arial" w:hAnsi="Arial" w:eastAsia="黑体"/>
      <w:sz w:val="21"/>
    </w:rPr>
  </w:style>
  <w:style w:type="character" w:default="1" w:styleId="41">
    <w:name w:val="Default Paragraph Font"/>
    <w:semiHidden/>
    <w:unhideWhenUsed/>
    <w:qFormat/>
    <w:uiPriority w:val="1"/>
  </w:style>
  <w:style w:type="table" w:default="1" w:styleId="39">
    <w:name w:val="Normal Table"/>
    <w:semiHidden/>
    <w:unhideWhenUsed/>
    <w:qFormat/>
    <w:uiPriority w:val="99"/>
    <w:tblPr>
      <w:tblCellMar>
        <w:top w:w="0" w:type="dxa"/>
        <w:left w:w="108" w:type="dxa"/>
        <w:bottom w:w="0" w:type="dxa"/>
        <w:right w:w="108" w:type="dxa"/>
      </w:tblCellMar>
    </w:tblPr>
  </w:style>
  <w:style w:type="paragraph" w:styleId="6">
    <w:name w:val="Body Text First Indent"/>
    <w:basedOn w:val="1"/>
    <w:next w:val="7"/>
    <w:unhideWhenUsed/>
    <w:qFormat/>
    <w:uiPriority w:val="99"/>
    <w:pPr>
      <w:ind w:firstLine="420" w:firstLineChars="100"/>
    </w:pPr>
  </w:style>
  <w:style w:type="paragraph" w:styleId="7">
    <w:name w:val="Plain Text"/>
    <w:basedOn w:val="1"/>
    <w:next w:val="8"/>
    <w:qFormat/>
    <w:uiPriority w:val="0"/>
    <w:pPr>
      <w:ind w:firstLine="200"/>
    </w:pPr>
    <w:rPr>
      <w:rFonts w:ascii="宋体" w:hAnsi="Courier New"/>
      <w:szCs w:val="24"/>
    </w:rPr>
  </w:style>
  <w:style w:type="paragraph" w:styleId="8">
    <w:name w:val="List Number 5"/>
    <w:basedOn w:val="1"/>
    <w:semiHidden/>
    <w:unhideWhenUsed/>
    <w:qFormat/>
    <w:uiPriority w:val="99"/>
    <w:pPr>
      <w:numPr>
        <w:ilvl w:val="0"/>
        <w:numId w:val="2"/>
      </w:numPr>
    </w:pPr>
  </w:style>
  <w:style w:type="paragraph" w:styleId="14">
    <w:name w:val="toc 7"/>
    <w:basedOn w:val="1"/>
    <w:next w:val="1"/>
    <w:unhideWhenUsed/>
    <w:qFormat/>
    <w:uiPriority w:val="39"/>
    <w:pPr>
      <w:ind w:left="2520" w:leftChars="1200"/>
    </w:pPr>
  </w:style>
  <w:style w:type="paragraph" w:styleId="15">
    <w:name w:val="table of authorities"/>
    <w:basedOn w:val="1"/>
    <w:next w:val="1"/>
    <w:qFormat/>
    <w:uiPriority w:val="0"/>
    <w:pPr>
      <w:ind w:left="420" w:leftChars="200"/>
    </w:pPr>
  </w:style>
  <w:style w:type="paragraph" w:styleId="16">
    <w:name w:val="Normal Indent"/>
    <w:basedOn w:val="1"/>
    <w:next w:val="1"/>
    <w:unhideWhenUsed/>
    <w:qFormat/>
    <w:uiPriority w:val="0"/>
    <w:pPr>
      <w:ind w:firstLine="420"/>
    </w:pPr>
    <w:rPr>
      <w:sz w:val="28"/>
      <w:szCs w:val="24"/>
    </w:rPr>
  </w:style>
  <w:style w:type="paragraph" w:styleId="17">
    <w:name w:val="caption"/>
    <w:basedOn w:val="1"/>
    <w:next w:val="1"/>
    <w:qFormat/>
    <w:uiPriority w:val="0"/>
    <w:pPr>
      <w:spacing w:before="152" w:after="160"/>
    </w:pPr>
    <w:rPr>
      <w:rFonts w:ascii="Arial" w:hAnsi="Arial" w:eastAsia="黑体" w:cs="Arial"/>
      <w:sz w:val="20"/>
      <w:szCs w:val="20"/>
    </w:rPr>
  </w:style>
  <w:style w:type="paragraph" w:styleId="18">
    <w:name w:val="annotation text"/>
    <w:basedOn w:val="1"/>
    <w:semiHidden/>
    <w:unhideWhenUsed/>
    <w:qFormat/>
    <w:uiPriority w:val="99"/>
    <w:pPr>
      <w:jc w:val="left"/>
    </w:pPr>
  </w:style>
  <w:style w:type="paragraph" w:styleId="19">
    <w:name w:val="Body Text"/>
    <w:basedOn w:val="1"/>
    <w:next w:val="1"/>
    <w:link w:val="49"/>
    <w:unhideWhenUsed/>
    <w:qFormat/>
    <w:uiPriority w:val="99"/>
    <w:pPr>
      <w:shd w:val="clear" w:color="auto" w:fill="FFFFFF"/>
      <w:spacing w:line="437" w:lineRule="auto"/>
      <w:ind w:firstLine="400"/>
    </w:pPr>
    <w:rPr>
      <w:rFonts w:hint="eastAsia" w:ascii="黑体" w:eastAsia="黑体"/>
      <w:sz w:val="22"/>
      <w:lang w:val="zh-CN"/>
    </w:rPr>
  </w:style>
  <w:style w:type="paragraph" w:styleId="20">
    <w:name w:val="Body Text Indent"/>
    <w:basedOn w:val="1"/>
    <w:qFormat/>
    <w:uiPriority w:val="0"/>
    <w:pPr>
      <w:spacing w:after="120"/>
      <w:ind w:left="420" w:leftChars="200"/>
    </w:pPr>
    <w:rPr>
      <w:kern w:val="0"/>
      <w:sz w:val="24"/>
      <w:szCs w:val="20"/>
    </w:rPr>
  </w:style>
  <w:style w:type="paragraph" w:styleId="21">
    <w:name w:val="List 2"/>
    <w:basedOn w:val="1"/>
    <w:qFormat/>
    <w:uiPriority w:val="0"/>
    <w:pPr>
      <w:ind w:left="100" w:leftChars="200" w:hanging="200" w:hangingChars="200"/>
    </w:pPr>
  </w:style>
  <w:style w:type="paragraph" w:styleId="22">
    <w:name w:val="toc 5"/>
    <w:basedOn w:val="1"/>
    <w:next w:val="1"/>
    <w:unhideWhenUsed/>
    <w:qFormat/>
    <w:uiPriority w:val="39"/>
    <w:pPr>
      <w:ind w:left="1680" w:leftChars="800"/>
    </w:pPr>
  </w:style>
  <w:style w:type="paragraph" w:styleId="23">
    <w:name w:val="toc 3"/>
    <w:basedOn w:val="1"/>
    <w:next w:val="1"/>
    <w:unhideWhenUsed/>
    <w:qFormat/>
    <w:uiPriority w:val="39"/>
    <w:pPr>
      <w:spacing w:line="360" w:lineRule="auto"/>
      <w:ind w:left="400" w:leftChars="400"/>
    </w:pPr>
    <w:rPr>
      <w:rFonts w:ascii="Times New Roman" w:hAnsi="Times New Roman" w:eastAsia="宋体"/>
    </w:rPr>
  </w:style>
  <w:style w:type="paragraph" w:styleId="24">
    <w:name w:val="toc 8"/>
    <w:basedOn w:val="1"/>
    <w:next w:val="1"/>
    <w:unhideWhenUsed/>
    <w:qFormat/>
    <w:uiPriority w:val="39"/>
    <w:pPr>
      <w:ind w:left="2940" w:leftChars="1400"/>
    </w:pPr>
  </w:style>
  <w:style w:type="paragraph" w:styleId="25">
    <w:name w:val="Date"/>
    <w:basedOn w:val="1"/>
    <w:next w:val="1"/>
    <w:link w:val="83"/>
    <w:semiHidden/>
    <w:unhideWhenUsed/>
    <w:qFormat/>
    <w:uiPriority w:val="99"/>
    <w:pPr>
      <w:ind w:left="100" w:leftChars="2500"/>
    </w:pPr>
  </w:style>
  <w:style w:type="paragraph" w:styleId="26">
    <w:name w:val="Body Text Indent 2"/>
    <w:basedOn w:val="1"/>
    <w:next w:val="1"/>
    <w:qFormat/>
    <w:uiPriority w:val="0"/>
    <w:pPr>
      <w:spacing w:after="120" w:line="480" w:lineRule="auto"/>
      <w:ind w:left="420" w:leftChars="200"/>
    </w:pPr>
  </w:style>
  <w:style w:type="paragraph" w:styleId="27">
    <w:name w:val="footer"/>
    <w:basedOn w:val="1"/>
    <w:link w:val="50"/>
    <w:unhideWhenUsed/>
    <w:qFormat/>
    <w:uiPriority w:val="99"/>
    <w:pPr>
      <w:tabs>
        <w:tab w:val="center" w:pos="4153"/>
        <w:tab w:val="right" w:pos="8306"/>
      </w:tabs>
      <w:snapToGrid w:val="0"/>
      <w:jc w:val="left"/>
    </w:pPr>
    <w:rPr>
      <w:sz w:val="18"/>
      <w:szCs w:val="18"/>
    </w:rPr>
  </w:style>
  <w:style w:type="paragraph" w:styleId="28">
    <w:name w:val="header"/>
    <w:basedOn w:val="1"/>
    <w:next w:val="1"/>
    <w:link w:val="51"/>
    <w:unhideWhenUsed/>
    <w:qFormat/>
    <w:uiPriority w:val="99"/>
    <w:pPr>
      <w:pBdr>
        <w:bottom w:val="single" w:color="auto" w:sz="6" w:space="1"/>
      </w:pBdr>
      <w:tabs>
        <w:tab w:val="center" w:pos="4153"/>
        <w:tab w:val="right" w:pos="8306"/>
      </w:tabs>
      <w:snapToGrid w:val="0"/>
      <w:jc w:val="center"/>
    </w:pPr>
    <w:rPr>
      <w:sz w:val="18"/>
      <w:szCs w:val="18"/>
    </w:rPr>
  </w:style>
  <w:style w:type="paragraph" w:styleId="29">
    <w:name w:val="toc 1"/>
    <w:basedOn w:val="1"/>
    <w:next w:val="1"/>
    <w:unhideWhenUsed/>
    <w:qFormat/>
    <w:uiPriority w:val="39"/>
    <w:pPr>
      <w:spacing w:line="360" w:lineRule="auto"/>
    </w:pPr>
    <w:rPr>
      <w:rFonts w:ascii="Times New Roman" w:hAnsi="Times New Roman" w:eastAsia="宋体"/>
      <w:spacing w:val="10"/>
      <w:sz w:val="28"/>
    </w:rPr>
  </w:style>
  <w:style w:type="paragraph" w:styleId="30">
    <w:name w:val="toc 4"/>
    <w:basedOn w:val="1"/>
    <w:next w:val="1"/>
    <w:unhideWhenUsed/>
    <w:qFormat/>
    <w:uiPriority w:val="39"/>
    <w:pPr>
      <w:ind w:left="1260" w:leftChars="600"/>
    </w:pPr>
  </w:style>
  <w:style w:type="paragraph" w:styleId="31">
    <w:name w:val="List"/>
    <w:basedOn w:val="21"/>
    <w:next w:val="1"/>
    <w:qFormat/>
    <w:uiPriority w:val="0"/>
    <w:pPr>
      <w:spacing w:line="240" w:lineRule="auto"/>
      <w:ind w:left="0" w:firstLine="0" w:firstLineChars="0"/>
      <w:contextualSpacing/>
      <w:jc w:val="center"/>
    </w:pPr>
  </w:style>
  <w:style w:type="paragraph" w:styleId="32">
    <w:name w:val="toc 6"/>
    <w:basedOn w:val="1"/>
    <w:next w:val="1"/>
    <w:unhideWhenUsed/>
    <w:qFormat/>
    <w:uiPriority w:val="39"/>
    <w:pPr>
      <w:ind w:left="2100" w:leftChars="1000"/>
    </w:pPr>
  </w:style>
  <w:style w:type="paragraph" w:styleId="33">
    <w:name w:val="Body Text Indent 3"/>
    <w:basedOn w:val="1"/>
    <w:qFormat/>
    <w:uiPriority w:val="0"/>
    <w:pPr>
      <w:ind w:firstLine="495"/>
    </w:pPr>
  </w:style>
  <w:style w:type="paragraph" w:styleId="34">
    <w:name w:val="toc 2"/>
    <w:basedOn w:val="1"/>
    <w:next w:val="1"/>
    <w:unhideWhenUsed/>
    <w:qFormat/>
    <w:uiPriority w:val="39"/>
    <w:pPr>
      <w:spacing w:line="360" w:lineRule="auto"/>
      <w:ind w:left="200" w:leftChars="200"/>
    </w:pPr>
    <w:rPr>
      <w:rFonts w:ascii="Times New Roman" w:hAnsi="Times New Roman" w:eastAsia="宋体"/>
      <w:spacing w:val="10"/>
      <w:sz w:val="24"/>
    </w:rPr>
  </w:style>
  <w:style w:type="paragraph" w:styleId="35">
    <w:name w:val="toc 9"/>
    <w:basedOn w:val="1"/>
    <w:next w:val="1"/>
    <w:unhideWhenUsed/>
    <w:qFormat/>
    <w:uiPriority w:val="39"/>
    <w:pPr>
      <w:ind w:left="3360" w:leftChars="1600"/>
    </w:pPr>
  </w:style>
  <w:style w:type="paragraph" w:styleId="36">
    <w:name w:val="Normal (Web)"/>
    <w:basedOn w:val="1"/>
    <w:qFormat/>
    <w:uiPriority w:val="0"/>
    <w:pPr>
      <w:spacing w:before="100" w:beforeAutospacing="1" w:after="100" w:afterAutospacing="1"/>
    </w:pPr>
    <w:rPr>
      <w:rFonts w:ascii="宋体" w:hAnsi="宋体" w:eastAsia="等线" w:cs="宋体"/>
      <w:sz w:val="24"/>
      <w:szCs w:val="22"/>
      <w:lang w:val="en-US" w:eastAsia="zh-CN" w:bidi="ar-SA"/>
    </w:rPr>
  </w:style>
  <w:style w:type="paragraph" w:styleId="37">
    <w:name w:val="Title"/>
    <w:basedOn w:val="1"/>
    <w:next w:val="1"/>
    <w:qFormat/>
    <w:uiPriority w:val="0"/>
    <w:pPr>
      <w:spacing w:before="240" w:after="60"/>
      <w:jc w:val="center"/>
      <w:outlineLvl w:val="0"/>
    </w:pPr>
    <w:rPr>
      <w:rFonts w:ascii="Arial" w:hAnsi="Arial" w:cs="Arial"/>
      <w:b/>
      <w:bCs/>
      <w:sz w:val="32"/>
      <w:szCs w:val="32"/>
    </w:rPr>
  </w:style>
  <w:style w:type="paragraph" w:styleId="38">
    <w:name w:val="Body Text First Indent 2"/>
    <w:basedOn w:val="20"/>
    <w:next w:val="1"/>
    <w:unhideWhenUsed/>
    <w:qFormat/>
    <w:uiPriority w:val="99"/>
    <w:pPr>
      <w:spacing w:before="120" w:after="120"/>
      <w:ind w:firstLine="420" w:firstLineChars="200"/>
    </w:pPr>
  </w:style>
  <w:style w:type="table" w:styleId="40">
    <w:name w:val="Table Grid"/>
    <w:basedOn w:val="3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2">
    <w:name w:val="page number"/>
    <w:basedOn w:val="41"/>
    <w:qFormat/>
    <w:uiPriority w:val="0"/>
  </w:style>
  <w:style w:type="character" w:styleId="43">
    <w:name w:val="Hyperlink"/>
    <w:basedOn w:val="41"/>
    <w:unhideWhenUsed/>
    <w:qFormat/>
    <w:uiPriority w:val="99"/>
    <w:rPr>
      <w:color w:val="0563C1" w:themeColor="hyperlink"/>
      <w:u w:val="single"/>
      <w14:textFill>
        <w14:solidFill>
          <w14:schemeClr w14:val="hlink"/>
        </w14:solidFill>
      </w14:textFill>
    </w:rPr>
  </w:style>
  <w:style w:type="character" w:customStyle="1" w:styleId="44">
    <w:name w:val="标题 3 Char"/>
    <w:link w:val="4"/>
    <w:qFormat/>
    <w:uiPriority w:val="0"/>
    <w:rPr>
      <w:rFonts w:eastAsia="宋体" w:asciiTheme="minorAscii" w:hAnsiTheme="minorAscii"/>
      <w:b/>
      <w:bCs/>
      <w:sz w:val="28"/>
      <w:szCs w:val="32"/>
    </w:rPr>
  </w:style>
  <w:style w:type="character" w:customStyle="1" w:styleId="45">
    <w:name w:val="标题 4 字符"/>
    <w:basedOn w:val="41"/>
    <w:link w:val="5"/>
    <w:semiHidden/>
    <w:qFormat/>
    <w:uiPriority w:val="9"/>
    <w:rPr>
      <w:rFonts w:eastAsia="宋体" w:asciiTheme="majorAscii" w:hAnsiTheme="majorAscii" w:cstheme="majorBidi"/>
      <w:b/>
      <w:bCs/>
      <w:kern w:val="2"/>
      <w:sz w:val="24"/>
      <w:szCs w:val="28"/>
    </w:rPr>
  </w:style>
  <w:style w:type="paragraph" w:customStyle="1" w:styleId="46">
    <w:name w:val="xl27"/>
    <w:basedOn w:val="1"/>
    <w:next w:val="26"/>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customStyle="1" w:styleId="47">
    <w:name w:val="_Style 1"/>
    <w:basedOn w:val="1"/>
    <w:qFormat/>
    <w:uiPriority w:val="99"/>
    <w:pPr>
      <w:ind w:firstLine="420" w:firstLineChars="200"/>
    </w:pPr>
  </w:style>
  <w:style w:type="paragraph" w:customStyle="1" w:styleId="48">
    <w:name w:val="正文缩进2"/>
    <w:basedOn w:val="1"/>
    <w:unhideWhenUsed/>
    <w:qFormat/>
    <w:uiPriority w:val="0"/>
    <w:pPr>
      <w:ind w:firstLine="720" w:firstLineChars="200"/>
    </w:pPr>
  </w:style>
  <w:style w:type="character" w:customStyle="1" w:styleId="49">
    <w:name w:val="正文文本 字符1"/>
    <w:basedOn w:val="41"/>
    <w:link w:val="19"/>
    <w:unhideWhenUsed/>
    <w:qFormat/>
    <w:uiPriority w:val="99"/>
    <w:rPr>
      <w:rFonts w:hint="eastAsia" w:ascii="黑体" w:hAnsi="Times New Roman" w:eastAsia="黑体"/>
      <w:sz w:val="22"/>
      <w:lang w:val="zh-CN" w:eastAsia="zh-CN"/>
    </w:rPr>
  </w:style>
  <w:style w:type="character" w:customStyle="1" w:styleId="50">
    <w:name w:val="页脚 字符"/>
    <w:basedOn w:val="41"/>
    <w:link w:val="27"/>
    <w:qFormat/>
    <w:uiPriority w:val="99"/>
    <w:rPr>
      <w:sz w:val="18"/>
      <w:szCs w:val="18"/>
    </w:rPr>
  </w:style>
  <w:style w:type="character" w:customStyle="1" w:styleId="51">
    <w:name w:val="页眉 字符"/>
    <w:basedOn w:val="41"/>
    <w:link w:val="28"/>
    <w:qFormat/>
    <w:uiPriority w:val="99"/>
    <w:rPr>
      <w:sz w:val="18"/>
      <w:szCs w:val="18"/>
    </w:rPr>
  </w:style>
  <w:style w:type="paragraph" w:customStyle="1" w:styleId="52">
    <w:name w:val="标题 #4"/>
    <w:basedOn w:val="1"/>
    <w:link w:val="53"/>
    <w:unhideWhenUsed/>
    <w:qFormat/>
    <w:uiPriority w:val="99"/>
    <w:pPr>
      <w:shd w:val="clear" w:color="auto" w:fill="FFFFFF"/>
      <w:spacing w:after="200"/>
      <w:outlineLvl w:val="3"/>
    </w:pPr>
    <w:rPr>
      <w:rFonts w:hint="eastAsia" w:ascii="黑体" w:eastAsia="黑体"/>
      <w:sz w:val="28"/>
      <w:lang w:val="zh-CN"/>
    </w:rPr>
  </w:style>
  <w:style w:type="character" w:customStyle="1" w:styleId="53">
    <w:name w:val="标题 #4_"/>
    <w:basedOn w:val="41"/>
    <w:link w:val="52"/>
    <w:unhideWhenUsed/>
    <w:qFormat/>
    <w:uiPriority w:val="99"/>
    <w:rPr>
      <w:rFonts w:hint="eastAsia" w:ascii="黑体" w:eastAsia="黑体"/>
      <w:sz w:val="28"/>
      <w:lang w:val="zh-CN" w:eastAsia="zh-CN"/>
    </w:rPr>
  </w:style>
  <w:style w:type="character" w:customStyle="1" w:styleId="54">
    <w:name w:val="正文文本 字符"/>
    <w:basedOn w:val="41"/>
    <w:unhideWhenUsed/>
    <w:qFormat/>
    <w:uiPriority w:val="99"/>
    <w:rPr>
      <w:rFonts w:hint="eastAsia" w:ascii="黑体" w:eastAsia="黑体"/>
      <w:sz w:val="22"/>
      <w:lang w:val="zh-CN" w:eastAsia="zh-CN"/>
    </w:rPr>
  </w:style>
  <w:style w:type="paragraph" w:customStyle="1" w:styleId="55">
    <w:name w:val="标题 #5"/>
    <w:basedOn w:val="1"/>
    <w:link w:val="56"/>
    <w:unhideWhenUsed/>
    <w:qFormat/>
    <w:uiPriority w:val="99"/>
    <w:pPr>
      <w:shd w:val="clear" w:color="auto" w:fill="FFFFFF"/>
      <w:spacing w:line="408" w:lineRule="auto"/>
      <w:ind w:firstLine="480"/>
      <w:outlineLvl w:val="4"/>
    </w:pPr>
    <w:rPr>
      <w:rFonts w:hint="eastAsia" w:ascii="黑体" w:eastAsia="黑体"/>
      <w:b/>
      <w:sz w:val="22"/>
      <w:lang w:val="zh-CN"/>
    </w:rPr>
  </w:style>
  <w:style w:type="character" w:customStyle="1" w:styleId="56">
    <w:name w:val="标题 #5_"/>
    <w:basedOn w:val="41"/>
    <w:link w:val="55"/>
    <w:unhideWhenUsed/>
    <w:qFormat/>
    <w:uiPriority w:val="99"/>
    <w:rPr>
      <w:rFonts w:hint="eastAsia" w:ascii="黑体" w:eastAsia="黑体"/>
      <w:b/>
      <w:sz w:val="22"/>
      <w:lang w:val="zh-CN" w:eastAsia="zh-CN"/>
    </w:rPr>
  </w:style>
  <w:style w:type="paragraph" w:customStyle="1" w:styleId="57">
    <w:name w:val="正文文本 (2)"/>
    <w:basedOn w:val="1"/>
    <w:link w:val="58"/>
    <w:unhideWhenUsed/>
    <w:qFormat/>
    <w:uiPriority w:val="99"/>
    <w:pPr>
      <w:shd w:val="clear" w:color="auto" w:fill="FFFFFF"/>
    </w:pPr>
    <w:rPr>
      <w:rFonts w:hint="eastAsia" w:ascii="Times New Roman" w:hAnsi="Times New Roman"/>
      <w:sz w:val="24"/>
    </w:rPr>
  </w:style>
  <w:style w:type="character" w:customStyle="1" w:styleId="58">
    <w:name w:val="正文文本 (2)_"/>
    <w:basedOn w:val="41"/>
    <w:link w:val="57"/>
    <w:unhideWhenUsed/>
    <w:qFormat/>
    <w:uiPriority w:val="99"/>
    <w:rPr>
      <w:rFonts w:hint="eastAsia" w:ascii="Times New Roman" w:hAnsi="Times New Roman"/>
      <w:sz w:val="24"/>
      <w:lang w:eastAsia="zh-CN"/>
    </w:rPr>
  </w:style>
  <w:style w:type="paragraph" w:customStyle="1" w:styleId="59">
    <w:name w:val="标题 #3"/>
    <w:basedOn w:val="1"/>
    <w:link w:val="60"/>
    <w:unhideWhenUsed/>
    <w:qFormat/>
    <w:uiPriority w:val="99"/>
    <w:pPr>
      <w:shd w:val="clear" w:color="auto" w:fill="FFFFFF"/>
      <w:spacing w:after="30"/>
      <w:outlineLvl w:val="2"/>
    </w:pPr>
    <w:rPr>
      <w:rFonts w:hint="eastAsia" w:ascii="Times New Roman" w:hAnsi="Times New Roman"/>
      <w:b/>
      <w:sz w:val="28"/>
    </w:rPr>
  </w:style>
  <w:style w:type="character" w:customStyle="1" w:styleId="60">
    <w:name w:val="标题 #3_"/>
    <w:basedOn w:val="41"/>
    <w:link w:val="59"/>
    <w:unhideWhenUsed/>
    <w:qFormat/>
    <w:uiPriority w:val="99"/>
    <w:rPr>
      <w:rFonts w:hint="eastAsia" w:ascii="Times New Roman" w:hAnsi="Times New Roman"/>
      <w:b/>
      <w:sz w:val="28"/>
      <w:lang w:eastAsia="zh-CN"/>
    </w:rPr>
  </w:style>
  <w:style w:type="paragraph" w:customStyle="1" w:styleId="61">
    <w:name w:val="正文修改样式"/>
    <w:basedOn w:val="33"/>
    <w:qFormat/>
    <w:uiPriority w:val="0"/>
    <w:pPr>
      <w:spacing w:line="360" w:lineRule="auto"/>
      <w:ind w:firstLine="482" w:firstLineChars="200"/>
    </w:pPr>
    <w:rPr>
      <w:sz w:val="24"/>
    </w:rPr>
  </w:style>
  <w:style w:type="paragraph" w:customStyle="1" w:styleId="62">
    <w:name w:val="其他"/>
    <w:basedOn w:val="1"/>
    <w:link w:val="63"/>
    <w:unhideWhenUsed/>
    <w:qFormat/>
    <w:uiPriority w:val="99"/>
    <w:pPr>
      <w:shd w:val="clear" w:color="auto" w:fill="FFFFFF"/>
      <w:spacing w:line="437" w:lineRule="auto"/>
      <w:ind w:firstLine="400"/>
    </w:pPr>
    <w:rPr>
      <w:rFonts w:hint="eastAsia" w:ascii="黑体" w:eastAsia="黑体"/>
      <w:sz w:val="22"/>
      <w:lang w:val="zh-CN"/>
    </w:rPr>
  </w:style>
  <w:style w:type="character" w:customStyle="1" w:styleId="63">
    <w:name w:val="其他_"/>
    <w:basedOn w:val="41"/>
    <w:link w:val="62"/>
    <w:unhideWhenUsed/>
    <w:qFormat/>
    <w:uiPriority w:val="99"/>
    <w:rPr>
      <w:rFonts w:hint="eastAsia" w:ascii="黑体" w:eastAsia="黑体"/>
      <w:sz w:val="22"/>
      <w:lang w:val="zh-CN" w:eastAsia="zh-CN"/>
    </w:rPr>
  </w:style>
  <w:style w:type="character" w:customStyle="1" w:styleId="64">
    <w:name w:val="表头 Char Char Char Char Char"/>
    <w:link w:val="65"/>
    <w:qFormat/>
    <w:uiPriority w:val="0"/>
    <w:rPr>
      <w:b/>
      <w:kern w:val="24"/>
      <w:sz w:val="24"/>
    </w:rPr>
  </w:style>
  <w:style w:type="paragraph" w:customStyle="1" w:styleId="65">
    <w:name w:val="表头"/>
    <w:basedOn w:val="1"/>
    <w:next w:val="1"/>
    <w:link w:val="64"/>
    <w:qFormat/>
    <w:uiPriority w:val="0"/>
    <w:pPr>
      <w:snapToGrid w:val="0"/>
      <w:spacing w:before="120" w:after="120"/>
      <w:jc w:val="center"/>
    </w:pPr>
    <w:rPr>
      <w:rFonts w:ascii="Times New Roman" w:hAnsi="Times New Roman" w:eastAsia="宋体" w:cs="Times New Roman"/>
      <w:b/>
      <w:kern w:val="24"/>
      <w:sz w:val="24"/>
      <w:szCs w:val="20"/>
    </w:rPr>
  </w:style>
  <w:style w:type="character" w:customStyle="1" w:styleId="66">
    <w:name w:val="表格1 Char1"/>
    <w:link w:val="67"/>
    <w:qFormat/>
    <w:uiPriority w:val="0"/>
    <w:rPr>
      <w:sz w:val="21"/>
      <w:szCs w:val="21"/>
    </w:rPr>
  </w:style>
  <w:style w:type="paragraph" w:customStyle="1" w:styleId="67">
    <w:name w:val="表格1"/>
    <w:basedOn w:val="1"/>
    <w:link w:val="66"/>
    <w:qFormat/>
    <w:uiPriority w:val="0"/>
    <w:pPr>
      <w:adjustRightInd w:val="0"/>
      <w:snapToGrid w:val="0"/>
      <w:jc w:val="center"/>
      <w:textAlignment w:val="baseline"/>
    </w:pPr>
    <w:rPr>
      <w:rFonts w:ascii="Times New Roman" w:hAnsi="Times New Roman" w:eastAsia="宋体" w:cs="Times New Roman"/>
      <w:kern w:val="0"/>
      <w:szCs w:val="21"/>
    </w:rPr>
  </w:style>
  <w:style w:type="paragraph" w:customStyle="1" w:styleId="68">
    <w:name w:val="表格正文"/>
    <w:basedOn w:val="1"/>
    <w:next w:val="1"/>
    <w:qFormat/>
    <w:uiPriority w:val="0"/>
    <w:pPr>
      <w:adjustRightInd w:val="0"/>
      <w:spacing w:line="0" w:lineRule="atLeast"/>
      <w:textAlignment w:val="baseline"/>
    </w:pPr>
    <w:rPr>
      <w:rFonts w:ascii="Times New Roman" w:hAnsi="Times New Roman" w:eastAsia="宋体" w:cs="Times New Roman"/>
      <w:szCs w:val="24"/>
    </w:rPr>
  </w:style>
  <w:style w:type="paragraph" w:customStyle="1" w:styleId="69">
    <w:name w:val="1我的表格"/>
    <w:basedOn w:val="1"/>
    <w:qFormat/>
    <w:uiPriority w:val="0"/>
    <w:pPr>
      <w:spacing w:line="320" w:lineRule="exact"/>
      <w:jc w:val="center"/>
    </w:pPr>
    <w:rPr>
      <w:rFonts w:ascii="Times New Roman" w:hAnsi="Times New Roman" w:eastAsia="宋体" w:cs="Times New Roman"/>
      <w:color w:val="FF0000"/>
      <w:szCs w:val="24"/>
    </w:rPr>
  </w:style>
  <w:style w:type="character" w:customStyle="1" w:styleId="70">
    <w:name w:val="表格内容 Char"/>
    <w:link w:val="71"/>
    <w:qFormat/>
    <w:uiPriority w:val="0"/>
    <w:rPr>
      <w:rFonts w:ascii="楷体_GB2312" w:eastAsia="楷体_GB2312"/>
      <w:sz w:val="24"/>
    </w:rPr>
  </w:style>
  <w:style w:type="paragraph" w:customStyle="1" w:styleId="71">
    <w:name w:val="表格内容"/>
    <w:next w:val="1"/>
    <w:link w:val="70"/>
    <w:qFormat/>
    <w:uiPriority w:val="0"/>
    <w:pPr>
      <w:widowControl w:val="0"/>
      <w:adjustRightInd w:val="0"/>
      <w:spacing w:before="40" w:line="0" w:lineRule="atLeast"/>
      <w:jc w:val="center"/>
    </w:pPr>
    <w:rPr>
      <w:rFonts w:ascii="楷体_GB2312" w:hAnsi="Times New Roman" w:eastAsia="楷体_GB2312" w:cs="Times New Roman"/>
      <w:sz w:val="24"/>
      <w:lang w:val="en-US" w:eastAsia="zh-CN" w:bidi="ar-SA"/>
    </w:rPr>
  </w:style>
  <w:style w:type="character" w:customStyle="1" w:styleId="72">
    <w:name w:val="表格标题_"/>
    <w:basedOn w:val="41"/>
    <w:link w:val="73"/>
    <w:qFormat/>
    <w:uiPriority w:val="99"/>
    <w:rPr>
      <w:rFonts w:ascii="黑体" w:eastAsia="黑体" w:cs="黑体"/>
      <w:sz w:val="19"/>
      <w:szCs w:val="19"/>
      <w:shd w:val="clear" w:color="auto" w:fill="FFFFFF"/>
      <w:lang w:val="zh-CN"/>
    </w:rPr>
  </w:style>
  <w:style w:type="paragraph" w:customStyle="1" w:styleId="73">
    <w:name w:val="表格标题"/>
    <w:basedOn w:val="1"/>
    <w:link w:val="72"/>
    <w:qFormat/>
    <w:uiPriority w:val="99"/>
    <w:pPr>
      <w:shd w:val="clear" w:color="auto" w:fill="FFFFFF"/>
      <w:jc w:val="left"/>
    </w:pPr>
    <w:rPr>
      <w:rFonts w:ascii="黑体" w:hAnsi="Times New Roman" w:eastAsia="黑体" w:cs="黑体"/>
      <w:kern w:val="0"/>
      <w:sz w:val="19"/>
      <w:szCs w:val="19"/>
      <w:lang w:val="zh-CN"/>
    </w:rPr>
  </w:style>
  <w:style w:type="paragraph" w:customStyle="1" w:styleId="74">
    <w:name w:val="正文文本 (10)"/>
    <w:basedOn w:val="1"/>
    <w:link w:val="75"/>
    <w:unhideWhenUsed/>
    <w:qFormat/>
    <w:uiPriority w:val="99"/>
    <w:pPr>
      <w:shd w:val="clear" w:color="auto" w:fill="FFFFFF"/>
    </w:pPr>
    <w:rPr>
      <w:rFonts w:hint="eastAsia" w:ascii="Times New Roman" w:hAnsi="Times New Roman"/>
      <w:b/>
      <w:sz w:val="32"/>
    </w:rPr>
  </w:style>
  <w:style w:type="character" w:customStyle="1" w:styleId="75">
    <w:name w:val="正文文本 (10)_"/>
    <w:basedOn w:val="41"/>
    <w:link w:val="74"/>
    <w:unhideWhenUsed/>
    <w:qFormat/>
    <w:uiPriority w:val="99"/>
    <w:rPr>
      <w:rFonts w:hint="eastAsia" w:ascii="Times New Roman" w:hAnsi="Times New Roman"/>
      <w:b/>
      <w:sz w:val="32"/>
      <w:lang w:eastAsia="zh-CN"/>
    </w:rPr>
  </w:style>
  <w:style w:type="paragraph" w:customStyle="1" w:styleId="76">
    <w:name w:val="页眉或页脚"/>
    <w:basedOn w:val="1"/>
    <w:link w:val="77"/>
    <w:unhideWhenUsed/>
    <w:qFormat/>
    <w:uiPriority w:val="99"/>
    <w:pPr>
      <w:shd w:val="clear" w:color="auto" w:fill="FFFFFF"/>
    </w:pPr>
    <w:rPr>
      <w:rFonts w:hint="eastAsia" w:ascii="黑体" w:eastAsia="黑体"/>
      <w:sz w:val="18"/>
      <w:lang w:val="zh-CN"/>
    </w:rPr>
  </w:style>
  <w:style w:type="character" w:customStyle="1" w:styleId="77">
    <w:name w:val="页眉或页脚_"/>
    <w:basedOn w:val="41"/>
    <w:link w:val="76"/>
    <w:unhideWhenUsed/>
    <w:qFormat/>
    <w:uiPriority w:val="99"/>
    <w:rPr>
      <w:rFonts w:hint="eastAsia" w:ascii="黑体" w:eastAsia="黑体"/>
      <w:sz w:val="18"/>
      <w:lang w:val="zh-CN" w:eastAsia="zh-CN"/>
    </w:rPr>
  </w:style>
  <w:style w:type="paragraph" w:customStyle="1" w:styleId="78">
    <w:name w:val="Default"/>
    <w:basedOn w:val="79"/>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79">
    <w:name w:val="纯文本1"/>
    <w:basedOn w:val="1"/>
    <w:qFormat/>
    <w:uiPriority w:val="0"/>
    <w:pPr>
      <w:spacing w:line="240" w:lineRule="auto"/>
      <w:ind w:firstLine="0" w:firstLineChars="0"/>
    </w:pPr>
    <w:rPr>
      <w:rFonts w:ascii="宋体" w:hAnsi="Courier New" w:cs="Courier New"/>
      <w:sz w:val="21"/>
      <w:szCs w:val="21"/>
    </w:rPr>
  </w:style>
  <w:style w:type="paragraph" w:customStyle="1" w:styleId="80">
    <w:name w:val="样式 样式 首行缩进:  2 字符 + 首行缩进:  2 字符"/>
    <w:basedOn w:val="1"/>
    <w:next w:val="29"/>
    <w:qFormat/>
    <w:uiPriority w:val="0"/>
    <w:pPr>
      <w:snapToGrid w:val="0"/>
      <w:spacing w:line="360" w:lineRule="auto"/>
      <w:ind w:firstLine="560" w:firstLineChars="200"/>
    </w:pPr>
    <w:rPr>
      <w:spacing w:val="0"/>
      <w:sz w:val="28"/>
    </w:rPr>
  </w:style>
  <w:style w:type="paragraph" w:customStyle="1" w:styleId="81">
    <w:name w:val="批注文字1"/>
    <w:qFormat/>
    <w:uiPriority w:val="0"/>
    <w:pPr>
      <w:widowControl w:val="0"/>
    </w:pPr>
    <w:rPr>
      <w:rFonts w:ascii="Times New Roman" w:hAnsi="Times New Roman" w:eastAsia="Times New Roman" w:cs="Times New Roman"/>
      <w:color w:val="000000"/>
      <w:kern w:val="2"/>
      <w:sz w:val="21"/>
      <w:szCs w:val="24"/>
      <w:lang w:val="en-US" w:eastAsia="zh-CN" w:bidi="ar-SA"/>
    </w:rPr>
  </w:style>
  <w:style w:type="paragraph" w:styleId="82">
    <w:name w:val="List Paragraph"/>
    <w:basedOn w:val="1"/>
    <w:qFormat/>
    <w:uiPriority w:val="99"/>
    <w:pPr>
      <w:ind w:firstLine="420" w:firstLineChars="200"/>
    </w:pPr>
  </w:style>
  <w:style w:type="character" w:customStyle="1" w:styleId="83">
    <w:name w:val="日期 字符"/>
    <w:basedOn w:val="41"/>
    <w:link w:val="25"/>
    <w:semiHidden/>
    <w:qFormat/>
    <w:uiPriority w:val="99"/>
    <w:rPr>
      <w:rFonts w:asciiTheme="minorHAnsi" w:hAnsiTheme="minorHAnsi" w:eastAsiaTheme="minorEastAsia" w:cstheme="minorBidi"/>
      <w:kern w:val="2"/>
      <w:sz w:val="21"/>
      <w:szCs w:val="22"/>
    </w:rPr>
  </w:style>
  <w:style w:type="paragraph" w:customStyle="1" w:styleId="84">
    <w:name w:val="表格文字"/>
    <w:basedOn w:val="7"/>
    <w:qFormat/>
    <w:uiPriority w:val="0"/>
    <w:pPr>
      <w:adjustRightInd w:val="0"/>
      <w:snapToGrid w:val="0"/>
      <w:ind w:left="-76" w:leftChars="-33" w:hanging="17" w:hangingChars="8"/>
      <w:jc w:val="center"/>
    </w:pPr>
    <w:rPr>
      <w:rFonts w:ascii="宋体" w:hAnsi="宋体" w:eastAsia="宋体" w:cs="Times New Roman"/>
      <w:kern w:val="0"/>
      <w:szCs w:val="28"/>
    </w:rPr>
  </w:style>
  <w:style w:type="paragraph" w:customStyle="1" w:styleId="85">
    <w:name w:val="Table Paragraph"/>
    <w:basedOn w:val="1"/>
    <w:qFormat/>
    <w:uiPriority w:val="1"/>
  </w:style>
  <w:style w:type="paragraph" w:customStyle="1" w:styleId="86">
    <w:name w:val="标准正文"/>
    <w:basedOn w:val="1"/>
    <w:qFormat/>
    <w:uiPriority w:val="0"/>
    <w:pPr>
      <w:widowControl/>
      <w:spacing w:line="360" w:lineRule="auto"/>
      <w:ind w:firstLine="480" w:firstLineChars="200"/>
      <w:jc w:val="left"/>
    </w:pPr>
    <w:rPr>
      <w:rFonts w:ascii="Calibri" w:hAnsi="Calibri" w:eastAsia="宋体" w:cs="Times New Roman"/>
      <w:bCs/>
      <w:sz w:val="24"/>
      <w:szCs w:val="22"/>
      <w:u w:val="single"/>
    </w:rPr>
  </w:style>
  <w:style w:type="paragraph" w:customStyle="1" w:styleId="87">
    <w:name w:val="样式 0正文 + 首行缩进:  2 字符1"/>
    <w:basedOn w:val="1"/>
    <w:next w:val="36"/>
    <w:qFormat/>
    <w:uiPriority w:val="0"/>
    <w:pPr>
      <w:spacing w:line="360" w:lineRule="auto"/>
      <w:ind w:firstLine="200" w:firstLineChars="200"/>
    </w:pPr>
    <w:rPr>
      <w:sz w:val="28"/>
      <w:szCs w:val="28"/>
    </w:rPr>
  </w:style>
  <w:style w:type="paragraph" w:customStyle="1" w:styleId="88">
    <w:name w:val="Heading 2"/>
    <w:basedOn w:val="1"/>
    <w:qFormat/>
    <w:uiPriority w:val="1"/>
    <w:pPr>
      <w:ind w:left="134"/>
      <w:outlineLvl w:val="2"/>
    </w:pPr>
    <w:rPr>
      <w:rFonts w:ascii="黑体" w:hAnsi="黑体" w:eastAsia="黑体"/>
      <w:sz w:val="30"/>
      <w:szCs w:val="30"/>
    </w:rPr>
  </w:style>
  <w:style w:type="paragraph" w:customStyle="1" w:styleId="89">
    <w:name w:val="Heading 3"/>
    <w:basedOn w:val="1"/>
    <w:qFormat/>
    <w:uiPriority w:val="1"/>
    <w:pPr>
      <w:ind w:left="134"/>
      <w:outlineLvl w:val="3"/>
    </w:pPr>
    <w:rPr>
      <w:rFonts w:ascii="黑体" w:hAnsi="黑体" w:eastAsia="黑体"/>
      <w:sz w:val="28"/>
      <w:szCs w:val="28"/>
    </w:rPr>
  </w:style>
  <w:style w:type="character" w:customStyle="1" w:styleId="90">
    <w:name w:val="font11"/>
    <w:basedOn w:val="41"/>
    <w:qFormat/>
    <w:uiPriority w:val="0"/>
    <w:rPr>
      <w:rFonts w:hint="eastAsia" w:ascii="宋体" w:hAnsi="宋体" w:eastAsia="宋体" w:cs="宋体"/>
      <w:color w:val="000000"/>
      <w:sz w:val="21"/>
      <w:szCs w:val="21"/>
      <w:u w:val="none"/>
    </w:rPr>
  </w:style>
  <w:style w:type="character" w:customStyle="1" w:styleId="91">
    <w:name w:val="font01"/>
    <w:basedOn w:val="41"/>
    <w:qFormat/>
    <w:uiPriority w:val="0"/>
    <w:rPr>
      <w:rFonts w:ascii="Times New Roman" w:hAnsi="Times New Roman" w:cs="Times New Roman"/>
      <w:color w:val="000000"/>
      <w:sz w:val="21"/>
      <w:szCs w:val="21"/>
      <w:u w:val="none"/>
    </w:rPr>
  </w:style>
  <w:style w:type="paragraph" w:customStyle="1" w:styleId="92">
    <w:name w:val="Heading 5"/>
    <w:basedOn w:val="1"/>
    <w:qFormat/>
    <w:uiPriority w:val="1"/>
    <w:pPr>
      <w:spacing w:before="26"/>
      <w:ind w:left="617"/>
      <w:outlineLvl w:val="5"/>
    </w:pPr>
    <w:rPr>
      <w:rFonts w:ascii="宋体" w:hAnsi="宋体" w:eastAsia="宋体"/>
      <w:b/>
      <w:bCs/>
      <w:sz w:val="24"/>
      <w:szCs w:val="24"/>
    </w:rPr>
  </w:style>
  <w:style w:type="paragraph" w:customStyle="1" w:styleId="93">
    <w:name w:val=" Char Char Char Char Char Char Char Char Char Char Char Char Char Char Char Char Char Char Char Char Char Char"/>
    <w:basedOn w:val="1"/>
    <w:next w:val="1"/>
    <w:qFormat/>
    <w:uiPriority w:val="0"/>
    <w:pPr>
      <w:ind w:firstLine="200" w:firstLineChars="200"/>
    </w:pPr>
    <w:rPr>
      <w:rFonts w:ascii="宋体" w:hAnsi="宋体"/>
    </w:rPr>
  </w:style>
  <w:style w:type="paragraph" w:customStyle="1" w:styleId="94">
    <w:name w:val="样式 小四 行距: 固定值 24 磅 首行缩进:  1.5 字符"/>
    <w:basedOn w:val="1"/>
    <w:qFormat/>
    <w:uiPriority w:val="0"/>
    <w:pPr>
      <w:adjustRightInd w:val="0"/>
      <w:snapToGrid w:val="0"/>
      <w:spacing w:line="360" w:lineRule="auto"/>
      <w:ind w:firstLine="200" w:firstLineChars="200"/>
    </w:pPr>
    <w:rPr>
      <w:rFonts w:ascii="Times New Roman" w:hAnsi="Times New Roman" w:eastAsia="宋体"/>
      <w:kern w:val="0"/>
      <w:sz w:val="24"/>
    </w:rPr>
  </w:style>
  <w:style w:type="table" w:customStyle="1" w:styleId="95">
    <w:name w:val="Table Normal"/>
    <w:unhideWhenUsed/>
    <w:qFormat/>
    <w:uiPriority w:val="0"/>
    <w:tblPr>
      <w:tblCellMar>
        <w:top w:w="0" w:type="dxa"/>
        <w:left w:w="0" w:type="dxa"/>
        <w:bottom w:w="0" w:type="dxa"/>
        <w:right w:w="0" w:type="dxa"/>
      </w:tblCellMar>
    </w:tblPr>
  </w:style>
  <w:style w:type="character" w:customStyle="1" w:styleId="96">
    <w:name w:val="样式 小四"/>
    <w:qFormat/>
    <w:uiPriority w:val="0"/>
    <w:rPr>
      <w:rFonts w:ascii="Times New Roman" w:hAnsi="Times New Roman" w:eastAsia="宋体"/>
      <w:color w:val="000000"/>
      <w:kern w:val="2"/>
      <w:sz w:val="24"/>
      <w:szCs w:val="24"/>
      <w:lang w:val="en-US" w:eastAsia="zh-CN" w:bidi="ar-SA"/>
    </w:rPr>
  </w:style>
  <w:style w:type="paragraph" w:customStyle="1" w:styleId="97">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98">
    <w:name w:val="表文字"/>
    <w:basedOn w:val="1"/>
    <w:qFormat/>
    <w:uiPriority w:val="0"/>
    <w:pPr>
      <w:spacing w:line="240" w:lineRule="atLeast"/>
      <w:ind w:firstLine="0" w:firstLineChars="0"/>
      <w:jc w:val="center"/>
    </w:pPr>
    <w:rPr>
      <w:kern w:val="10"/>
      <w:szCs w:val="20"/>
    </w:rPr>
  </w:style>
  <w:style w:type="paragraph" w:customStyle="1" w:styleId="99">
    <w:name w:val="文字"/>
    <w:basedOn w:val="1"/>
    <w:qFormat/>
    <w:uiPriority w:val="0"/>
    <w:pPr>
      <w:widowControl/>
      <w:spacing w:after="156" w:afterLines="50" w:line="360" w:lineRule="auto"/>
      <w:ind w:firstLine="420"/>
    </w:pPr>
    <w:rPr>
      <w:sz w:val="24"/>
      <w:szCs w:val="24"/>
    </w:rPr>
  </w:style>
  <w:style w:type="paragraph" w:customStyle="1" w:styleId="100">
    <w:name w:val="正文1"/>
    <w:basedOn w:val="1"/>
    <w:qFormat/>
    <w:uiPriority w:val="0"/>
    <w:pPr>
      <w:spacing w:line="360" w:lineRule="auto"/>
      <w:ind w:firstLine="723" w:firstLineChars="200"/>
    </w:pPr>
    <w:rPr>
      <w:rFonts w:ascii="Times New Roman" w:hAnsi="Times New Roman"/>
      <w:kern w:val="0"/>
      <w:sz w:val="24"/>
      <w:szCs w:val="20"/>
    </w:rPr>
  </w:style>
  <w:style w:type="paragraph" w:customStyle="1" w:styleId="101">
    <w:name w:val="正文首行"/>
    <w:basedOn w:val="16"/>
    <w:qFormat/>
    <w:uiPriority w:val="0"/>
    <w:pPr>
      <w:keepNext w:val="0"/>
      <w:keepLines w:val="0"/>
      <w:widowControl w:val="0"/>
      <w:suppressLineNumbers w:val="0"/>
      <w:adjustRightInd w:val="0"/>
      <w:snapToGrid w:val="0"/>
      <w:spacing w:before="0" w:beforeAutospacing="0" w:after="0" w:afterAutospacing="0" w:line="440" w:lineRule="exact"/>
      <w:ind w:left="-50" w:leftChars="-50" w:right="0" w:firstLine="361" w:firstLineChars="200"/>
      <w:jc w:val="left"/>
    </w:pPr>
    <w:rPr>
      <w:rFonts w:hint="default" w:ascii="Times New Roman" w:hAnsi="Times New Roman" w:eastAsia="宋体" w:cs="Times New Roman"/>
      <w:kern w:val="2"/>
      <w:sz w:val="24"/>
      <w:szCs w:val="20"/>
      <w:lang w:val="en-US" w:eastAsia="zh-CN" w:bidi="ar"/>
    </w:rPr>
  </w:style>
  <w:style w:type="paragraph" w:customStyle="1" w:styleId="102">
    <w:name w:val="表标题"/>
    <w:basedOn w:val="1"/>
    <w:qFormat/>
    <w:uiPriority w:val="0"/>
    <w:pPr>
      <w:jc w:val="center"/>
    </w:pPr>
    <w:rPr>
      <w:rFonts w:ascii="Times New Roman" w:hAnsi="Times New Roman"/>
      <w:b/>
      <w:kern w:val="0"/>
      <w:sz w:val="20"/>
      <w:szCs w:val="20"/>
    </w:rPr>
  </w:style>
  <w:style w:type="paragraph" w:customStyle="1" w:styleId="103">
    <w:name w:val="正文（首行缩进两个字） + 首行缩进:  2 字符"/>
    <w:basedOn w:val="1"/>
    <w:qFormat/>
    <w:uiPriority w:val="0"/>
    <w:pPr>
      <w:widowControl/>
      <w:spacing w:line="440" w:lineRule="exact"/>
      <w:ind w:firstLine="200" w:firstLineChars="200"/>
      <w:jc w:val="left"/>
    </w:pPr>
    <w:rPr>
      <w:rFonts w:eastAsia="仿宋_GB2312" w:cs="宋体"/>
      <w:szCs w:val="20"/>
    </w:rPr>
  </w:style>
  <w:style w:type="paragraph" w:customStyle="1" w:styleId="104">
    <w:name w:val="1 表头"/>
    <w:basedOn w:val="1"/>
    <w:qFormat/>
    <w:uiPriority w:val="99"/>
    <w:pPr>
      <w:widowControl/>
      <w:spacing w:line="240" w:lineRule="auto"/>
      <w:ind w:firstLine="0" w:firstLineChars="0"/>
      <w:jc w:val="center"/>
    </w:pPr>
    <w:rPr>
      <w:b/>
      <w:kern w:val="0"/>
      <w:sz w:val="21"/>
      <w:szCs w:val="20"/>
    </w:rPr>
  </w:style>
  <w:style w:type="paragraph" w:customStyle="1" w:styleId="105">
    <w:name w:val="xdhb-0"/>
    <w:qFormat/>
    <w:uiPriority w:val="0"/>
    <w:pPr>
      <w:spacing w:line="360" w:lineRule="auto"/>
      <w:ind w:firstLine="480" w:firstLineChars="200"/>
      <w:jc w:val="both"/>
    </w:pPr>
    <w:rPr>
      <w:rFonts w:ascii="Times New Roman" w:hAnsi="Times New Roman" w:eastAsia="宋体" w:cs="Times New Roman"/>
      <w:kern w:val="2"/>
      <w:sz w:val="24"/>
      <w:szCs w:val="24"/>
      <w:lang w:val="en-US" w:eastAsia="zh-CN" w:bidi="ar-SA"/>
    </w:rPr>
  </w:style>
  <w:style w:type="paragraph" w:customStyle="1" w:styleId="106">
    <w:name w:val="四级条标题"/>
    <w:basedOn w:val="107"/>
    <w:next w:val="111"/>
    <w:qFormat/>
    <w:uiPriority w:val="0"/>
    <w:pPr>
      <w:tabs>
        <w:tab w:val="left" w:pos="360"/>
        <w:tab w:val="left" w:pos="432"/>
        <w:tab w:val="left" w:pos="1260"/>
      </w:tabs>
      <w:outlineLvl w:val="5"/>
    </w:pPr>
    <w:rPr>
      <w:szCs w:val="20"/>
    </w:rPr>
  </w:style>
  <w:style w:type="paragraph" w:customStyle="1" w:styleId="107">
    <w:name w:val="三级条标题"/>
    <w:basedOn w:val="108"/>
    <w:next w:val="111"/>
    <w:qFormat/>
    <w:uiPriority w:val="0"/>
    <w:pPr>
      <w:numPr>
        <w:ilvl w:val="0"/>
        <w:numId w:val="0"/>
      </w:numPr>
      <w:tabs>
        <w:tab w:val="left" w:pos="360"/>
        <w:tab w:val="left" w:pos="432"/>
        <w:tab w:val="left" w:pos="1260"/>
      </w:tabs>
      <w:outlineLvl w:val="4"/>
    </w:pPr>
  </w:style>
  <w:style w:type="paragraph" w:customStyle="1" w:styleId="108">
    <w:name w:val="二级条标题"/>
    <w:basedOn w:val="109"/>
    <w:next w:val="111"/>
    <w:qFormat/>
    <w:uiPriority w:val="0"/>
    <w:pPr>
      <w:numPr>
        <w:ilvl w:val="3"/>
      </w:numPr>
      <w:tabs>
        <w:tab w:val="left" w:pos="360"/>
        <w:tab w:val="left" w:pos="432"/>
        <w:tab w:val="left" w:pos="1260"/>
      </w:tabs>
      <w:outlineLvl w:val="3"/>
    </w:pPr>
  </w:style>
  <w:style w:type="paragraph" w:customStyle="1" w:styleId="109">
    <w:name w:val="一级条标题"/>
    <w:basedOn w:val="110"/>
    <w:next w:val="111"/>
    <w:qFormat/>
    <w:uiPriority w:val="0"/>
    <w:pPr>
      <w:keepNext w:val="0"/>
      <w:keepLines w:val="0"/>
      <w:pageBreakBefore w:val="0"/>
      <w:widowControl/>
      <w:numPr>
        <w:ilvl w:val="0"/>
        <w:numId w:val="0"/>
      </w:numPr>
      <w:tabs>
        <w:tab w:val="left" w:pos="360"/>
        <w:tab w:val="left" w:pos="432"/>
      </w:tabs>
      <w:spacing w:before="0" w:after="0" w:line="240" w:lineRule="auto"/>
      <w:outlineLvl w:val="2"/>
    </w:pPr>
    <w:rPr>
      <w:rFonts w:ascii="黑体" w:eastAsia="黑体"/>
      <w:kern w:val="0"/>
      <w:sz w:val="21"/>
    </w:rPr>
  </w:style>
  <w:style w:type="paragraph" w:customStyle="1" w:styleId="110">
    <w:name w:val="章标题"/>
    <w:basedOn w:val="1"/>
    <w:next w:val="111"/>
    <w:qFormat/>
    <w:uiPriority w:val="0"/>
    <w:pPr>
      <w:widowControl/>
      <w:spacing w:before="158" w:after="153" w:line="323" w:lineRule="atLeast"/>
      <w:jc w:val="center"/>
      <w:textAlignment w:val="baseline"/>
    </w:pPr>
    <w:rPr>
      <w:rFonts w:ascii="Arial" w:eastAsia="黑体"/>
      <w:color w:val="000000"/>
      <w:kern w:val="0"/>
      <w:sz w:val="31"/>
      <w:szCs w:val="20"/>
    </w:rPr>
  </w:style>
  <w:style w:type="paragraph" w:customStyle="1" w:styleId="111">
    <w:name w:val="段"/>
    <w:qFormat/>
    <w:uiPriority w:val="0"/>
    <w:pPr>
      <w:autoSpaceDE w:val="0"/>
      <w:autoSpaceDN w:val="0"/>
      <w:ind w:firstLine="200" w:firstLineChars="200"/>
      <w:jc w:val="both"/>
    </w:pPr>
    <w:rPr>
      <w:rFonts w:ascii="宋体" w:hAnsi="Times New Roman" w:eastAsia="宋体" w:cs="Times New Roman"/>
      <w:sz w:val="21"/>
      <w:szCs w:val="22"/>
      <w:lang w:val="en-US" w:eastAsia="zh-CN" w:bidi="ar-SA"/>
    </w:rPr>
  </w:style>
  <w:style w:type="paragraph" w:customStyle="1" w:styleId="112">
    <w:name w:val="xdhb-TB-Head"/>
    <w:basedOn w:val="1"/>
    <w:next w:val="105"/>
    <w:qFormat/>
    <w:uiPriority w:val="0"/>
    <w:pPr>
      <w:spacing w:line="360" w:lineRule="auto"/>
      <w:jc w:val="center"/>
    </w:pPr>
    <w:rPr>
      <w:rFonts w:eastAsia="黑体"/>
      <w:sz w:val="24"/>
    </w:rPr>
  </w:style>
  <w:style w:type="paragraph" w:customStyle="1" w:styleId="113">
    <w:name w:val="xdhb-TB"/>
    <w:qFormat/>
    <w:uiPriority w:val="0"/>
    <w:pPr>
      <w:jc w:val="center"/>
    </w:pPr>
    <w:rPr>
      <w:rFonts w:ascii="Times New Roman" w:hAnsi="Times New Roman" w:eastAsia="宋体" w:cs="Times New Roman"/>
      <w:kern w:val="2"/>
      <w:sz w:val="21"/>
      <w:szCs w:val="24"/>
      <w:lang w:val="en-US" w:eastAsia="zh-CN" w:bidi="ar-SA"/>
    </w:rPr>
  </w:style>
  <w:style w:type="table" w:customStyle="1" w:styleId="114">
    <w:name w:val="Table Normal1"/>
    <w:unhideWhenUsed/>
    <w:qFormat/>
    <w:uiPriority w:val="2"/>
    <w:pPr>
      <w:widowControl w:val="0"/>
    </w:pPr>
    <w:rPr>
      <w:sz w:val="22"/>
      <w:lang w:eastAsia="en-US"/>
    </w:rPr>
    <w:tblPr>
      <w:tblCellMar>
        <w:top w:w="0" w:type="dxa"/>
        <w:left w:w="0" w:type="dxa"/>
        <w:bottom w:w="0" w:type="dxa"/>
        <w:right w:w="0" w:type="dxa"/>
      </w:tblCellMar>
    </w:tblPr>
  </w:style>
  <w:style w:type="paragraph" w:customStyle="1" w:styleId="115">
    <w:name w:val="Char"/>
    <w:basedOn w:val="1"/>
    <w:qFormat/>
    <w:uiPriority w:val="0"/>
  </w:style>
  <w:style w:type="paragraph" w:customStyle="1" w:styleId="116">
    <w:name w:val="lh-表格文字-报告书"/>
    <w:qFormat/>
    <w:uiPriority w:val="0"/>
    <w:pPr>
      <w:jc w:val="center"/>
    </w:pPr>
    <w:rPr>
      <w:rFonts w:ascii="Times New Roman" w:hAnsi="Times New Roman" w:eastAsia="宋体" w:cstheme="minorBidi"/>
      <w:snapToGrid w:val="0"/>
      <w:kern w:val="0"/>
      <w:sz w:val="21"/>
      <w:szCs w:val="24"/>
      <w:lang w:val="en-US" w:eastAsia="zh-CN" w:bidi="ar-SA"/>
    </w:rPr>
  </w:style>
  <w:style w:type="character" w:customStyle="1" w:styleId="117">
    <w:name w:val="font31"/>
    <w:basedOn w:val="41"/>
    <w:qFormat/>
    <w:uiPriority w:val="0"/>
    <w:rPr>
      <w:rFonts w:hint="default" w:ascii="Times New Roman" w:hAnsi="Times New Roman" w:cs="Times New Roman"/>
      <w:color w:val="FF0000"/>
      <w:sz w:val="21"/>
      <w:szCs w:val="21"/>
      <w:u w:val="none"/>
      <w:vertAlign w:val="superscript"/>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header" Target="header1.xml"/><Relationship Id="rId76" Type="http://schemas.openxmlformats.org/officeDocument/2006/relationships/fontTable" Target="fontTable.xml"/><Relationship Id="rId75" Type="http://schemas.openxmlformats.org/officeDocument/2006/relationships/customXml" Target="../customXml/item2.xml"/><Relationship Id="rId74" Type="http://schemas.openxmlformats.org/officeDocument/2006/relationships/numbering" Target="numbering.xml"/><Relationship Id="rId73" Type="http://schemas.openxmlformats.org/officeDocument/2006/relationships/customXml" Target="../customXml/item1.xml"/><Relationship Id="rId72" Type="http://schemas.openxmlformats.org/officeDocument/2006/relationships/image" Target="media/image40.png"/><Relationship Id="rId71" Type="http://schemas.openxmlformats.org/officeDocument/2006/relationships/image" Target="media/image39.png"/><Relationship Id="rId70" Type="http://schemas.openxmlformats.org/officeDocument/2006/relationships/image" Target="media/image38.jpeg"/><Relationship Id="rId7" Type="http://schemas.openxmlformats.org/officeDocument/2006/relationships/footer" Target="footer5.xml"/><Relationship Id="rId69" Type="http://schemas.openxmlformats.org/officeDocument/2006/relationships/image" Target="media/image37.jpeg"/><Relationship Id="rId68" Type="http://schemas.openxmlformats.org/officeDocument/2006/relationships/image" Target="media/image36.jpeg"/><Relationship Id="rId67" Type="http://schemas.openxmlformats.org/officeDocument/2006/relationships/image" Target="media/image35.png"/><Relationship Id="rId66" Type="http://schemas.openxmlformats.org/officeDocument/2006/relationships/image" Target="media/image34.wmf"/><Relationship Id="rId65" Type="http://schemas.openxmlformats.org/officeDocument/2006/relationships/oleObject" Target="embeddings/oleObject8.bin"/><Relationship Id="rId64" Type="http://schemas.openxmlformats.org/officeDocument/2006/relationships/image" Target="media/image33.wmf"/><Relationship Id="rId63" Type="http://schemas.openxmlformats.org/officeDocument/2006/relationships/image" Target="media/image32.wmf"/><Relationship Id="rId62" Type="http://schemas.openxmlformats.org/officeDocument/2006/relationships/oleObject" Target="embeddings/oleObject7.bin"/><Relationship Id="rId61" Type="http://schemas.openxmlformats.org/officeDocument/2006/relationships/image" Target="media/image31.jpeg"/><Relationship Id="rId60" Type="http://schemas.openxmlformats.org/officeDocument/2006/relationships/image" Target="media/image30.jpeg"/><Relationship Id="rId6" Type="http://schemas.openxmlformats.org/officeDocument/2006/relationships/footer" Target="footer4.xml"/><Relationship Id="rId59" Type="http://schemas.openxmlformats.org/officeDocument/2006/relationships/image" Target="media/image29.jpeg"/><Relationship Id="rId58" Type="http://schemas.openxmlformats.org/officeDocument/2006/relationships/image" Target="media/image28.jpeg"/><Relationship Id="rId57" Type="http://schemas.openxmlformats.org/officeDocument/2006/relationships/image" Target="media/image27.png"/><Relationship Id="rId56" Type="http://schemas.openxmlformats.org/officeDocument/2006/relationships/image" Target="media/image26.png"/><Relationship Id="rId55" Type="http://schemas.openxmlformats.org/officeDocument/2006/relationships/image" Target="media/image25.wmf"/><Relationship Id="rId54" Type="http://schemas.openxmlformats.org/officeDocument/2006/relationships/oleObject" Target="embeddings/oleObject6.bin"/><Relationship Id="rId53" Type="http://schemas.openxmlformats.org/officeDocument/2006/relationships/image" Target="media/image24.wmf"/><Relationship Id="rId52" Type="http://schemas.openxmlformats.org/officeDocument/2006/relationships/oleObject" Target="embeddings/oleObject5.bin"/><Relationship Id="rId51" Type="http://schemas.openxmlformats.org/officeDocument/2006/relationships/image" Target="media/image23.wmf"/><Relationship Id="rId50" Type="http://schemas.openxmlformats.org/officeDocument/2006/relationships/oleObject" Target="embeddings/oleObject4.bin"/><Relationship Id="rId5" Type="http://schemas.openxmlformats.org/officeDocument/2006/relationships/footer" Target="footer3.xml"/><Relationship Id="rId49" Type="http://schemas.openxmlformats.org/officeDocument/2006/relationships/image" Target="media/image22.wmf"/><Relationship Id="rId48" Type="http://schemas.openxmlformats.org/officeDocument/2006/relationships/oleObject" Target="embeddings/oleObject3.bin"/><Relationship Id="rId47" Type="http://schemas.openxmlformats.org/officeDocument/2006/relationships/image" Target="media/image21.png"/><Relationship Id="rId46" Type="http://schemas.openxmlformats.org/officeDocument/2006/relationships/image" Target="media/image20.wmf"/><Relationship Id="rId45" Type="http://schemas.openxmlformats.org/officeDocument/2006/relationships/oleObject" Target="embeddings/oleObject2.bin"/><Relationship Id="rId44" Type="http://schemas.openxmlformats.org/officeDocument/2006/relationships/image" Target="media/image19.png"/><Relationship Id="rId43" Type="http://schemas.openxmlformats.org/officeDocument/2006/relationships/image" Target="media/image18.png"/><Relationship Id="rId42" Type="http://schemas.openxmlformats.org/officeDocument/2006/relationships/image" Target="media/image17.png"/><Relationship Id="rId41" Type="http://schemas.openxmlformats.org/officeDocument/2006/relationships/image" Target="media/image16.png"/><Relationship Id="rId40" Type="http://schemas.openxmlformats.org/officeDocument/2006/relationships/image" Target="media/image15.png"/><Relationship Id="rId4" Type="http://schemas.openxmlformats.org/officeDocument/2006/relationships/footer" Target="footer2.xml"/><Relationship Id="rId39" Type="http://schemas.openxmlformats.org/officeDocument/2006/relationships/image" Target="media/image14.png"/><Relationship Id="rId38" Type="http://schemas.openxmlformats.org/officeDocument/2006/relationships/image" Target="media/image13.png"/><Relationship Id="rId37" Type="http://schemas.openxmlformats.org/officeDocument/2006/relationships/image" Target="media/image12.png"/><Relationship Id="rId36" Type="http://schemas.openxmlformats.org/officeDocument/2006/relationships/image" Target="media/image11.png"/><Relationship Id="rId35" Type="http://schemas.openxmlformats.org/officeDocument/2006/relationships/image" Target="media/image10.png"/><Relationship Id="rId34" Type="http://schemas.openxmlformats.org/officeDocument/2006/relationships/image" Target="media/image9.png"/><Relationship Id="rId33" Type="http://schemas.openxmlformats.org/officeDocument/2006/relationships/image" Target="media/image8.png"/><Relationship Id="rId32" Type="http://schemas.openxmlformats.org/officeDocument/2006/relationships/image" Target="media/image7.png"/><Relationship Id="rId31" Type="http://schemas.openxmlformats.org/officeDocument/2006/relationships/image" Target="media/image6.png"/><Relationship Id="rId30" Type="http://schemas.openxmlformats.org/officeDocument/2006/relationships/image" Target="media/image5.png"/><Relationship Id="rId3" Type="http://schemas.openxmlformats.org/officeDocument/2006/relationships/footer" Target="footer1.xml"/><Relationship Id="rId29" Type="http://schemas.openxmlformats.org/officeDocument/2006/relationships/image" Target="media/image4.emf"/><Relationship Id="rId28" Type="http://schemas.openxmlformats.org/officeDocument/2006/relationships/oleObject" Target="embeddings/oleObject1.bin"/><Relationship Id="rId27" Type="http://schemas.openxmlformats.org/officeDocument/2006/relationships/image" Target="media/image3.png"/><Relationship Id="rId26" Type="http://schemas.openxmlformats.org/officeDocument/2006/relationships/image" Target="media/image2.png"/><Relationship Id="rId25" Type="http://schemas.openxmlformats.org/officeDocument/2006/relationships/image" Target="media/image1.png"/><Relationship Id="rId24" Type="http://schemas.openxmlformats.org/officeDocument/2006/relationships/theme" Target="theme/theme1.xml"/><Relationship Id="rId23" Type="http://schemas.openxmlformats.org/officeDocument/2006/relationships/footer" Target="footer13.xml"/><Relationship Id="rId22" Type="http://schemas.openxmlformats.org/officeDocument/2006/relationships/footer" Target="footer12.xml"/><Relationship Id="rId21" Type="http://schemas.openxmlformats.org/officeDocument/2006/relationships/header" Target="header8.xml"/><Relationship Id="rId20" Type="http://schemas.openxmlformats.org/officeDocument/2006/relationships/footer" Target="footer11.xml"/><Relationship Id="rId2" Type="http://schemas.openxmlformats.org/officeDocument/2006/relationships/settings" Target="settings.xml"/><Relationship Id="rId19" Type="http://schemas.openxmlformats.org/officeDocument/2006/relationships/header" Target="header7.xml"/><Relationship Id="rId18" Type="http://schemas.openxmlformats.org/officeDocument/2006/relationships/footer" Target="footer10.xml"/><Relationship Id="rId17" Type="http://schemas.openxmlformats.org/officeDocument/2006/relationships/header" Target="header6.xml"/><Relationship Id="rId16" Type="http://schemas.openxmlformats.org/officeDocument/2006/relationships/header" Target="header5.xml"/><Relationship Id="rId15" Type="http://schemas.openxmlformats.org/officeDocument/2006/relationships/footer" Target="footer9.xml"/><Relationship Id="rId14" Type="http://schemas.openxmlformats.org/officeDocument/2006/relationships/header" Target="header4.xml"/><Relationship Id="rId13" Type="http://schemas.openxmlformats.org/officeDocument/2006/relationships/footer" Target="footer8.xml"/><Relationship Id="rId12" Type="http://schemas.openxmlformats.org/officeDocument/2006/relationships/header" Target="header3.xml"/><Relationship Id="rId11" Type="http://schemas.openxmlformats.org/officeDocument/2006/relationships/footer" Target="footer7.xml"/><Relationship Id="rId10" Type="http://schemas.openxmlformats.org/officeDocument/2006/relationships/header" Target="header2.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EAC49AE-AF38-4D3B-876E-47AB2359E87C}">
  <ds:schemaRefs/>
</ds:datastoreItem>
</file>

<file path=docProps/app.xml><?xml version="1.0" encoding="utf-8"?>
<Properties xmlns="http://schemas.openxmlformats.org/officeDocument/2006/extended-properties" xmlns:vt="http://schemas.openxmlformats.org/officeDocument/2006/docPropsVTypes">
  <Template>Normal.dotm</Template>
  <Company>Company</Company>
  <Pages>254</Pages>
  <Words>5269</Words>
  <Characters>6464</Characters>
  <Lines>923</Lines>
  <Paragraphs>259</Paragraphs>
  <TotalTime>1</TotalTime>
  <ScaleCrop>false</ScaleCrop>
  <LinksUpToDate>false</LinksUpToDate>
  <CharactersWithSpaces>6953</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2021-08-31T13:39:00Z</dcterms:created>
  <dc:creator>Lee</dc:creator>
  <cp:lastModifiedBy>闵</cp:lastModifiedBy>
  <cp:lastPrinted>2024-07-31T10:00:00Z</cp:lastPrinted>
  <dcterms:modified xsi:type="dcterms:W3CDTF">2025-03-18T09:05:04Z</dcterms:modified>
  <cp:revision>68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5E28A1EB54C04501AD3476D0D74EA4F0</vt:lpwstr>
  </property>
  <property fmtid="{D5CDD505-2E9C-101B-9397-08002B2CF9AE}" pid="4" name="KSOTemplateDocerSaveRecord">
    <vt:lpwstr>eyJoZGlkIjoiY2U4ZTE5NjJiZThjZTkyNzg0Y2YyN2JhNWViMTRkN2IiLCJ1c2VySWQiOiI0NzMzMzMzMDQifQ==</vt:lpwstr>
  </property>
</Properties>
</file>